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5D" w:rsidRDefault="00081C64" w:rsidP="0052405D">
      <w:pPr>
        <w:spacing w:after="0"/>
        <w:jc w:val="center"/>
        <w:rPr>
          <w:b/>
          <w:sz w:val="28"/>
          <w:szCs w:val="28"/>
        </w:rPr>
      </w:pPr>
      <w:r>
        <w:rPr>
          <w:b/>
          <w:sz w:val="28"/>
          <w:szCs w:val="28"/>
        </w:rPr>
        <w:t>PRIBILOF ISLANDS</w:t>
      </w:r>
      <w:r w:rsidR="0052405D" w:rsidRPr="0052405D">
        <w:rPr>
          <w:b/>
          <w:sz w:val="28"/>
          <w:szCs w:val="28"/>
        </w:rPr>
        <w:t xml:space="preserve"> GOLDEN KING CRAB </w:t>
      </w:r>
    </w:p>
    <w:p w:rsidR="003F2489" w:rsidRDefault="00081C64" w:rsidP="0052405D">
      <w:pPr>
        <w:spacing w:after="0"/>
        <w:jc w:val="center"/>
        <w:rPr>
          <w:b/>
          <w:sz w:val="28"/>
          <w:szCs w:val="28"/>
        </w:rPr>
      </w:pPr>
      <w:r>
        <w:rPr>
          <w:b/>
          <w:sz w:val="28"/>
          <w:szCs w:val="28"/>
        </w:rPr>
        <w:t xml:space="preserve">TIER </w:t>
      </w:r>
      <w:r w:rsidR="0052405D" w:rsidRPr="0052405D">
        <w:rPr>
          <w:b/>
          <w:sz w:val="28"/>
          <w:szCs w:val="28"/>
        </w:rPr>
        <w:t>4 STOCK ASSESSMENT</w:t>
      </w:r>
      <w:r w:rsidR="00F56041">
        <w:rPr>
          <w:b/>
          <w:sz w:val="28"/>
          <w:szCs w:val="28"/>
        </w:rPr>
        <w:t xml:space="preserve"> CONSIDERATIONS</w:t>
      </w:r>
    </w:p>
    <w:p w:rsidR="0052405D" w:rsidRDefault="0052405D" w:rsidP="0052405D">
      <w:pPr>
        <w:spacing w:after="0"/>
        <w:jc w:val="center"/>
        <w:rPr>
          <w:b/>
          <w:sz w:val="28"/>
          <w:szCs w:val="28"/>
        </w:rPr>
      </w:pPr>
    </w:p>
    <w:p w:rsidR="0052405D" w:rsidRDefault="0052405D" w:rsidP="0052405D">
      <w:pPr>
        <w:spacing w:after="0"/>
        <w:jc w:val="center"/>
      </w:pPr>
      <w:r>
        <w:t>William Gaeuman , ADF&amp;G Kodiak</w:t>
      </w:r>
    </w:p>
    <w:p w:rsidR="0052405D" w:rsidRPr="0052405D" w:rsidRDefault="00F5533B" w:rsidP="0052405D">
      <w:pPr>
        <w:spacing w:after="0"/>
        <w:jc w:val="center"/>
      </w:pPr>
      <w:r>
        <w:t>April</w:t>
      </w:r>
      <w:r w:rsidR="0052405D">
        <w:t xml:space="preserve"> 2013</w:t>
      </w:r>
    </w:p>
    <w:p w:rsidR="0052405D" w:rsidRDefault="0052405D" w:rsidP="00CA3EC2">
      <w:pPr>
        <w:spacing w:after="0"/>
        <w:rPr>
          <w:b/>
        </w:rPr>
      </w:pPr>
    </w:p>
    <w:p w:rsidR="0052405D" w:rsidRPr="0052405D" w:rsidRDefault="0052405D" w:rsidP="00CA3EC2">
      <w:pPr>
        <w:spacing w:after="0"/>
        <w:jc w:val="left"/>
        <w:rPr>
          <w:b/>
          <w:u w:val="single"/>
          <w:lang w:val="en-AU"/>
        </w:rPr>
      </w:pPr>
      <w:r w:rsidRPr="0052405D">
        <w:rPr>
          <w:b/>
          <w:u w:val="single"/>
          <w:lang w:val="en-AU"/>
        </w:rPr>
        <w:t>Introduction</w:t>
      </w:r>
    </w:p>
    <w:p w:rsidR="004338F7" w:rsidRDefault="00081C64" w:rsidP="00CA3EC2">
      <w:pPr>
        <w:spacing w:after="0"/>
        <w:jc w:val="left"/>
        <w:rPr>
          <w:lang w:val="en-AU"/>
        </w:rPr>
      </w:pPr>
      <w:r>
        <w:rPr>
          <w:lang w:val="en-AU"/>
        </w:rPr>
        <w:t>The Pribilof Islands</w:t>
      </w:r>
      <w:r w:rsidR="004338F7">
        <w:rPr>
          <w:lang w:val="en-AU"/>
        </w:rPr>
        <w:t xml:space="preserve"> </w:t>
      </w:r>
      <w:r w:rsidR="0028788C">
        <w:rPr>
          <w:lang w:val="en-AU"/>
        </w:rPr>
        <w:t xml:space="preserve">(Pribilof District) </w:t>
      </w:r>
      <w:r w:rsidR="004338F7">
        <w:rPr>
          <w:lang w:val="en-AU"/>
        </w:rPr>
        <w:t xml:space="preserve">golden king crab </w:t>
      </w:r>
      <w:r w:rsidR="004C42CD">
        <w:rPr>
          <w:lang w:val="en-AU"/>
        </w:rPr>
        <w:t xml:space="preserve">(PIGKC) </w:t>
      </w:r>
      <w:r w:rsidR="004338F7">
        <w:rPr>
          <w:lang w:val="en-AU"/>
        </w:rPr>
        <w:t>stock</w:t>
      </w:r>
      <w:r w:rsidR="004C42CD">
        <w:rPr>
          <w:lang w:val="en-AU"/>
        </w:rPr>
        <w:t xml:space="preserve"> i</w:t>
      </w:r>
      <w:r w:rsidR="009010F1">
        <w:rPr>
          <w:lang w:val="en-AU"/>
        </w:rPr>
        <w:t>s currently assessed using Tier-</w:t>
      </w:r>
      <w:r w:rsidR="004C42CD">
        <w:rPr>
          <w:lang w:val="en-AU"/>
        </w:rPr>
        <w:t>5 methods (2012 Crab SAFE); however, t</w:t>
      </w:r>
      <w:r w:rsidR="004338F7" w:rsidRPr="004338F7">
        <w:rPr>
          <w:lang w:val="en-AU"/>
        </w:rPr>
        <w:t>h</w:t>
      </w:r>
      <w:r w:rsidR="002D5203">
        <w:rPr>
          <w:lang w:val="en-AU"/>
        </w:rPr>
        <w:t>e SSC</w:t>
      </w:r>
      <w:r w:rsidR="004338F7">
        <w:rPr>
          <w:lang w:val="en-AU"/>
        </w:rPr>
        <w:t xml:space="preserve"> </w:t>
      </w:r>
      <w:r w:rsidR="001166C7">
        <w:rPr>
          <w:lang w:val="en-AU"/>
        </w:rPr>
        <w:t xml:space="preserve">(June 2012 minutes) </w:t>
      </w:r>
      <w:r w:rsidR="004C42CD">
        <w:rPr>
          <w:lang w:val="en-AU"/>
        </w:rPr>
        <w:t xml:space="preserve">has encouraged </w:t>
      </w:r>
      <w:r w:rsidR="00852CEB">
        <w:rPr>
          <w:lang w:val="en-AU"/>
        </w:rPr>
        <w:t xml:space="preserve">investigation into the </w:t>
      </w:r>
      <w:r w:rsidR="004C42CD">
        <w:rPr>
          <w:lang w:val="en-AU"/>
        </w:rPr>
        <w:t xml:space="preserve">use of </w:t>
      </w:r>
      <w:r w:rsidR="009010F1">
        <w:rPr>
          <w:lang w:val="en-AU"/>
        </w:rPr>
        <w:t xml:space="preserve">results from the (nominally) biennial </w:t>
      </w:r>
      <w:r w:rsidR="007212A2">
        <w:rPr>
          <w:lang w:val="en-AU"/>
        </w:rPr>
        <w:t>NMFS</w:t>
      </w:r>
      <w:r w:rsidR="00870DA4">
        <w:rPr>
          <w:lang w:val="en-AU"/>
        </w:rPr>
        <w:t>-AFSC</w:t>
      </w:r>
      <w:r w:rsidR="007212A2">
        <w:rPr>
          <w:lang w:val="en-AU"/>
        </w:rPr>
        <w:t xml:space="preserve"> </w:t>
      </w:r>
      <w:r w:rsidR="004338F7">
        <w:rPr>
          <w:lang w:val="en-AU"/>
        </w:rPr>
        <w:t>eastern Bering Sea</w:t>
      </w:r>
      <w:r w:rsidR="004338F7" w:rsidRPr="004338F7">
        <w:rPr>
          <w:lang w:val="en-AU"/>
        </w:rPr>
        <w:t xml:space="preserve"> </w:t>
      </w:r>
      <w:r w:rsidR="004C42CD">
        <w:rPr>
          <w:lang w:val="en-AU"/>
        </w:rPr>
        <w:t xml:space="preserve">(EBS) </w:t>
      </w:r>
      <w:r w:rsidR="00410950">
        <w:rPr>
          <w:lang w:val="en-AU"/>
        </w:rPr>
        <w:t xml:space="preserve">upper continental slope </w:t>
      </w:r>
      <w:r w:rsidR="004C42CD">
        <w:rPr>
          <w:lang w:val="en-AU"/>
        </w:rPr>
        <w:t>sur</w:t>
      </w:r>
      <w:r w:rsidR="009010F1">
        <w:rPr>
          <w:lang w:val="en-AU"/>
        </w:rPr>
        <w:t xml:space="preserve">vey </w:t>
      </w:r>
      <w:r w:rsidR="001166C7">
        <w:rPr>
          <w:lang w:val="en-AU"/>
        </w:rPr>
        <w:t xml:space="preserve">(Hoff and Britt 2011) </w:t>
      </w:r>
      <w:r w:rsidR="004C42CD">
        <w:rPr>
          <w:lang w:val="en-AU"/>
        </w:rPr>
        <w:t>for developing a</w:t>
      </w:r>
      <w:r w:rsidR="009010F1">
        <w:rPr>
          <w:lang w:val="en-AU"/>
        </w:rPr>
        <w:t xml:space="preserve"> Tier-</w:t>
      </w:r>
      <w:r w:rsidR="004338F7" w:rsidRPr="004338F7">
        <w:rPr>
          <w:lang w:val="en-AU"/>
        </w:rPr>
        <w:t xml:space="preserve">4 </w:t>
      </w:r>
      <w:r w:rsidR="009F6F00">
        <w:rPr>
          <w:lang w:val="en-AU"/>
        </w:rPr>
        <w:t>assessment, which presupposes a reliable estimate of “current survey biomass”</w:t>
      </w:r>
      <w:r w:rsidR="00852CEB">
        <w:rPr>
          <w:lang w:val="en-AU"/>
        </w:rPr>
        <w:t xml:space="preserve"> in terms of which to define proxy values of B</w:t>
      </w:r>
      <w:r w:rsidR="00852CEB">
        <w:rPr>
          <w:vertAlign w:val="subscript"/>
          <w:lang w:val="en-AU"/>
        </w:rPr>
        <w:t>MSY</w:t>
      </w:r>
      <w:r w:rsidR="00852CEB">
        <w:rPr>
          <w:lang w:val="en-AU"/>
        </w:rPr>
        <w:t xml:space="preserve"> stock size an</w:t>
      </w:r>
      <w:r w:rsidR="00F56041">
        <w:rPr>
          <w:lang w:val="en-AU"/>
        </w:rPr>
        <w:t>d minimum stock size threshold MSST</w:t>
      </w:r>
      <w:r w:rsidR="006A5AE5">
        <w:rPr>
          <w:lang w:val="en-AU"/>
        </w:rPr>
        <w:t xml:space="preserve"> (2012 Crab SAFE Introduction)</w:t>
      </w:r>
      <w:r w:rsidR="00852CEB">
        <w:rPr>
          <w:lang w:val="en-AU"/>
        </w:rPr>
        <w:t>. This document</w:t>
      </w:r>
      <w:r w:rsidR="00EC4034">
        <w:rPr>
          <w:lang w:val="en-AU"/>
        </w:rPr>
        <w:t xml:space="preserve"> </w:t>
      </w:r>
      <w:r w:rsidR="00C02437">
        <w:rPr>
          <w:lang w:val="en-AU"/>
        </w:rPr>
        <w:t>presents</w:t>
      </w:r>
      <w:r w:rsidR="00331366">
        <w:rPr>
          <w:lang w:val="en-AU"/>
        </w:rPr>
        <w:t xml:space="preserve"> some important considerations</w:t>
      </w:r>
      <w:r w:rsidR="00F56041">
        <w:rPr>
          <w:lang w:val="en-AU"/>
        </w:rPr>
        <w:t xml:space="preserve"> associated with implementing a </w:t>
      </w:r>
      <w:r w:rsidR="009010F1">
        <w:rPr>
          <w:lang w:val="en-AU"/>
        </w:rPr>
        <w:t>Tier-</w:t>
      </w:r>
      <w:r w:rsidR="00EC4034">
        <w:rPr>
          <w:lang w:val="en-AU"/>
        </w:rPr>
        <w:t>4</w:t>
      </w:r>
      <w:r w:rsidR="00F56041">
        <w:rPr>
          <w:lang w:val="en-AU"/>
        </w:rPr>
        <w:t xml:space="preserve"> PIGKC stock assessment and sketches a possible </w:t>
      </w:r>
      <w:r w:rsidR="00876D8F">
        <w:rPr>
          <w:lang w:val="en-AU"/>
        </w:rPr>
        <w:t xml:space="preserve">Tier-4 assessment </w:t>
      </w:r>
      <w:r w:rsidR="00F56041">
        <w:rPr>
          <w:lang w:val="en-AU"/>
        </w:rPr>
        <w:t>strategy</w:t>
      </w:r>
      <w:r w:rsidR="00EC4034">
        <w:rPr>
          <w:lang w:val="en-AU"/>
        </w:rPr>
        <w:t>.</w:t>
      </w:r>
    </w:p>
    <w:p w:rsidR="00876D8F" w:rsidRDefault="00876D8F" w:rsidP="00CA3EC2">
      <w:pPr>
        <w:spacing w:after="0"/>
        <w:jc w:val="left"/>
        <w:rPr>
          <w:b/>
          <w:u w:val="single"/>
          <w:lang w:val="en-AU"/>
        </w:rPr>
      </w:pPr>
    </w:p>
    <w:p w:rsidR="0085382E" w:rsidRDefault="0085382E" w:rsidP="00CA3EC2">
      <w:pPr>
        <w:spacing w:after="0"/>
        <w:jc w:val="left"/>
        <w:rPr>
          <w:lang w:val="en-AU"/>
        </w:rPr>
      </w:pPr>
      <w:r>
        <w:rPr>
          <w:b/>
          <w:u w:val="single"/>
          <w:lang w:val="en-AU"/>
        </w:rPr>
        <w:t>The EBS upper continental slope survey</w:t>
      </w:r>
    </w:p>
    <w:p w:rsidR="0085382E" w:rsidRDefault="0085382E" w:rsidP="00CA3EC2">
      <w:pPr>
        <w:spacing w:after="0"/>
        <w:jc w:val="left"/>
        <w:rPr>
          <w:lang w:val="en-AU"/>
        </w:rPr>
      </w:pPr>
      <w:r>
        <w:rPr>
          <w:rFonts w:ascii="TimesNewRomanPSMT" w:hAnsi="TimesNewRomanPSMT" w:cs="TimesNewRomanPSMT"/>
        </w:rPr>
        <w:t xml:space="preserve">Details on the EBS continental slope survey methods are provided in Hoff and Britt </w:t>
      </w:r>
      <w:r w:rsidR="0015193B">
        <w:rPr>
          <w:rFonts w:ascii="TimesNewRomanPSMT" w:hAnsi="TimesNewRomanPSMT" w:cs="TimesNewRomanPSMT"/>
        </w:rPr>
        <w:t>(</w:t>
      </w:r>
      <w:r>
        <w:rPr>
          <w:rFonts w:ascii="TimesNewRomanPSMT" w:hAnsi="TimesNewRomanPSMT" w:cs="TimesNewRomanPSMT"/>
        </w:rPr>
        <w:t>2011</w:t>
      </w:r>
      <w:r w:rsidR="0015193B">
        <w:rPr>
          <w:rFonts w:ascii="TimesNewRomanPSMT" w:hAnsi="TimesNewRomanPSMT" w:cs="TimesNewRomanPSMT"/>
        </w:rPr>
        <w:t>)</w:t>
      </w:r>
      <w:r>
        <w:rPr>
          <w:rFonts w:ascii="TimesNewRomanPSMT" w:hAnsi="TimesNewRomanPSMT" w:cs="TimesNewRomanPSMT"/>
        </w:rPr>
        <w:t xml:space="preserve">. </w:t>
      </w:r>
      <w:r w:rsidR="0015193B">
        <w:rPr>
          <w:rFonts w:ascii="TimesNewRomanPSMT" w:hAnsi="TimesNewRomanPSMT" w:cs="TimesNewRomanPSMT"/>
        </w:rPr>
        <w:t xml:space="preserve">Standardized surveys have been conducted in 2002, 2004, 2008, 2010, and 2012; although intended to be biennial, no survey was performed in 2006.  </w:t>
      </w:r>
      <w:r w:rsidR="002C5655">
        <w:t xml:space="preserve">The </w:t>
      </w:r>
      <w:r w:rsidR="0015193B">
        <w:t xml:space="preserve">survey occurs during June–July and the </w:t>
      </w:r>
      <w:r w:rsidR="002C5655">
        <w:t>surveyed region consists of a swath of (</w:t>
      </w:r>
      <w:proofErr w:type="spellStart"/>
      <w:r w:rsidR="002C5655">
        <w:t>trawlable</w:t>
      </w:r>
      <w:proofErr w:type="spellEnd"/>
      <w:r w:rsidR="002C5655">
        <w:rPr>
          <w:rStyle w:val="FootnoteReference"/>
        </w:rPr>
        <w:footnoteReference w:id="1"/>
      </w:r>
      <w:r w:rsidR="002C5655">
        <w:t xml:space="preserve">) ocean bottom </w:t>
      </w:r>
      <w:r w:rsidR="004A7B6E">
        <w:t xml:space="preserve">at depths of 200–1,200 m </w:t>
      </w:r>
      <w:r w:rsidR="002C5655">
        <w:t xml:space="preserve">extending northwest from near Dutch Harbor some 600 mi along the EBS </w:t>
      </w:r>
      <w:r w:rsidR="004A7B6E">
        <w:t>continental slope</w:t>
      </w:r>
      <w:r w:rsidR="002C5655">
        <w:t xml:space="preserve"> (Figure 1). </w:t>
      </w:r>
      <w:r>
        <w:rPr>
          <w:rFonts w:ascii="TimesNewRomanPSMT" w:hAnsi="TimesNewRomanPSMT" w:cs="TimesNewRomanPSMT"/>
        </w:rPr>
        <w:t xml:space="preserve">The survey area is divided into 6 geographic subareas running north-to-south in the survey area: Bering Canyon area, Pribilof Canyon area, the inter-canyon area between Pribilof Canyon and </w:t>
      </w:r>
      <w:proofErr w:type="spellStart"/>
      <w:r>
        <w:rPr>
          <w:rFonts w:ascii="TimesNewRomanPSMT" w:hAnsi="TimesNewRomanPSMT" w:cs="TimesNewRomanPSMT"/>
        </w:rPr>
        <w:t>Zhemchug</w:t>
      </w:r>
      <w:proofErr w:type="spellEnd"/>
      <w:r>
        <w:rPr>
          <w:rFonts w:ascii="TimesNewRomanPSMT" w:hAnsi="TimesNewRomanPSMT" w:cs="TimesNewRomanPSMT"/>
        </w:rPr>
        <w:t xml:space="preserve"> Canyon, </w:t>
      </w:r>
      <w:r w:rsidR="004A7B6E">
        <w:rPr>
          <w:rFonts w:ascii="TimesNewRomanPSMT" w:hAnsi="TimesNewRomanPSMT" w:cs="TimesNewRomanPSMT"/>
        </w:rPr>
        <w:t xml:space="preserve">the </w:t>
      </w:r>
      <w:proofErr w:type="spellStart"/>
      <w:r w:rsidR="004A7B6E">
        <w:rPr>
          <w:rFonts w:ascii="TimesNewRomanPSMT" w:hAnsi="TimesNewRomanPSMT" w:cs="TimesNewRomanPSMT"/>
        </w:rPr>
        <w:t>Zhemchug</w:t>
      </w:r>
      <w:proofErr w:type="spellEnd"/>
      <w:r w:rsidR="004A7B6E">
        <w:rPr>
          <w:rFonts w:ascii="TimesNewRomanPSMT" w:hAnsi="TimesNewRomanPSMT" w:cs="TimesNewRomanPSMT"/>
        </w:rPr>
        <w:t xml:space="preserve"> Canyon area, </w:t>
      </w:r>
      <w:r>
        <w:rPr>
          <w:rFonts w:ascii="TimesNewRomanPSMT" w:hAnsi="TimesNewRomanPSMT" w:cs="TimesNewRomanPSMT"/>
        </w:rPr>
        <w:t xml:space="preserve">the inter-canyon area between </w:t>
      </w:r>
      <w:proofErr w:type="spellStart"/>
      <w:r>
        <w:rPr>
          <w:rFonts w:ascii="TimesNewRomanPSMT" w:hAnsi="TimesNewRomanPSMT" w:cs="TimesNewRomanPSMT"/>
        </w:rPr>
        <w:t>Zhemchug</w:t>
      </w:r>
      <w:proofErr w:type="spellEnd"/>
      <w:r>
        <w:rPr>
          <w:rFonts w:ascii="TimesNewRomanPSMT" w:hAnsi="TimesNewRomanPSMT" w:cs="TimesNewRomanPSMT"/>
        </w:rPr>
        <w:t xml:space="preserve"> and </w:t>
      </w:r>
      <w:proofErr w:type="spellStart"/>
      <w:r>
        <w:rPr>
          <w:rFonts w:ascii="TimesNewRomanPSMT" w:hAnsi="TimesNewRomanPSMT" w:cs="TimesNewRomanPSMT"/>
        </w:rPr>
        <w:t>Pervenets</w:t>
      </w:r>
      <w:proofErr w:type="spellEnd"/>
      <w:r>
        <w:rPr>
          <w:rFonts w:ascii="TimesNewRomanPSMT" w:hAnsi="TimesNewRomanPSMT" w:cs="TimesNewRomanPSMT"/>
        </w:rPr>
        <w:t xml:space="preserve"> Canyon, and the </w:t>
      </w:r>
      <w:proofErr w:type="spellStart"/>
      <w:r>
        <w:rPr>
          <w:rFonts w:ascii="TimesNewRomanPSMT" w:hAnsi="TimesNewRomanPSMT" w:cs="TimesNewRomanPSMT"/>
        </w:rPr>
        <w:t>Pervenets</w:t>
      </w:r>
      <w:proofErr w:type="spellEnd"/>
      <w:r>
        <w:rPr>
          <w:rFonts w:ascii="TimesNewRomanPSMT" w:hAnsi="TimesNewRomanPSMT" w:cs="TimesNewRomanPSMT"/>
        </w:rPr>
        <w:t xml:space="preserve"> and </w:t>
      </w:r>
      <w:proofErr w:type="spellStart"/>
      <w:r>
        <w:rPr>
          <w:rFonts w:ascii="TimesNewRomanPSMT" w:hAnsi="TimesNewRomanPSMT" w:cs="TimesNewRomanPSMT"/>
        </w:rPr>
        <w:t>Navarin</w:t>
      </w:r>
      <w:proofErr w:type="spellEnd"/>
      <w:r>
        <w:rPr>
          <w:rFonts w:ascii="TimesNewRomanPSMT" w:hAnsi="TimesNewRomanPSMT" w:cs="TimesNewRomanPSMT"/>
        </w:rPr>
        <w:t xml:space="preserve"> Can</w:t>
      </w:r>
      <w:r w:rsidR="008F6049">
        <w:rPr>
          <w:rFonts w:ascii="TimesNewRomanPSMT" w:hAnsi="TimesNewRomanPSMT" w:cs="TimesNewRomanPSMT"/>
        </w:rPr>
        <w:t xml:space="preserve">yons area. </w:t>
      </w:r>
      <w:r w:rsidR="008A203A">
        <w:rPr>
          <w:rFonts w:ascii="TimesNewRomanPSMT" w:hAnsi="TimesNewRomanPSMT" w:cs="TimesNewRomanPSMT"/>
        </w:rPr>
        <w:t xml:space="preserve">The subareas are partitioned into five </w:t>
      </w:r>
      <w:r w:rsidR="00003C8A">
        <w:rPr>
          <w:rFonts w:ascii="TimesNewRomanPSMT" w:hAnsi="TimesNewRomanPSMT" w:cs="TimesNewRomanPSMT"/>
        </w:rPr>
        <w:t>200-</w:t>
      </w:r>
      <w:r>
        <w:rPr>
          <w:rFonts w:ascii="TimesNewRomanPSMT" w:hAnsi="TimesNewRomanPSMT" w:cs="TimesNewRomanPSMT"/>
        </w:rPr>
        <w:t>m depth zones, from 200 to 1,200 m.  The survey samples app</w:t>
      </w:r>
      <w:r w:rsidR="008A203A">
        <w:rPr>
          <w:rFonts w:ascii="TimesNewRomanPSMT" w:hAnsi="TimesNewRomanPSMT" w:cs="TimesNewRomanPSMT"/>
        </w:rPr>
        <w:t xml:space="preserve">roximately 200 locations </w:t>
      </w:r>
      <w:r>
        <w:rPr>
          <w:rFonts w:ascii="TimesNewRomanPSMT" w:hAnsi="TimesNewRomanPSMT" w:cs="TimesNewRomanPSMT"/>
        </w:rPr>
        <w:t xml:space="preserve">by stratified </w:t>
      </w:r>
      <w:r w:rsidR="008636AF">
        <w:rPr>
          <w:rFonts w:ascii="TimesNewRomanPSMT" w:hAnsi="TimesNewRomanPSMT" w:cs="TimesNewRomanPSMT"/>
        </w:rPr>
        <w:t xml:space="preserve">simple </w:t>
      </w:r>
      <w:r>
        <w:rPr>
          <w:rFonts w:ascii="TimesNewRomanPSMT" w:hAnsi="TimesNewRomanPSMT" w:cs="TimesNewRomanPSMT"/>
        </w:rPr>
        <w:t xml:space="preserve">random sampling from the </w:t>
      </w:r>
      <w:r w:rsidR="008A203A">
        <w:rPr>
          <w:rFonts w:ascii="TimesNewRomanPSMT" w:hAnsi="TimesNewRomanPSMT" w:cs="TimesNewRomanPSMT"/>
        </w:rPr>
        <w:t>30 area-by-depth-zone strata</w:t>
      </w:r>
      <w:r w:rsidR="00003C8A">
        <w:rPr>
          <w:rFonts w:ascii="TimesNewRomanPSMT" w:hAnsi="TimesNewRomanPSMT" w:cs="TimesNewRomanPSMT"/>
        </w:rPr>
        <w:t>. In 2010</w:t>
      </w:r>
      <w:r>
        <w:rPr>
          <w:rFonts w:ascii="TimesNewRomanPSMT" w:hAnsi="TimesNewRomanPSMT" w:cs="TimesNewRomanPSMT"/>
        </w:rPr>
        <w:t xml:space="preserve"> sampling densities within strata ranged from one haul per 112.39 km</w:t>
      </w:r>
      <w:r w:rsidRPr="0029064E">
        <w:rPr>
          <w:rFonts w:ascii="TimesNewRomanPSMT" w:hAnsi="TimesNewRomanPSMT" w:cs="TimesNewRomanPSMT"/>
          <w:vertAlign w:val="superscript"/>
        </w:rPr>
        <w:t>2</w:t>
      </w:r>
      <w:r>
        <w:rPr>
          <w:rFonts w:ascii="TimesNewRomanPSMT" w:hAnsi="TimesNewRomanPSMT" w:cs="TimesNewRomanPSMT"/>
        </w:rPr>
        <w:t xml:space="preserve"> to one haul per 368.96 km</w:t>
      </w:r>
      <w:r w:rsidRPr="0029064E">
        <w:rPr>
          <w:rFonts w:ascii="TimesNewRomanPSMT" w:hAnsi="TimesNewRomanPSMT" w:cs="TimesNewRomanPSMT"/>
          <w:vertAlign w:val="superscript"/>
        </w:rPr>
        <w:t>2</w:t>
      </w:r>
      <w:r w:rsidR="004D03DD">
        <w:rPr>
          <w:rFonts w:ascii="TimesNewRomanPSMT" w:hAnsi="TimesNewRomanPSMT" w:cs="TimesNewRomanPSMT"/>
        </w:rPr>
        <w:t xml:space="preserve"> (</w:t>
      </w:r>
      <w:r>
        <w:rPr>
          <w:rFonts w:ascii="TimesNewRomanPSMT" w:hAnsi="TimesNewRomanPSMT" w:cs="TimesNewRomanPSMT"/>
        </w:rPr>
        <w:t>survey tow sampl</w:t>
      </w:r>
      <w:r w:rsidR="004D03DD">
        <w:rPr>
          <w:rFonts w:ascii="TimesNewRomanPSMT" w:hAnsi="TimesNewRomanPSMT" w:cs="TimesNewRomanPSMT"/>
        </w:rPr>
        <w:t>ing is denser at depths &lt; 800 m)</w:t>
      </w:r>
      <w:r w:rsidR="008A203A">
        <w:rPr>
          <w:rFonts w:ascii="TimesNewRomanPSMT" w:hAnsi="TimesNewRomanPSMT" w:cs="TimesNewRomanPSMT"/>
        </w:rPr>
        <w:t>,</w:t>
      </w:r>
      <w:r>
        <w:rPr>
          <w:rFonts w:ascii="TimesNewRomanPSMT" w:hAnsi="TimesNewRomanPSMT" w:cs="TimesNewRomanPSMT"/>
        </w:rPr>
        <w:t xml:space="preserve"> and the mean sampling density over the total surveyed area of 32,723 km</w:t>
      </w:r>
      <w:r w:rsidRPr="001E239B">
        <w:rPr>
          <w:rFonts w:ascii="TimesNewRomanPSMT" w:hAnsi="TimesNewRomanPSMT" w:cs="TimesNewRomanPSMT"/>
          <w:vertAlign w:val="superscript"/>
        </w:rPr>
        <w:t>2</w:t>
      </w:r>
      <w:r>
        <w:rPr>
          <w:rFonts w:ascii="TimesNewRomanPSMT" w:hAnsi="TimesNewRomanPSMT" w:cs="TimesNewRomanPSMT"/>
        </w:rPr>
        <w:t xml:space="preserve"> was one haul per 204.48 km</w:t>
      </w:r>
      <w:r w:rsidRPr="001E239B">
        <w:rPr>
          <w:rFonts w:ascii="TimesNewRomanPSMT" w:hAnsi="TimesNewRomanPSMT" w:cs="TimesNewRomanPSMT"/>
          <w:vertAlign w:val="superscript"/>
        </w:rPr>
        <w:t>2</w:t>
      </w:r>
      <w:r>
        <w:rPr>
          <w:rFonts w:ascii="TimesNewRomanPSMT" w:hAnsi="TimesNewRomanPSMT" w:cs="TimesNewRomanPSMT"/>
        </w:rPr>
        <w:t>. That sampling density compares to one haul per 400 nmi</w:t>
      </w:r>
      <w:r w:rsidRPr="00E8117F">
        <w:rPr>
          <w:rFonts w:ascii="TimesNewRomanPSMT" w:hAnsi="TimesNewRomanPSMT" w:cs="TimesNewRomanPSMT"/>
          <w:vertAlign w:val="superscript"/>
        </w:rPr>
        <w:t>2</w:t>
      </w:r>
      <w:r>
        <w:rPr>
          <w:rFonts w:ascii="TimesNewRomanPSMT" w:hAnsi="TimesNewRomanPSMT" w:cs="TimesNewRomanPSMT"/>
        </w:rPr>
        <w:t xml:space="preserve"> (1,372 km</w:t>
      </w:r>
      <w:r w:rsidRPr="001E239B">
        <w:rPr>
          <w:rFonts w:ascii="TimesNewRomanPSMT" w:hAnsi="TimesNewRomanPSMT" w:cs="TimesNewRomanPSMT"/>
          <w:vertAlign w:val="superscript"/>
        </w:rPr>
        <w:t>2</w:t>
      </w:r>
      <w:r>
        <w:rPr>
          <w:rFonts w:ascii="TimesNewRomanPSMT" w:hAnsi="TimesNewRomanPSMT" w:cs="TimesNewRomanPSMT"/>
        </w:rPr>
        <w:t>) for the standard stations in the eastern Bering Sea continental shelf survey</w:t>
      </w:r>
      <w:r w:rsidR="008F6049">
        <w:rPr>
          <w:rFonts w:ascii="TimesNewRomanPSMT" w:hAnsi="TimesNewRomanPSMT" w:cs="TimesNewRomanPSMT"/>
        </w:rPr>
        <w:t xml:space="preserve">.  </w:t>
      </w:r>
      <w:r>
        <w:rPr>
          <w:rFonts w:ascii="TimesNewRomanPSMT" w:hAnsi="TimesNewRomanPSMT" w:cs="TimesNewRomanPSMT"/>
        </w:rPr>
        <w:t xml:space="preserve">The survey uses a Poly </w:t>
      </w:r>
      <w:proofErr w:type="spellStart"/>
      <w:r>
        <w:rPr>
          <w:rFonts w:ascii="TimesNewRomanPSMT" w:hAnsi="TimesNewRomanPSMT" w:cs="TimesNewRomanPSMT"/>
        </w:rPr>
        <w:t>Nor’eastern</w:t>
      </w:r>
      <w:proofErr w:type="spellEnd"/>
      <w:r>
        <w:rPr>
          <w:rFonts w:ascii="TimesNewRomanPSMT" w:hAnsi="TimesNewRomanPSMT" w:cs="TimesNewRomanPSMT"/>
        </w:rPr>
        <w:t xml:space="preserve"> high-opening bottom trawl equipped with mud-sweep roller gear; </w:t>
      </w:r>
      <w:r>
        <w:rPr>
          <w:rFonts w:eastAsiaTheme="minorHAnsi"/>
        </w:rPr>
        <w:t xml:space="preserve">the </w:t>
      </w:r>
      <w:proofErr w:type="spellStart"/>
      <w:r>
        <w:rPr>
          <w:rFonts w:eastAsiaTheme="minorHAnsi"/>
        </w:rPr>
        <w:t>mudsweep</w:t>
      </w:r>
      <w:proofErr w:type="spellEnd"/>
      <w:r>
        <w:rPr>
          <w:rFonts w:eastAsiaTheme="minorHAnsi"/>
        </w:rPr>
        <w:t xml:space="preserve"> roller gear was constructed of 203 mm solid rubber disks strung over 16 mm high-tensile chain.</w:t>
      </w:r>
      <w:r w:rsidR="008F6049">
        <w:rPr>
          <w:rFonts w:eastAsiaTheme="minorHAnsi"/>
        </w:rPr>
        <w:t xml:space="preserve"> </w:t>
      </w:r>
      <w:r w:rsidR="008F6049">
        <w:rPr>
          <w:rFonts w:ascii="TimesNewRomanPSMT" w:hAnsi="TimesNewRomanPSMT" w:cs="TimesNewRomanPSMT"/>
        </w:rPr>
        <w:t xml:space="preserve">The standard tow is 30 minutes at 2.5 knots.  </w:t>
      </w:r>
    </w:p>
    <w:p w:rsidR="008F6049" w:rsidRPr="008F6049" w:rsidRDefault="008F6049" w:rsidP="00CA3EC2">
      <w:pPr>
        <w:spacing w:after="0"/>
        <w:jc w:val="left"/>
        <w:rPr>
          <w:lang w:val="en-AU"/>
        </w:rPr>
      </w:pPr>
    </w:p>
    <w:p w:rsidR="00876D8F" w:rsidRPr="00876D8F" w:rsidRDefault="00331366" w:rsidP="00CA3EC2">
      <w:pPr>
        <w:spacing w:after="0"/>
        <w:jc w:val="left"/>
        <w:rPr>
          <w:b/>
          <w:u w:val="single"/>
          <w:lang w:val="en-AU"/>
        </w:rPr>
      </w:pPr>
      <w:r>
        <w:rPr>
          <w:b/>
          <w:u w:val="single"/>
          <w:lang w:val="en-AU"/>
        </w:rPr>
        <w:t>Key Considerations</w:t>
      </w:r>
    </w:p>
    <w:p w:rsidR="008F6049" w:rsidRDefault="00081C64" w:rsidP="00CA3EC2">
      <w:pPr>
        <w:spacing w:after="0"/>
        <w:jc w:val="left"/>
        <w:rPr>
          <w:lang w:val="en-AU"/>
        </w:rPr>
      </w:pPr>
      <w:r>
        <w:rPr>
          <w:lang w:val="en-AU"/>
        </w:rPr>
        <w:t>Preliminary to the development of a Tier-4 PIGKC stock assessment methodology</w:t>
      </w:r>
      <w:r w:rsidR="0010506F">
        <w:rPr>
          <w:lang w:val="en-AU"/>
        </w:rPr>
        <w:t xml:space="preserve">, </w:t>
      </w:r>
      <w:r w:rsidR="00D01B99">
        <w:rPr>
          <w:lang w:val="en-AU"/>
        </w:rPr>
        <w:t xml:space="preserve">at least </w:t>
      </w:r>
      <w:r w:rsidR="005531D3">
        <w:rPr>
          <w:lang w:val="en-AU"/>
        </w:rPr>
        <w:t>four</w:t>
      </w:r>
      <w:r w:rsidR="0051420F">
        <w:rPr>
          <w:lang w:val="en-AU"/>
        </w:rPr>
        <w:t xml:space="preserve"> </w:t>
      </w:r>
      <w:r w:rsidR="0010506F">
        <w:rPr>
          <w:lang w:val="en-AU"/>
        </w:rPr>
        <w:t>issues should be considered</w:t>
      </w:r>
      <w:r w:rsidR="002D223C">
        <w:rPr>
          <w:lang w:val="en-AU"/>
        </w:rPr>
        <w:t>.</w:t>
      </w:r>
    </w:p>
    <w:p w:rsidR="00E41143" w:rsidRDefault="002D223C" w:rsidP="00CA3EC2">
      <w:pPr>
        <w:spacing w:after="0"/>
        <w:jc w:val="left"/>
        <w:rPr>
          <w:lang w:val="en-AU"/>
        </w:rPr>
      </w:pPr>
      <w:r>
        <w:rPr>
          <w:lang w:val="en-AU"/>
        </w:rPr>
        <w:t xml:space="preserve"> </w:t>
      </w:r>
    </w:p>
    <w:p w:rsidR="008578CF" w:rsidRDefault="0008526B">
      <w:pPr>
        <w:pStyle w:val="ListParagraph"/>
        <w:numPr>
          <w:ilvl w:val="0"/>
          <w:numId w:val="5"/>
        </w:numPr>
        <w:spacing w:after="0"/>
        <w:jc w:val="left"/>
      </w:pPr>
      <w:r w:rsidRPr="0008526B">
        <w:rPr>
          <w:b/>
          <w:i/>
          <w:lang w:val="en-AU"/>
        </w:rPr>
        <w:lastRenderedPageBreak/>
        <w:t>Limited biennial data series</w:t>
      </w:r>
      <w:r w:rsidR="001166C7">
        <w:rPr>
          <w:lang w:val="en-AU"/>
        </w:rPr>
        <w:t>.</w:t>
      </w:r>
      <w:r w:rsidR="00E41143">
        <w:rPr>
          <w:lang w:val="en-AU"/>
        </w:rPr>
        <w:t xml:space="preserve">  T</w:t>
      </w:r>
      <w:r w:rsidR="00C44468">
        <w:rPr>
          <w:lang w:val="en-AU"/>
        </w:rPr>
        <w:t>he set of available EBS slope-survey results useful for such an assessment consists only of those for 2008, 2010, and 2012, resulting in an extremely limited time series of abundance and biomass estimates by which to understand stock history and dynamics and to use in formulating credible management quantities. Length measurements</w:t>
      </w:r>
      <w:r w:rsidR="00AB2C4B">
        <w:t xml:space="preserve"> on individual crab were not recorded during the </w:t>
      </w:r>
      <w:r w:rsidR="00B00EEB">
        <w:t xml:space="preserve">first survey in </w:t>
      </w:r>
      <w:r w:rsidR="00AB2C4B">
        <w:t>2002 (Claire Armistead, NMFS-AFSC Kodiak Laboratory, 18 March 2013 email)</w:t>
      </w:r>
      <w:r w:rsidR="00B46E30">
        <w:t xml:space="preserve"> and incompletely so in 2004</w:t>
      </w:r>
      <w:r w:rsidR="00EC4EEB">
        <w:t xml:space="preserve"> (</w:t>
      </w:r>
      <w:r w:rsidR="00050DFF">
        <w:t xml:space="preserve">250 of </w:t>
      </w:r>
      <w:r w:rsidR="00072704">
        <w:t>321 captured GKC</w:t>
      </w:r>
      <w:r w:rsidR="00064EC2">
        <w:t xml:space="preserve"> in successful tows</w:t>
      </w:r>
      <w:r w:rsidR="00072704">
        <w:t xml:space="preserve">; </w:t>
      </w:r>
      <w:r w:rsidR="00EC4EEB">
        <w:t>Hoff and Britt 2005)</w:t>
      </w:r>
      <w:r w:rsidR="00B00EEB">
        <w:t>, precluding</w:t>
      </w:r>
      <w:r w:rsidR="00AB2C4B">
        <w:t xml:space="preserve"> </w:t>
      </w:r>
      <w:r w:rsidR="00B00EEB">
        <w:t>necessary Tier-4 sex-by-size-</w:t>
      </w:r>
      <w:r w:rsidR="00AB2C4B">
        <w:t>class estimat</w:t>
      </w:r>
      <w:r w:rsidR="00B00EEB">
        <w:t>es for those surveys,</w:t>
      </w:r>
      <w:r w:rsidR="00B46E30">
        <w:t xml:space="preserve"> and n</w:t>
      </w:r>
      <w:r w:rsidR="00AB2C4B">
        <w:t>o EBS slope survey was conducted in 2006.</w:t>
      </w:r>
      <w:r w:rsidR="00F950ED">
        <w:t xml:space="preserve"> </w:t>
      </w:r>
      <w:r w:rsidR="0057775E">
        <w:rPr>
          <w:rFonts w:ascii="TimesNewRomanPSMT" w:hAnsi="TimesNewRomanPSMT" w:cs="TimesNewRomanPSMT"/>
        </w:rPr>
        <w:t xml:space="preserve">Moreover, </w:t>
      </w:r>
      <w:r w:rsidR="00F950ED">
        <w:rPr>
          <w:rFonts w:ascii="TimesNewRomanPSMT" w:hAnsi="TimesNewRomanPSMT" w:cs="TimesNewRomanPSMT"/>
        </w:rPr>
        <w:t>h</w:t>
      </w:r>
      <w:r w:rsidR="008828B1">
        <w:rPr>
          <w:rFonts w:ascii="TimesNewRomanPSMT" w:hAnsi="TimesNewRomanPSMT" w:cs="TimesNewRomanPSMT"/>
        </w:rPr>
        <w:t xml:space="preserve">ow </w:t>
      </w:r>
      <w:r w:rsidR="00F950ED">
        <w:rPr>
          <w:rFonts w:ascii="TimesNewRomanPSMT" w:hAnsi="TimesNewRomanPSMT" w:cs="TimesNewRomanPSMT"/>
        </w:rPr>
        <w:t xml:space="preserve">the </w:t>
      </w:r>
      <w:r w:rsidR="00436463">
        <w:rPr>
          <w:rFonts w:ascii="TimesNewRomanPSMT" w:hAnsi="TimesNewRomanPSMT" w:cs="TimesNewRomanPSMT"/>
        </w:rPr>
        <w:t xml:space="preserve">mud-sweep roller </w:t>
      </w:r>
      <w:r w:rsidR="008828B1">
        <w:rPr>
          <w:rFonts w:ascii="TimesNewRomanPSMT" w:hAnsi="TimesNewRomanPSMT" w:cs="TimesNewRomanPSMT"/>
        </w:rPr>
        <w:t xml:space="preserve">gear </w:t>
      </w:r>
      <w:r w:rsidR="00436463">
        <w:rPr>
          <w:rFonts w:ascii="TimesNewRomanPSMT" w:hAnsi="TimesNewRomanPSMT" w:cs="TimesNewRomanPSMT"/>
        </w:rPr>
        <w:t xml:space="preserve">used in the survey </w:t>
      </w:r>
      <w:r w:rsidR="008828B1">
        <w:rPr>
          <w:rFonts w:ascii="TimesNewRomanPSMT" w:hAnsi="TimesNewRomanPSMT" w:cs="TimesNewRomanPSMT"/>
        </w:rPr>
        <w:t>affects survey selectivity by size or sex</w:t>
      </w:r>
      <w:r w:rsidR="0057775E">
        <w:rPr>
          <w:rFonts w:ascii="TimesNewRomanPSMT" w:hAnsi="TimesNewRomanPSMT" w:cs="TimesNewRomanPSMT"/>
        </w:rPr>
        <w:t xml:space="preserve"> is unknown</w:t>
      </w:r>
      <w:r w:rsidR="008828B1">
        <w:rPr>
          <w:rFonts w:ascii="TimesNewRomanPSMT" w:hAnsi="TimesNewRomanPSMT" w:cs="TimesNewRomanPSMT"/>
        </w:rPr>
        <w:t>,</w:t>
      </w:r>
      <w:r w:rsidR="00FB78C2">
        <w:rPr>
          <w:rFonts w:ascii="TimesNewRomanPSMT" w:hAnsi="TimesNewRomanPSMT" w:cs="TimesNewRomanPSMT"/>
        </w:rPr>
        <w:t xml:space="preserve"> as is </w:t>
      </w:r>
      <w:r w:rsidR="008828B1">
        <w:rPr>
          <w:rFonts w:ascii="TimesNewRomanPSMT" w:hAnsi="TimesNewRomanPSMT" w:cs="TimesNewRomanPSMT"/>
        </w:rPr>
        <w:t>how such selectivity compares with that realized by the continental shelf survey gear</w:t>
      </w:r>
      <w:r w:rsidR="00436463">
        <w:rPr>
          <w:rFonts w:ascii="TimesNewRomanPSMT" w:hAnsi="TimesNewRomanPSMT" w:cs="TimesNewRomanPSMT"/>
        </w:rPr>
        <w:t>, which does not use mud-sweep</w:t>
      </w:r>
      <w:r w:rsidR="008828B1">
        <w:rPr>
          <w:rFonts w:ascii="TimesNewRomanPSMT" w:hAnsi="TimesNewRomanPSMT" w:cs="TimesNewRomanPSMT"/>
        </w:rPr>
        <w:t xml:space="preserve"> roller gear. </w:t>
      </w:r>
    </w:p>
    <w:p w:rsidR="003B7CBD" w:rsidRDefault="003B7CBD" w:rsidP="00CA3EC2">
      <w:pPr>
        <w:spacing w:after="0"/>
        <w:jc w:val="left"/>
      </w:pPr>
    </w:p>
    <w:p w:rsidR="008578CF" w:rsidRDefault="0008526B">
      <w:pPr>
        <w:pStyle w:val="ListParagraph"/>
        <w:numPr>
          <w:ilvl w:val="0"/>
          <w:numId w:val="5"/>
        </w:numPr>
        <w:spacing w:after="0"/>
        <w:jc w:val="left"/>
      </w:pPr>
      <w:r w:rsidRPr="0008526B">
        <w:rPr>
          <w:b/>
          <w:i/>
        </w:rPr>
        <w:t>Determination of stock boundaries</w:t>
      </w:r>
      <w:r w:rsidR="00AA52D4">
        <w:rPr>
          <w:b/>
          <w:i/>
        </w:rPr>
        <w:t xml:space="preserve"> for assessment</w:t>
      </w:r>
      <w:r w:rsidR="001166C7">
        <w:t xml:space="preserve">. </w:t>
      </w:r>
      <w:r w:rsidR="002C5655">
        <w:t>The boundaries of the PIGKC fishery are defined by the boundaries of the Pribilof District of Registration Area Q and</w:t>
      </w:r>
      <w:r w:rsidR="004B6D2B">
        <w:t>,</w:t>
      </w:r>
      <w:r w:rsidR="002C5655">
        <w:t xml:space="preserve"> within that area, the fishery has occurred mostly in the Pribilof Canyon area to the south of the Pribilof Islands (Figure 1).  </w:t>
      </w:r>
      <w:r w:rsidR="008578CF">
        <w:t>By contrast, t</w:t>
      </w:r>
      <w:r w:rsidR="002C5655">
        <w:t xml:space="preserve">he surveyed area extends north into the Northern District of Registration Area Q (north of 58° 39’ N) and south into the Aleutian Islands Registration Area O (south of 54° 36' N).  </w:t>
      </w:r>
      <w:r w:rsidR="003A414F">
        <w:t xml:space="preserve">Though a large </w:t>
      </w:r>
      <w:r w:rsidR="00736FA1">
        <w:t>proportion of the GKC encountered</w:t>
      </w:r>
      <w:r w:rsidR="00BB06FC">
        <w:t xml:space="preserve"> in the slope survey are caught </w:t>
      </w:r>
      <w:r w:rsidR="003A414F">
        <w:t>in the Pribilof Canyon area</w:t>
      </w:r>
      <w:r w:rsidR="00374DC4">
        <w:t xml:space="preserve">, some GKC crab are captured </w:t>
      </w:r>
      <w:r w:rsidR="00F63F01">
        <w:t xml:space="preserve">sporadically throughout the </w:t>
      </w:r>
      <w:r w:rsidR="00374DC4">
        <w:t>survey</w:t>
      </w:r>
      <w:r w:rsidR="00F63F01">
        <w:t>ed</w:t>
      </w:r>
      <w:r w:rsidR="00374DC4">
        <w:t xml:space="preserve"> </w:t>
      </w:r>
      <w:r w:rsidR="00F63F01">
        <w:t>area</w:t>
      </w:r>
      <w:r w:rsidR="003A414F">
        <w:t xml:space="preserve"> </w:t>
      </w:r>
      <w:r w:rsidR="00BB06FC">
        <w:t>(Hoff and Britt 2003, 2005, 2009, 2011)</w:t>
      </w:r>
      <w:r w:rsidR="007A3AEA">
        <w:t xml:space="preserve">, and a </w:t>
      </w:r>
      <w:r w:rsidR="00BB06FC">
        <w:t xml:space="preserve">Northern District </w:t>
      </w:r>
      <w:r w:rsidR="00D01B99">
        <w:t xml:space="preserve">GKC fishery has been successfully prosecuted </w:t>
      </w:r>
      <w:r w:rsidR="006A1471">
        <w:t>historically, mostly to the west of St. Matthew Island</w:t>
      </w:r>
      <w:r w:rsidR="003A414F">
        <w:t xml:space="preserve"> in the area of the northern-most extent of the slope </w:t>
      </w:r>
      <w:r w:rsidR="008C017E">
        <w:t>survey</w:t>
      </w:r>
      <w:r w:rsidR="006A1471">
        <w:t>, with a peak harvest of 414,000 lb in 1987 (</w:t>
      </w:r>
      <w:r w:rsidR="004267D9">
        <w:t>Fitch et al</w:t>
      </w:r>
      <w:r w:rsidR="006A1471">
        <w:t>.</w:t>
      </w:r>
      <w:r w:rsidR="004267D9">
        <w:t xml:space="preserve"> 2012).</w:t>
      </w:r>
      <w:r w:rsidR="00BB06FC">
        <w:t xml:space="preserve"> </w:t>
      </w:r>
      <w:r w:rsidR="00D01B99">
        <w:t xml:space="preserve">All of this serves to underscore the fact that the PIGKC “stock” is, like </w:t>
      </w:r>
      <w:r w:rsidR="005D09F9">
        <w:t>some other fisheries stocks, an</w:t>
      </w:r>
      <w:r w:rsidR="00D01B99">
        <w:t xml:space="preserve"> artificial construct, depending for its existence on the reification of administrative boundaries rather than on biological reality. </w:t>
      </w:r>
      <w:r w:rsidR="005D09F9">
        <w:t>It is thus inherently unclear how slope-survey results should be used for its assessment.</w:t>
      </w:r>
    </w:p>
    <w:p w:rsidR="00174E85" w:rsidRDefault="00174E85" w:rsidP="00CA3EC2">
      <w:pPr>
        <w:spacing w:after="0"/>
        <w:jc w:val="left"/>
      </w:pPr>
    </w:p>
    <w:p w:rsidR="008578CF" w:rsidRDefault="0008526B">
      <w:pPr>
        <w:pStyle w:val="ListParagraph"/>
        <w:numPr>
          <w:ilvl w:val="0"/>
          <w:numId w:val="5"/>
        </w:numPr>
        <w:spacing w:after="0"/>
        <w:jc w:val="left"/>
        <w:rPr>
          <w:lang w:val="en-AU"/>
        </w:rPr>
      </w:pPr>
      <w:r w:rsidRPr="0008526B">
        <w:rPr>
          <w:b/>
          <w:i/>
          <w:lang w:val="en-AU"/>
        </w:rPr>
        <w:t xml:space="preserve">Fishing season, </w:t>
      </w:r>
      <w:r w:rsidR="005531D3" w:rsidRPr="0051420F">
        <w:rPr>
          <w:b/>
          <w:i/>
          <w:lang w:val="en-AU"/>
        </w:rPr>
        <w:t>stock-assessment schedule</w:t>
      </w:r>
      <w:r w:rsidR="005531D3">
        <w:rPr>
          <w:b/>
          <w:i/>
          <w:lang w:val="en-AU"/>
        </w:rPr>
        <w:t>, and</w:t>
      </w:r>
      <w:r w:rsidR="005531D3" w:rsidRPr="0051420F">
        <w:rPr>
          <w:b/>
          <w:i/>
          <w:lang w:val="en-AU"/>
        </w:rPr>
        <w:t xml:space="preserve"> </w:t>
      </w:r>
      <w:r w:rsidRPr="0008526B">
        <w:rPr>
          <w:b/>
          <w:i/>
          <w:lang w:val="en-AU"/>
        </w:rPr>
        <w:t>survey schedule.</w:t>
      </w:r>
      <w:r w:rsidR="0051420F">
        <w:rPr>
          <w:lang w:val="en-AU"/>
        </w:rPr>
        <w:t xml:space="preserve"> </w:t>
      </w:r>
      <w:r w:rsidR="0019277C">
        <w:rPr>
          <w:lang w:val="en-AU"/>
        </w:rPr>
        <w:t>T</w:t>
      </w:r>
      <w:r w:rsidR="00C01E2D" w:rsidRPr="0051420F">
        <w:rPr>
          <w:lang w:val="en-AU"/>
        </w:rPr>
        <w:t>he PIGKC fishery takes place</w:t>
      </w:r>
      <w:r w:rsidR="00932ECC" w:rsidRPr="0051420F">
        <w:rPr>
          <w:lang w:val="en-AU"/>
        </w:rPr>
        <w:t xml:space="preserve"> </w:t>
      </w:r>
      <w:r w:rsidR="004B6D2B">
        <w:rPr>
          <w:lang w:val="en-AU"/>
        </w:rPr>
        <w:t xml:space="preserve">from January 1 to December 31 under the conditions </w:t>
      </w:r>
      <w:r w:rsidR="00C01E2D" w:rsidRPr="0051420F">
        <w:rPr>
          <w:lang w:val="en-AU"/>
        </w:rPr>
        <w:t xml:space="preserve">of a </w:t>
      </w:r>
      <w:r w:rsidR="00932ECC" w:rsidRPr="0051420F">
        <w:rPr>
          <w:lang w:val="en-AU"/>
        </w:rPr>
        <w:t>Commissioner’</w:t>
      </w:r>
      <w:r w:rsidR="00C01E2D" w:rsidRPr="0051420F">
        <w:rPr>
          <w:lang w:val="en-AU"/>
        </w:rPr>
        <w:t>s permit</w:t>
      </w:r>
      <w:r w:rsidR="00450F32" w:rsidRPr="0051420F">
        <w:rPr>
          <w:lang w:val="en-AU"/>
        </w:rPr>
        <w:t>, as mandated</w:t>
      </w:r>
      <w:r w:rsidR="00C01E2D" w:rsidRPr="0051420F">
        <w:rPr>
          <w:lang w:val="en-AU"/>
        </w:rPr>
        <w:t xml:space="preserve"> </w:t>
      </w:r>
      <w:r w:rsidR="00450F32" w:rsidRPr="0051420F">
        <w:rPr>
          <w:lang w:val="en-AU"/>
        </w:rPr>
        <w:t>by</w:t>
      </w:r>
      <w:r w:rsidR="00C01E2D" w:rsidRPr="0051420F">
        <w:rPr>
          <w:lang w:val="en-AU"/>
        </w:rPr>
        <w:t xml:space="preserve"> State of Alaska regulation </w:t>
      </w:r>
      <w:r w:rsidR="00C01E2D" w:rsidRPr="0051420F">
        <w:rPr>
          <w:b/>
          <w:lang w:val="en-AU"/>
        </w:rPr>
        <w:t>5 AAC 34.910 (b) (3)</w:t>
      </w:r>
      <w:r w:rsidR="00C01E2D" w:rsidRPr="0051420F">
        <w:rPr>
          <w:lang w:val="en-AU"/>
        </w:rPr>
        <w:t xml:space="preserve">. </w:t>
      </w:r>
      <w:r w:rsidR="00C71B46" w:rsidRPr="0051420F">
        <w:rPr>
          <w:lang w:val="en-AU"/>
        </w:rPr>
        <w:t xml:space="preserve">This </w:t>
      </w:r>
      <w:r w:rsidR="00991764" w:rsidRPr="0051420F">
        <w:rPr>
          <w:lang w:val="en-AU"/>
        </w:rPr>
        <w:t xml:space="preserve">poses a number </w:t>
      </w:r>
      <w:r w:rsidR="00450F32" w:rsidRPr="0051420F">
        <w:rPr>
          <w:lang w:val="en-AU"/>
        </w:rPr>
        <w:t>of timing difficulti</w:t>
      </w:r>
      <w:r w:rsidR="00C27E1C" w:rsidRPr="0051420F">
        <w:rPr>
          <w:lang w:val="en-AU"/>
        </w:rPr>
        <w:t xml:space="preserve">es </w:t>
      </w:r>
      <w:r w:rsidR="0095586B" w:rsidRPr="0051420F">
        <w:rPr>
          <w:lang w:val="en-AU"/>
        </w:rPr>
        <w:t xml:space="preserve">given </w:t>
      </w:r>
      <w:r w:rsidR="00C27E1C" w:rsidRPr="0051420F">
        <w:rPr>
          <w:lang w:val="en-AU"/>
        </w:rPr>
        <w:t xml:space="preserve">the existing </w:t>
      </w:r>
      <w:r w:rsidR="00FE6543" w:rsidRPr="0051420F">
        <w:rPr>
          <w:lang w:val="en-AU"/>
        </w:rPr>
        <w:t>CPT</w:t>
      </w:r>
      <w:r w:rsidR="00450F32" w:rsidRPr="0051420F">
        <w:rPr>
          <w:lang w:val="en-AU"/>
        </w:rPr>
        <w:t xml:space="preserve"> assessment</w:t>
      </w:r>
      <w:r w:rsidR="00FE6543" w:rsidRPr="0051420F">
        <w:rPr>
          <w:lang w:val="en-AU"/>
        </w:rPr>
        <w:t xml:space="preserve"> cycle</w:t>
      </w:r>
      <w:r w:rsidR="00991764" w:rsidRPr="0051420F">
        <w:rPr>
          <w:lang w:val="en-AU"/>
        </w:rPr>
        <w:t xml:space="preserve">, especially as </w:t>
      </w:r>
      <w:r w:rsidR="009913E7" w:rsidRPr="0051420F">
        <w:rPr>
          <w:lang w:val="en-AU"/>
        </w:rPr>
        <w:t>the fishery can</w:t>
      </w:r>
      <w:r w:rsidR="007D679D" w:rsidRPr="0051420F">
        <w:rPr>
          <w:lang w:val="en-AU"/>
        </w:rPr>
        <w:t xml:space="preserve"> </w:t>
      </w:r>
      <w:r w:rsidR="00991764" w:rsidRPr="0051420F">
        <w:rPr>
          <w:lang w:val="en-AU"/>
        </w:rPr>
        <w:t xml:space="preserve">potentially </w:t>
      </w:r>
      <w:r w:rsidR="007D679D" w:rsidRPr="0051420F">
        <w:rPr>
          <w:lang w:val="en-AU"/>
        </w:rPr>
        <w:t>occur, and historically has occurred</w:t>
      </w:r>
      <w:r w:rsidR="009F4746" w:rsidRPr="0051420F">
        <w:rPr>
          <w:lang w:val="en-AU"/>
        </w:rPr>
        <w:t>, throughout the year</w:t>
      </w:r>
      <w:r w:rsidR="005531D3">
        <w:rPr>
          <w:lang w:val="en-AU"/>
        </w:rPr>
        <w:t xml:space="preserve"> (Table 1)</w:t>
      </w:r>
      <w:r w:rsidR="0068345F" w:rsidRPr="0051420F">
        <w:rPr>
          <w:lang w:val="en-AU"/>
        </w:rPr>
        <w:t xml:space="preserve"> and may</w:t>
      </w:r>
      <w:r w:rsidR="009F4746" w:rsidRPr="0051420F">
        <w:rPr>
          <w:lang w:val="en-AU"/>
        </w:rPr>
        <w:t xml:space="preserve"> be in progress at the time of either </w:t>
      </w:r>
      <w:r w:rsidR="005531D3">
        <w:rPr>
          <w:lang w:val="en-AU"/>
        </w:rPr>
        <w:t xml:space="preserve">the Spring or Fall </w:t>
      </w:r>
      <w:r w:rsidR="009F4746" w:rsidRPr="0051420F">
        <w:rPr>
          <w:lang w:val="en-AU"/>
        </w:rPr>
        <w:t>CPT meetings.</w:t>
      </w:r>
      <w:r w:rsidR="00991764" w:rsidRPr="0051420F">
        <w:rPr>
          <w:lang w:val="en-AU"/>
        </w:rPr>
        <w:t xml:space="preserve"> </w:t>
      </w:r>
      <w:r w:rsidR="006675B2" w:rsidRPr="0051420F">
        <w:rPr>
          <w:lang w:val="en-AU"/>
        </w:rPr>
        <w:t>Under the present</w:t>
      </w:r>
      <w:r w:rsidR="00E64520" w:rsidRPr="0051420F">
        <w:rPr>
          <w:lang w:val="en-AU"/>
        </w:rPr>
        <w:t xml:space="preserve"> Tier-5 assessment methodology</w:t>
      </w:r>
      <w:r w:rsidR="00C27E1C" w:rsidRPr="0051420F">
        <w:rPr>
          <w:lang w:val="en-AU"/>
        </w:rPr>
        <w:t xml:space="preserve"> </w:t>
      </w:r>
      <w:r w:rsidR="00C97AB6" w:rsidRPr="0051420F">
        <w:rPr>
          <w:lang w:val="en-AU"/>
        </w:rPr>
        <w:t>this problem is</w:t>
      </w:r>
      <w:r w:rsidR="00C27E1C" w:rsidRPr="0051420F">
        <w:rPr>
          <w:lang w:val="en-AU"/>
        </w:rPr>
        <w:t xml:space="preserve"> handled </w:t>
      </w:r>
      <w:r w:rsidR="009F4746" w:rsidRPr="0051420F">
        <w:rPr>
          <w:lang w:val="en-AU"/>
        </w:rPr>
        <w:t>by determining both overfishing status in</w:t>
      </w:r>
      <w:r w:rsidR="00C27E1C" w:rsidRPr="0051420F">
        <w:rPr>
          <w:lang w:val="en-AU"/>
        </w:rPr>
        <w:t xml:space="preserve"> year </w:t>
      </w:r>
      <w:r w:rsidR="00C27E1C" w:rsidRPr="0051420F">
        <w:rPr>
          <w:i/>
          <w:lang w:val="en-AU"/>
        </w:rPr>
        <w:t>t-</w:t>
      </w:r>
      <w:r w:rsidR="00482B14" w:rsidRPr="0051420F">
        <w:rPr>
          <w:i/>
          <w:lang w:val="en-AU"/>
        </w:rPr>
        <w:t xml:space="preserve">1 </w:t>
      </w:r>
      <w:r w:rsidR="00C27E1C" w:rsidRPr="0051420F">
        <w:rPr>
          <w:lang w:val="en-AU"/>
        </w:rPr>
        <w:t xml:space="preserve">and the OFL for year </w:t>
      </w:r>
      <w:r w:rsidR="00C27E1C" w:rsidRPr="0051420F">
        <w:rPr>
          <w:i/>
          <w:lang w:val="en-AU"/>
        </w:rPr>
        <w:t>t+1</w:t>
      </w:r>
      <w:r w:rsidR="0068345F" w:rsidRPr="0051420F">
        <w:rPr>
          <w:lang w:val="en-AU"/>
        </w:rPr>
        <w:t xml:space="preserve"> at the time of </w:t>
      </w:r>
      <w:r w:rsidR="00C27E1C" w:rsidRPr="0051420F">
        <w:rPr>
          <w:lang w:val="en-AU"/>
        </w:rPr>
        <w:t xml:space="preserve">the Spring </w:t>
      </w:r>
      <w:r w:rsidR="0068345F" w:rsidRPr="0051420F">
        <w:rPr>
          <w:lang w:val="en-AU"/>
        </w:rPr>
        <w:t xml:space="preserve">CPT meeting </w:t>
      </w:r>
      <w:r w:rsidR="00C27E1C" w:rsidRPr="0051420F">
        <w:rPr>
          <w:lang w:val="en-AU"/>
        </w:rPr>
        <w:t xml:space="preserve">of year </w:t>
      </w:r>
      <w:r w:rsidR="00C27E1C" w:rsidRPr="0051420F">
        <w:rPr>
          <w:i/>
          <w:lang w:val="en-AU"/>
        </w:rPr>
        <w:t>t</w:t>
      </w:r>
      <w:r w:rsidR="00C02437" w:rsidRPr="0051420F">
        <w:rPr>
          <w:lang w:val="en-AU"/>
        </w:rPr>
        <w:t xml:space="preserve"> so that the status of the current year’s fishery</w:t>
      </w:r>
      <w:r w:rsidR="00480447" w:rsidRPr="0051420F">
        <w:rPr>
          <w:lang w:val="en-AU"/>
        </w:rPr>
        <w:t xml:space="preserve"> is </w:t>
      </w:r>
      <w:r w:rsidR="00B26CD4">
        <w:rPr>
          <w:lang w:val="en-AU"/>
        </w:rPr>
        <w:t>immaterial</w:t>
      </w:r>
      <w:r w:rsidR="00480447" w:rsidRPr="0051420F">
        <w:rPr>
          <w:lang w:val="en-AU"/>
        </w:rPr>
        <w:t xml:space="preserve">. </w:t>
      </w:r>
      <w:r w:rsidR="000F2C06">
        <w:rPr>
          <w:lang w:val="en-AU"/>
        </w:rPr>
        <w:t xml:space="preserve"> U</w:t>
      </w:r>
      <w:r w:rsidR="00482B14" w:rsidRPr="0051420F">
        <w:rPr>
          <w:lang w:val="en-AU"/>
        </w:rPr>
        <w:t>nder a Tier-</w:t>
      </w:r>
      <w:r w:rsidR="005531D3">
        <w:rPr>
          <w:lang w:val="en-AU"/>
        </w:rPr>
        <w:t>4</w:t>
      </w:r>
      <w:r w:rsidR="000F2C06">
        <w:rPr>
          <w:lang w:val="en-AU"/>
        </w:rPr>
        <w:t xml:space="preserve"> approach, however, </w:t>
      </w:r>
      <w:r w:rsidR="00482B14" w:rsidRPr="0051420F">
        <w:rPr>
          <w:lang w:val="en-AU"/>
        </w:rPr>
        <w:t>year-</w:t>
      </w:r>
      <w:r w:rsidR="00482B14" w:rsidRPr="0051420F">
        <w:rPr>
          <w:i/>
          <w:lang w:val="en-AU"/>
        </w:rPr>
        <w:t>t</w:t>
      </w:r>
      <w:r w:rsidR="00482B14" w:rsidRPr="0051420F">
        <w:rPr>
          <w:lang w:val="en-AU"/>
        </w:rPr>
        <w:t xml:space="preserve"> catch and </w:t>
      </w:r>
      <w:proofErr w:type="spellStart"/>
      <w:r w:rsidR="00482B14" w:rsidRPr="0051420F">
        <w:rPr>
          <w:lang w:val="en-AU"/>
        </w:rPr>
        <w:t>bycatch</w:t>
      </w:r>
      <w:proofErr w:type="spellEnd"/>
      <w:r w:rsidR="00482B14" w:rsidRPr="0051420F">
        <w:rPr>
          <w:lang w:val="en-AU"/>
        </w:rPr>
        <w:t xml:space="preserve"> data </w:t>
      </w:r>
      <w:r w:rsidR="000F2C06">
        <w:rPr>
          <w:lang w:val="en-AU"/>
        </w:rPr>
        <w:t xml:space="preserve">are </w:t>
      </w:r>
      <w:r w:rsidR="00482B14" w:rsidRPr="0051420F">
        <w:rPr>
          <w:lang w:val="en-AU"/>
        </w:rPr>
        <w:t xml:space="preserve">needed in projecting stock biomass into year </w:t>
      </w:r>
      <w:r w:rsidR="00482B14" w:rsidRPr="0051420F">
        <w:rPr>
          <w:i/>
          <w:lang w:val="en-AU"/>
        </w:rPr>
        <w:t xml:space="preserve">t+1 </w:t>
      </w:r>
      <w:r w:rsidR="00B34870" w:rsidRPr="0051420F">
        <w:rPr>
          <w:lang w:val="en-AU"/>
        </w:rPr>
        <w:t>for</w:t>
      </w:r>
      <w:r w:rsidR="00482B14" w:rsidRPr="0051420F">
        <w:rPr>
          <w:lang w:val="en-AU"/>
        </w:rPr>
        <w:t xml:space="preserve"> </w:t>
      </w:r>
      <w:r w:rsidR="008F3748" w:rsidRPr="0051420F">
        <w:rPr>
          <w:lang w:val="en-AU"/>
        </w:rPr>
        <w:t xml:space="preserve">subsequent </w:t>
      </w:r>
      <w:r w:rsidR="00482B14" w:rsidRPr="0051420F">
        <w:rPr>
          <w:lang w:val="en-AU"/>
        </w:rPr>
        <w:t>OFL calculation</w:t>
      </w:r>
      <w:r w:rsidR="00B34870" w:rsidRPr="0051420F">
        <w:rPr>
          <w:lang w:val="en-AU"/>
        </w:rPr>
        <w:t>s</w:t>
      </w:r>
      <w:r w:rsidR="00482B14" w:rsidRPr="0051420F">
        <w:rPr>
          <w:lang w:val="en-AU"/>
        </w:rPr>
        <w:t xml:space="preserve">. </w:t>
      </w:r>
      <w:r w:rsidR="005531D3">
        <w:t xml:space="preserve">In addition, the survey’s biennial cycle is in itself problematic because “off-year” assessment computations </w:t>
      </w:r>
      <w:r w:rsidR="008613FF">
        <w:t xml:space="preserve">would be </w:t>
      </w:r>
      <w:r w:rsidR="005531D3">
        <w:t>dependent on multi-year projections of the most recent survey-based estimates. Given the lack of other relevant data and the limited knowledge about PIGKC biology and population dynamics, such lengthy projections will necessarily be crude and can be expected to contribute substantial, and mostly unquantifiable, extra uncertainty to the assessment process.</w:t>
      </w:r>
    </w:p>
    <w:p w:rsidR="008578CF" w:rsidRDefault="008578CF">
      <w:pPr>
        <w:pStyle w:val="ListParagraph"/>
        <w:rPr>
          <w:lang w:val="en-AU"/>
        </w:rPr>
      </w:pPr>
    </w:p>
    <w:p w:rsidR="008578CF" w:rsidRDefault="0008526B">
      <w:pPr>
        <w:pStyle w:val="ListParagraph"/>
        <w:numPr>
          <w:ilvl w:val="0"/>
          <w:numId w:val="5"/>
        </w:numPr>
        <w:spacing w:after="0"/>
        <w:jc w:val="left"/>
        <w:rPr>
          <w:lang w:val="en-AU"/>
        </w:rPr>
      </w:pPr>
      <w:r w:rsidRPr="0008526B">
        <w:rPr>
          <w:b/>
          <w:i/>
          <w:lang w:val="en-AU"/>
        </w:rPr>
        <w:t>Confidentiality of directed fishery data.</w:t>
      </w:r>
      <w:r w:rsidR="005531D3">
        <w:rPr>
          <w:lang w:val="en-AU"/>
        </w:rPr>
        <w:t xml:space="preserve"> </w:t>
      </w:r>
      <w:r w:rsidR="008532FB">
        <w:rPr>
          <w:lang w:val="en-AU"/>
        </w:rPr>
        <w:t>T</w:t>
      </w:r>
      <w:r w:rsidR="00C71127" w:rsidRPr="0051420F">
        <w:rPr>
          <w:lang w:val="en-AU"/>
        </w:rPr>
        <w:t xml:space="preserve">he </w:t>
      </w:r>
      <w:r w:rsidR="00DB3107" w:rsidRPr="0051420F">
        <w:rPr>
          <w:lang w:val="en-AU"/>
        </w:rPr>
        <w:t xml:space="preserve">limited vessel participation of the </w:t>
      </w:r>
      <w:r w:rsidR="00093464" w:rsidRPr="0051420F">
        <w:rPr>
          <w:lang w:val="en-AU"/>
        </w:rPr>
        <w:t xml:space="preserve">PIGKC </w:t>
      </w:r>
      <w:r w:rsidR="00DB3107" w:rsidRPr="0051420F">
        <w:rPr>
          <w:lang w:val="en-AU"/>
        </w:rPr>
        <w:t>fishery, especially in recent years</w:t>
      </w:r>
      <w:r w:rsidR="00FB22AF" w:rsidRPr="0051420F">
        <w:rPr>
          <w:lang w:val="en-AU"/>
        </w:rPr>
        <w:t>,</w:t>
      </w:r>
      <w:r w:rsidR="00C04BA8" w:rsidRPr="0051420F">
        <w:rPr>
          <w:lang w:val="en-AU"/>
        </w:rPr>
        <w:t xml:space="preserve"> </w:t>
      </w:r>
      <w:r w:rsidR="00990228" w:rsidRPr="0051420F">
        <w:rPr>
          <w:lang w:val="en-AU"/>
        </w:rPr>
        <w:t>mean</w:t>
      </w:r>
      <w:r w:rsidR="00182CCB">
        <w:rPr>
          <w:lang w:val="en-AU"/>
        </w:rPr>
        <w:t>s</w:t>
      </w:r>
      <w:r w:rsidR="00990228" w:rsidRPr="0051420F">
        <w:rPr>
          <w:lang w:val="en-AU"/>
        </w:rPr>
        <w:t xml:space="preserve"> </w:t>
      </w:r>
      <w:r w:rsidR="007102A0" w:rsidRPr="0051420F">
        <w:rPr>
          <w:lang w:val="en-AU"/>
        </w:rPr>
        <w:t>that</w:t>
      </w:r>
      <w:r w:rsidR="008A1FE2" w:rsidRPr="0051420F">
        <w:rPr>
          <w:lang w:val="en-AU"/>
        </w:rPr>
        <w:t xml:space="preserve"> confidentiality requirements</w:t>
      </w:r>
      <w:r w:rsidR="007102A0" w:rsidRPr="0051420F">
        <w:rPr>
          <w:lang w:val="en-AU"/>
        </w:rPr>
        <w:t xml:space="preserve"> can</w:t>
      </w:r>
      <w:r w:rsidR="00C04BA8" w:rsidRPr="0051420F">
        <w:rPr>
          <w:lang w:val="en-AU"/>
        </w:rPr>
        <w:t xml:space="preserve"> </w:t>
      </w:r>
      <w:r w:rsidR="00C71127" w:rsidRPr="0051420F">
        <w:rPr>
          <w:lang w:val="en-AU"/>
        </w:rPr>
        <w:t xml:space="preserve">routinely </w:t>
      </w:r>
      <w:r w:rsidR="006675B2" w:rsidRPr="0051420F">
        <w:rPr>
          <w:lang w:val="en-AU"/>
        </w:rPr>
        <w:t>obstruct communic</w:t>
      </w:r>
      <w:r w:rsidR="00FB22AF" w:rsidRPr="0051420F">
        <w:rPr>
          <w:lang w:val="en-AU"/>
        </w:rPr>
        <w:t>a</w:t>
      </w:r>
      <w:r w:rsidR="006675B2" w:rsidRPr="0051420F">
        <w:rPr>
          <w:lang w:val="en-AU"/>
        </w:rPr>
        <w:t xml:space="preserve">tion of </w:t>
      </w:r>
      <w:r w:rsidR="00093464" w:rsidRPr="0051420F">
        <w:rPr>
          <w:lang w:val="en-AU"/>
        </w:rPr>
        <w:t xml:space="preserve">fishery data and </w:t>
      </w:r>
      <w:r w:rsidR="006675B2" w:rsidRPr="0051420F">
        <w:rPr>
          <w:lang w:val="en-AU"/>
        </w:rPr>
        <w:t>assessment</w:t>
      </w:r>
      <w:r w:rsidR="00FB22AF" w:rsidRPr="0051420F">
        <w:rPr>
          <w:lang w:val="en-AU"/>
        </w:rPr>
        <w:t xml:space="preserve"> methods and results.</w:t>
      </w:r>
      <w:r w:rsidR="00DB3107" w:rsidRPr="0051420F">
        <w:rPr>
          <w:lang w:val="en-AU"/>
        </w:rPr>
        <w:t xml:space="preserve"> This problem has plagued assessment efforts under the present Tier-5 approach, but the additional complexities of a Tier-4</w:t>
      </w:r>
      <w:r w:rsidR="00E64520" w:rsidRPr="0051420F">
        <w:rPr>
          <w:lang w:val="en-AU"/>
        </w:rPr>
        <w:t xml:space="preserve"> approach</w:t>
      </w:r>
      <w:r w:rsidR="008F3748" w:rsidRPr="0051420F">
        <w:rPr>
          <w:lang w:val="en-AU"/>
        </w:rPr>
        <w:t xml:space="preserve"> would likely </w:t>
      </w:r>
      <w:r w:rsidR="00DB3107" w:rsidRPr="0051420F">
        <w:rPr>
          <w:lang w:val="en-AU"/>
        </w:rPr>
        <w:t>exacerbate it</w:t>
      </w:r>
      <w:r w:rsidR="008A1FE2" w:rsidRPr="0051420F">
        <w:rPr>
          <w:lang w:val="en-AU"/>
        </w:rPr>
        <w:t>, making assessment documentation and presentation even more awkward</w:t>
      </w:r>
      <w:r w:rsidR="00DB3107" w:rsidRPr="0051420F">
        <w:rPr>
          <w:lang w:val="en-AU"/>
        </w:rPr>
        <w:t xml:space="preserve">. </w:t>
      </w:r>
    </w:p>
    <w:p w:rsidR="0028788C" w:rsidRDefault="0028788C" w:rsidP="00CA3EC2">
      <w:pPr>
        <w:spacing w:after="0"/>
        <w:jc w:val="left"/>
        <w:rPr>
          <w:lang w:val="en-AU"/>
        </w:rPr>
      </w:pPr>
    </w:p>
    <w:p w:rsidR="0028788C" w:rsidRDefault="0028788C" w:rsidP="00CA3EC2">
      <w:pPr>
        <w:spacing w:after="0"/>
        <w:jc w:val="left"/>
        <w:rPr>
          <w:lang w:val="en-AU"/>
        </w:rPr>
      </w:pPr>
      <w:r>
        <w:rPr>
          <w:lang w:val="en-AU"/>
        </w:rPr>
        <w:t>In the author’s view, the considerations enumerated above conspire to raise doubt about whether the tradeoffs involved in moving to a Tier-4 approach</w:t>
      </w:r>
      <w:r w:rsidR="00627C03">
        <w:rPr>
          <w:lang w:val="en-AU"/>
        </w:rPr>
        <w:t xml:space="preserve"> would lead to a more meaningful or scientifically defensible assessment of the PIGKC stock</w:t>
      </w:r>
      <w:r w:rsidR="00F5533B">
        <w:rPr>
          <w:lang w:val="en-AU"/>
        </w:rPr>
        <w:t xml:space="preserve">. </w:t>
      </w:r>
      <w:r w:rsidR="00B6261D">
        <w:rPr>
          <w:lang w:val="en-AU"/>
        </w:rPr>
        <w:t xml:space="preserve">Nevertheless, a possible </w:t>
      </w:r>
      <w:r>
        <w:rPr>
          <w:lang w:val="en-AU"/>
        </w:rPr>
        <w:t>Tier-4 approach is sketched in what follows.</w:t>
      </w:r>
    </w:p>
    <w:p w:rsidR="004338F7" w:rsidRDefault="002D5DA5" w:rsidP="00CA3EC2">
      <w:pPr>
        <w:spacing w:after="0"/>
        <w:jc w:val="left"/>
      </w:pPr>
      <w:r>
        <w:rPr>
          <w:lang w:val="en-AU"/>
        </w:rPr>
        <w:t xml:space="preserve"> </w:t>
      </w:r>
    </w:p>
    <w:p w:rsidR="0028788C" w:rsidRPr="0028788C" w:rsidRDefault="008F5967" w:rsidP="00CA3EC2">
      <w:pPr>
        <w:spacing w:after="0"/>
        <w:jc w:val="left"/>
        <w:rPr>
          <w:b/>
          <w:u w:val="single"/>
        </w:rPr>
      </w:pPr>
      <w:r>
        <w:rPr>
          <w:b/>
          <w:u w:val="single"/>
        </w:rPr>
        <w:t xml:space="preserve">Tier-4 Assessment </w:t>
      </w:r>
      <w:r w:rsidR="00331366">
        <w:rPr>
          <w:b/>
          <w:u w:val="single"/>
        </w:rPr>
        <w:t>Outline</w:t>
      </w:r>
    </w:p>
    <w:p w:rsidR="007C5E1A" w:rsidRDefault="00EC4034" w:rsidP="00CA3EC2">
      <w:pPr>
        <w:spacing w:after="0"/>
        <w:jc w:val="left"/>
      </w:pPr>
      <w:r>
        <w:t>Un</w:t>
      </w:r>
      <w:r w:rsidR="00E22C5E">
        <w:t>der the approach presented here</w:t>
      </w:r>
      <w:r>
        <w:t xml:space="preserve"> </w:t>
      </w:r>
      <w:r w:rsidR="007C5E1A">
        <w:t xml:space="preserve">only the </w:t>
      </w:r>
      <w:r w:rsidR="002F2D27">
        <w:t>mature</w:t>
      </w:r>
      <w:r w:rsidR="00E22C5E">
        <w:t xml:space="preserve"> </w:t>
      </w:r>
      <w:r w:rsidR="007C5E1A">
        <w:t>male component of the</w:t>
      </w:r>
      <w:r w:rsidR="001E5627">
        <w:t xml:space="preserve"> population</w:t>
      </w:r>
      <w:r>
        <w:t xml:space="preserve"> is </w:t>
      </w:r>
      <w:r w:rsidR="00067BC9">
        <w:t xml:space="preserve">directly </w:t>
      </w:r>
      <w:r>
        <w:t>subject to assessment</w:t>
      </w:r>
      <w:r w:rsidR="00067BC9">
        <w:t>, with m</w:t>
      </w:r>
      <w:r w:rsidR="007C5E1A">
        <w:t xml:space="preserve">ale PIGKC measuring </w:t>
      </w:r>
      <w:r w:rsidR="00115AB5">
        <w:t xml:space="preserve">at least </w:t>
      </w:r>
      <w:r w:rsidR="007C5E1A">
        <w:t xml:space="preserve">107 mm carapace length (CL) </w:t>
      </w:r>
      <w:r w:rsidR="001E5627">
        <w:t xml:space="preserve">classified as </w:t>
      </w:r>
      <w:r w:rsidR="007C5E1A">
        <w:t>mature</w:t>
      </w:r>
      <w:r w:rsidR="002379EC">
        <w:t xml:space="preserve">, based on Otto and </w:t>
      </w:r>
      <w:proofErr w:type="spellStart"/>
      <w:r w:rsidR="002379EC">
        <w:t>Cu</w:t>
      </w:r>
      <w:r w:rsidR="007C5E1A">
        <w:t>mmiskey</w:t>
      </w:r>
      <w:proofErr w:type="spellEnd"/>
      <w:r w:rsidR="007C5E1A">
        <w:t xml:space="preserve"> (19</w:t>
      </w:r>
      <w:r w:rsidR="002379EC">
        <w:t xml:space="preserve">85). By State of Alaska regulation </w:t>
      </w:r>
      <w:r w:rsidR="002379EC" w:rsidRPr="00C57D28">
        <w:rPr>
          <w:b/>
        </w:rPr>
        <w:t>5 AAC 34.920 (a)</w:t>
      </w:r>
      <w:r w:rsidR="00115AB5">
        <w:t xml:space="preserve"> the minimum legal size </w:t>
      </w:r>
      <w:r w:rsidR="002379EC">
        <w:t>for PIGKC is 5.5 in ca</w:t>
      </w:r>
      <w:r w:rsidR="007549B1">
        <w:t>rapace width</w:t>
      </w:r>
      <w:r w:rsidR="007212A2">
        <w:t xml:space="preserve">, including spines, but a </w:t>
      </w:r>
      <w:r w:rsidR="007549B1">
        <w:t xml:space="preserve">CL measurement of 124 mm is </w:t>
      </w:r>
      <w:r w:rsidR="00627C03">
        <w:t xml:space="preserve">currently </w:t>
      </w:r>
      <w:r w:rsidR="007549B1">
        <w:t>recognized</w:t>
      </w:r>
      <w:r w:rsidR="00CA3EC2">
        <w:t xml:space="preserve"> as a proxy for legal size when </w:t>
      </w:r>
      <w:r w:rsidR="00C57D28">
        <w:t>no legal</w:t>
      </w:r>
      <w:r w:rsidR="00CA3EC2">
        <w:t xml:space="preserve"> measurement is</w:t>
      </w:r>
      <w:r w:rsidR="001E5627">
        <w:t xml:space="preserve"> </w:t>
      </w:r>
      <w:r w:rsidR="00CA3EC2">
        <w:t xml:space="preserve">available </w:t>
      </w:r>
      <w:r w:rsidR="00627C03">
        <w:t xml:space="preserve">(Table </w:t>
      </w:r>
      <w:r w:rsidR="001E1CA1">
        <w:t xml:space="preserve">3-5 in NPFMC 2007). </w:t>
      </w:r>
      <w:r w:rsidR="00CA3EC2">
        <w:t>PIG</w:t>
      </w:r>
      <w:r w:rsidR="007665F4">
        <w:t>KC fishery observer data support</w:t>
      </w:r>
      <w:r w:rsidR="00CA3EC2">
        <w:t xml:space="preserve"> the appropriateness of the surrogate </w:t>
      </w:r>
      <w:r w:rsidR="0015513B">
        <w:t>legal measurement</w:t>
      </w:r>
      <w:r w:rsidR="00CA3EC2">
        <w:t xml:space="preserve"> (Figure </w:t>
      </w:r>
      <w:r w:rsidR="00F570D3">
        <w:t>2</w:t>
      </w:r>
      <w:r w:rsidR="00CA3EC2">
        <w:t>)</w:t>
      </w:r>
      <w:r w:rsidR="001A79B7">
        <w:t>, and it is thus adopted here</w:t>
      </w:r>
      <w:r w:rsidR="00CA3EC2">
        <w:t>.</w:t>
      </w:r>
      <w:r w:rsidR="0015513B">
        <w:t xml:space="preserve"> N</w:t>
      </w:r>
      <w:r w:rsidR="006A44F3">
        <w:t>ecessary l</w:t>
      </w:r>
      <w:r w:rsidR="001E5627">
        <w:t>ength-to-weight conversions are computed using the equation</w:t>
      </w:r>
      <w:r w:rsidR="006A44F3">
        <w:t xml:space="preserve">  </w:t>
      </w:r>
      <m:oMath>
        <m:r>
          <w:rPr>
            <w:rFonts w:ascii="Cambria Math" w:hAnsi="Cambria Math"/>
          </w:rPr>
          <m:t>w=α</m:t>
        </m:r>
        <m:sSup>
          <m:sSupPr>
            <m:ctrlPr>
              <w:rPr>
                <w:rFonts w:ascii="Cambria Math" w:hAnsi="Cambria Math"/>
                <w:i/>
              </w:rPr>
            </m:ctrlPr>
          </m:sSupPr>
          <m:e>
            <m:r>
              <w:rPr>
                <w:rFonts w:ascii="Cambria Math" w:hAnsi="Cambria Math"/>
              </w:rPr>
              <m:t>l</m:t>
            </m:r>
          </m:e>
          <m:sup>
            <m:r>
              <w:rPr>
                <w:rFonts w:ascii="Cambria Math" w:hAnsi="Cambria Math"/>
              </w:rPr>
              <m:t>β</m:t>
            </m:r>
          </m:sup>
        </m:sSup>
      </m:oMath>
      <w:r w:rsidR="006A44F3">
        <w:t xml:space="preserve"> relating carapace length </w:t>
      </w:r>
      <m:oMath>
        <m:r>
          <w:rPr>
            <w:rFonts w:ascii="Cambria Math" w:hAnsi="Cambria Math"/>
          </w:rPr>
          <m:t>l</m:t>
        </m:r>
      </m:oMath>
      <w:r w:rsidR="006A44F3">
        <w:t xml:space="preserve"> in millimeters to weight </w:t>
      </w:r>
      <m:oMath>
        <m:r>
          <w:rPr>
            <w:rFonts w:ascii="Cambria Math" w:hAnsi="Cambria Math"/>
          </w:rPr>
          <m:t>w</m:t>
        </m:r>
      </m:oMath>
      <w:r w:rsidR="006A44F3">
        <w:t xml:space="preserve"> in grams, with α = 0.0002988 and β = 3.135 </w:t>
      </w:r>
      <w:r w:rsidR="00AF1121">
        <w:t>for males and α = 0.001424 and β = 2.781 for (</w:t>
      </w:r>
      <w:proofErr w:type="spellStart"/>
      <w:r w:rsidR="00AF1121">
        <w:t>ovigerous</w:t>
      </w:r>
      <w:proofErr w:type="spellEnd"/>
      <w:r w:rsidR="00AF1121">
        <w:t xml:space="preserve">) females </w:t>
      </w:r>
      <w:r w:rsidR="006A44F3">
        <w:t>(Table 3-5, NPFMC 2007).</w:t>
      </w:r>
      <w:r w:rsidR="00AF1121">
        <w:t xml:space="preserve"> These </w:t>
      </w:r>
      <w:proofErr w:type="spellStart"/>
      <w:r w:rsidR="0015513B">
        <w:t>allometric</w:t>
      </w:r>
      <w:proofErr w:type="spellEnd"/>
      <w:r w:rsidR="0015513B">
        <w:t xml:space="preserve"> </w:t>
      </w:r>
      <w:r w:rsidR="00AF1121">
        <w:t xml:space="preserve">models provide reasonably good descriptions of recent </w:t>
      </w:r>
      <w:r w:rsidR="007212A2">
        <w:t xml:space="preserve">EBS </w:t>
      </w:r>
      <w:r w:rsidR="00AF1121">
        <w:t>slope-survey data (</w:t>
      </w:r>
      <w:r w:rsidR="00115AB5">
        <w:t xml:space="preserve">e.g. </w:t>
      </w:r>
      <w:r w:rsidR="004A2124">
        <w:t>Figure 3</w:t>
      </w:r>
      <w:r w:rsidR="00AF1121">
        <w:t>).</w:t>
      </w:r>
      <w:r w:rsidR="007665F4">
        <w:t xml:space="preserve"> </w:t>
      </w:r>
      <w:r w:rsidR="00115AB5">
        <w:t>Instantaneous</w:t>
      </w:r>
      <w:r w:rsidR="007212A2">
        <w:t xml:space="preserve"> natural mortality M is set at </w:t>
      </w:r>
      <w:r w:rsidR="004338F7">
        <w:t xml:space="preserve">the </w:t>
      </w:r>
      <w:r w:rsidR="007212A2">
        <w:t>postulated</w:t>
      </w:r>
      <w:r w:rsidR="004338F7">
        <w:t xml:space="preserve"> default </w:t>
      </w:r>
      <w:r w:rsidR="007212A2">
        <w:t>value of 0.18 yr</w:t>
      </w:r>
      <w:r w:rsidR="007212A2">
        <w:rPr>
          <w:vertAlign w:val="superscript"/>
        </w:rPr>
        <w:t>-1</w:t>
      </w:r>
      <w:r w:rsidR="007212A2">
        <w:t xml:space="preserve"> for </w:t>
      </w:r>
      <w:r w:rsidR="004338F7">
        <w:t>BSAI</w:t>
      </w:r>
      <w:r w:rsidR="00D4588B">
        <w:t xml:space="preserve"> </w:t>
      </w:r>
      <w:r w:rsidR="004338F7">
        <w:t>king crab (NPFMC 2007)</w:t>
      </w:r>
      <w:r w:rsidR="00E3745A">
        <w:t xml:space="preserve"> </w:t>
      </w:r>
      <w:r w:rsidR="00115AB5">
        <w:t>.</w:t>
      </w:r>
      <w:r w:rsidR="00482B14">
        <w:t xml:space="preserve"> </w:t>
      </w:r>
      <w:r w:rsidR="001A79B7">
        <w:t>T</w:t>
      </w:r>
      <w:r w:rsidR="00126E97">
        <w:t xml:space="preserve">he </w:t>
      </w:r>
      <w:r w:rsidR="00B34870">
        <w:t>measure of stock biomass is taken</w:t>
      </w:r>
      <w:r w:rsidR="00482B14">
        <w:t xml:space="preserve"> </w:t>
      </w:r>
      <w:r w:rsidR="00B34870">
        <w:t xml:space="preserve">to be </w:t>
      </w:r>
      <w:r w:rsidR="000C3613">
        <w:t xml:space="preserve">mature male </w:t>
      </w:r>
      <w:r w:rsidR="002F2D27">
        <w:t>biomass</w:t>
      </w:r>
      <w:r w:rsidR="000C3613">
        <w:t xml:space="preserve"> </w:t>
      </w:r>
      <w:r w:rsidR="001A79B7">
        <w:t xml:space="preserve">(MMB) </w:t>
      </w:r>
      <w:r w:rsidR="000C3613">
        <w:t xml:space="preserve">at the time of mating </w:t>
      </w:r>
      <w:proofErr w:type="spellStart"/>
      <w:r w:rsidR="00B34870">
        <w:t>MMB</w:t>
      </w:r>
      <w:r w:rsidR="00B34870">
        <w:rPr>
          <w:vertAlign w:val="subscript"/>
        </w:rPr>
        <w:t>mating</w:t>
      </w:r>
      <w:proofErr w:type="spellEnd"/>
      <w:r w:rsidR="00B34870">
        <w:t>, quantified in terms of estimated MMB with respect to Dec 31</w:t>
      </w:r>
      <w:r w:rsidR="0015513B">
        <w:t xml:space="preserve">, as opposed to </w:t>
      </w:r>
      <w:r w:rsidR="00126E97">
        <w:t>the standard</w:t>
      </w:r>
      <w:r w:rsidR="00B34870">
        <w:t xml:space="preserve"> Feb 15 date in place for so</w:t>
      </w:r>
      <w:r w:rsidR="000C3613">
        <w:t xml:space="preserve">me other BSAI stocks. </w:t>
      </w:r>
      <w:r w:rsidR="0015513B">
        <w:t xml:space="preserve">This modification of the reference date so that it coincides with the end of the </w:t>
      </w:r>
      <w:r w:rsidR="00832707">
        <w:t xml:space="preserve">PIGKC </w:t>
      </w:r>
      <w:r w:rsidR="0015513B">
        <w:t>fishery year simplifi</w:t>
      </w:r>
      <w:r w:rsidR="000B42DD">
        <w:t>es assessment timing details</w:t>
      </w:r>
      <w:r w:rsidR="0015513B">
        <w:t>; and in light of the fact that the available evidence sugge</w:t>
      </w:r>
      <w:r w:rsidR="00126E97">
        <w:t>sts that golden king crab are best</w:t>
      </w:r>
      <w:r w:rsidR="0015513B">
        <w:t xml:space="preserve"> characterized as </w:t>
      </w:r>
      <w:r w:rsidR="008F5967">
        <w:t>asy</w:t>
      </w:r>
      <w:r w:rsidR="0015513B">
        <w:t xml:space="preserve">nchronous and </w:t>
      </w:r>
      <w:proofErr w:type="spellStart"/>
      <w:r w:rsidR="0015513B">
        <w:t>aseasonal</w:t>
      </w:r>
      <w:proofErr w:type="spellEnd"/>
      <w:r w:rsidR="0015513B">
        <w:t xml:space="preserve"> </w:t>
      </w:r>
      <w:proofErr w:type="spellStart"/>
      <w:r w:rsidR="0015513B">
        <w:t>spawners</w:t>
      </w:r>
      <w:proofErr w:type="spellEnd"/>
      <w:r w:rsidR="0015513B">
        <w:t xml:space="preserve"> (</w:t>
      </w:r>
      <w:r w:rsidR="008F5967">
        <w:t>Pengilly 2012 SAFE</w:t>
      </w:r>
      <w:r w:rsidR="0015513B">
        <w:t>)</w:t>
      </w:r>
      <w:r w:rsidR="00126E97">
        <w:t xml:space="preserve">, the modified reference date is as defensible as, or at least no more arbitrary than, the standard date. </w:t>
      </w:r>
      <w:r w:rsidR="001A79B7">
        <w:t xml:space="preserve">Finally, the OFL and ABC are developed and reported with respect to </w:t>
      </w:r>
      <w:r w:rsidR="00B00EEB">
        <w:t xml:space="preserve">MMB; that is, </w:t>
      </w:r>
      <w:r w:rsidR="000B42DD">
        <w:t>the OFL is a mature male</w:t>
      </w:r>
      <w:r w:rsidR="00B00EEB">
        <w:t xml:space="preserve"> OFL rather than a tot</w:t>
      </w:r>
      <w:r w:rsidR="000B42DD">
        <w:t>al or total male</w:t>
      </w:r>
      <w:r w:rsidR="00B00EEB">
        <w:t xml:space="preserve"> OFL. </w:t>
      </w:r>
      <w:r w:rsidR="00AF26BF">
        <w:t xml:space="preserve">This ties the ABC to mature male biomass, as well, via </w:t>
      </w:r>
      <m:oMath>
        <m:r>
          <w:rPr>
            <w:rFonts w:ascii="Cambria Math" w:hAnsi="Cambria Math"/>
          </w:rPr>
          <m:t>ABC=</m:t>
        </m:r>
        <m:d>
          <m:dPr>
            <m:ctrlPr>
              <w:rPr>
                <w:rFonts w:ascii="Cambria Math" w:hAnsi="Cambria Math"/>
                <w:i/>
              </w:rPr>
            </m:ctrlPr>
          </m:dPr>
          <m:e>
            <m:r>
              <w:rPr>
                <w:rFonts w:ascii="Cambria Math" w:hAnsi="Cambria Math"/>
              </w:rPr>
              <m:t>1-0.2</m:t>
            </m:r>
          </m:e>
        </m:d>
        <m:r>
          <w:rPr>
            <w:rFonts w:ascii="Cambria Math" w:hAnsi="Cambria Math"/>
          </w:rPr>
          <m:t>OFL</m:t>
        </m:r>
      </m:oMath>
      <w:r w:rsidR="00400EB7">
        <w:t>, where the 20%</w:t>
      </w:r>
      <w:r w:rsidR="00B26CD4">
        <w:t xml:space="preserve"> buffer might be invoked for establishment of even-year limits</w:t>
      </w:r>
      <w:r w:rsidR="00400EB7">
        <w:t xml:space="preserve"> to </w:t>
      </w:r>
      <w:r w:rsidR="00AF26BF">
        <w:t>account for t</w:t>
      </w:r>
      <w:r w:rsidR="002F2D27">
        <w:t xml:space="preserve">he biennial nature of the slope </w:t>
      </w:r>
      <w:r w:rsidR="00AF26BF">
        <w:t xml:space="preserve">survey. These </w:t>
      </w:r>
      <w:r w:rsidR="00C47BFC">
        <w:t xml:space="preserve">various </w:t>
      </w:r>
      <w:r w:rsidR="00B00EEB">
        <w:t xml:space="preserve">conventions are summarized in Table </w:t>
      </w:r>
      <w:r w:rsidR="007A799F">
        <w:t>2</w:t>
      </w:r>
      <w:r w:rsidR="00B00EEB">
        <w:t>.</w:t>
      </w:r>
    </w:p>
    <w:p w:rsidR="008578CF" w:rsidRDefault="00DD57DA">
      <w:pPr>
        <w:spacing w:before="240" w:after="0"/>
        <w:jc w:val="left"/>
      </w:pPr>
      <w:r>
        <w:t xml:space="preserve">For assessment purposes, the </w:t>
      </w:r>
      <w:r w:rsidR="002A114E">
        <w:t xml:space="preserve">EBS slope survey, which takes place in June and July of even years, is assigned a nominal date of July 1. </w:t>
      </w:r>
      <w:r w:rsidR="002F2D27">
        <w:t>In recent years t</w:t>
      </w:r>
      <w:r w:rsidR="00550DFE">
        <w:t xml:space="preserve">he PIGKC fishery, </w:t>
      </w:r>
      <w:r w:rsidR="008B6F7B">
        <w:t>when</w:t>
      </w:r>
      <w:r w:rsidR="00550DFE">
        <w:t xml:space="preserve"> prosecuted, </w:t>
      </w:r>
      <w:r w:rsidR="00832707">
        <w:t>tends</w:t>
      </w:r>
      <w:r w:rsidR="00550DFE">
        <w:t xml:space="preserve"> to occur in the first </w:t>
      </w:r>
      <w:r w:rsidR="004E5E9E">
        <w:t xml:space="preserve">half </w:t>
      </w:r>
      <w:r w:rsidR="00550DFE">
        <w:t xml:space="preserve">of the calendar year but </w:t>
      </w:r>
      <w:r w:rsidR="004E5E9E">
        <w:t xml:space="preserve">has extended into September (Table 1). </w:t>
      </w:r>
      <w:r w:rsidR="00A87D21">
        <w:t xml:space="preserve">Because little is known about PIGKC molting and growth and the slope survey provides limited information about recruitment of juvenile crab, </w:t>
      </w:r>
      <w:r w:rsidR="00DB3E50">
        <w:t xml:space="preserve">mature male </w:t>
      </w:r>
      <w:r w:rsidR="00A87D21">
        <w:t>s</w:t>
      </w:r>
      <w:r w:rsidR="0016424C">
        <w:t>tock dynamics are determined entirely</w:t>
      </w:r>
      <w:r w:rsidR="00DB3E50">
        <w:t xml:space="preserve"> by natural mortality and fishery removals </w:t>
      </w:r>
      <w:r>
        <w:t>between surveys, which might be considered a cons</w:t>
      </w:r>
      <w:r w:rsidR="002F2D27">
        <w:t xml:space="preserve">ervative or worst case (i.e. </w:t>
      </w:r>
      <w:r>
        <w:t>recruitment</w:t>
      </w:r>
      <w:r w:rsidR="002F2D27">
        <w:t xml:space="preserve"> failure</w:t>
      </w:r>
      <w:r>
        <w:t xml:space="preserve">) provision. </w:t>
      </w:r>
      <w:r w:rsidR="008613FF">
        <w:t>O</w:t>
      </w:r>
      <w:r w:rsidR="0016424C">
        <w:t xml:space="preserve">bserved/estimated removals </w:t>
      </w:r>
      <w:r w:rsidR="00B911C4">
        <w:t xml:space="preserve">can </w:t>
      </w:r>
      <w:r w:rsidR="008613FF">
        <w:lastRenderedPageBreak/>
        <w:t xml:space="preserve">be extracted </w:t>
      </w:r>
      <w:r w:rsidR="0016424C">
        <w:t>based on available timing information</w:t>
      </w:r>
      <w:r w:rsidR="008B293A">
        <w:t xml:space="preserve"> or</w:t>
      </w:r>
      <w:r w:rsidR="001916EC">
        <w:t xml:space="preserve"> a</w:t>
      </w:r>
      <w:r w:rsidR="008B293A">
        <w:t xml:space="preserve">t the end of the </w:t>
      </w:r>
      <w:r w:rsidR="00DB3E50">
        <w:t xml:space="preserve">PIGKC </w:t>
      </w:r>
      <w:r w:rsidR="008B293A">
        <w:t>fishery year for the default case in which</w:t>
      </w:r>
      <w:r w:rsidR="001916EC">
        <w:t xml:space="preserve"> little information is at hand (e.g. </w:t>
      </w:r>
      <w:proofErr w:type="spellStart"/>
      <w:r w:rsidR="001916EC">
        <w:t>groundfish</w:t>
      </w:r>
      <w:proofErr w:type="spellEnd"/>
      <w:r w:rsidR="001916EC">
        <w:t xml:space="preserve"> fishery </w:t>
      </w:r>
      <w:proofErr w:type="spellStart"/>
      <w:r w:rsidR="00DB3E50">
        <w:t>bycatch</w:t>
      </w:r>
      <w:proofErr w:type="spellEnd"/>
      <w:r w:rsidR="00DB3E50">
        <w:t xml:space="preserve"> </w:t>
      </w:r>
      <w:r w:rsidR="001916EC">
        <w:t>mortality)</w:t>
      </w:r>
      <w:r w:rsidR="0016424C">
        <w:t>.</w:t>
      </w:r>
      <w:r w:rsidR="00DB3E50">
        <w:t xml:space="preserve"> In</w:t>
      </w:r>
      <w:r w:rsidR="00340C22">
        <w:t xml:space="preserve"> the directed fishery</w:t>
      </w:r>
      <w:r w:rsidR="00580641">
        <w:t>, for instan</w:t>
      </w:r>
      <w:r w:rsidR="00340C22">
        <w:t xml:space="preserve">ce, it would be possible to account for catch and </w:t>
      </w:r>
      <w:proofErr w:type="spellStart"/>
      <w:r w:rsidR="00340C22">
        <w:t>bycatch</w:t>
      </w:r>
      <w:proofErr w:type="spellEnd"/>
      <w:r w:rsidR="00340C22">
        <w:t xml:space="preserve"> removals</w:t>
      </w:r>
      <w:r w:rsidR="00580641">
        <w:t xml:space="preserve"> </w:t>
      </w:r>
      <w:r w:rsidR="00340C22">
        <w:t xml:space="preserve">on a </w:t>
      </w:r>
      <w:r w:rsidR="000232B9">
        <w:t>monthly</w:t>
      </w:r>
      <w:r w:rsidR="00580641">
        <w:t xml:space="preserve"> </w:t>
      </w:r>
      <w:r w:rsidR="00340C22">
        <w:t xml:space="preserve">basis </w:t>
      </w:r>
      <w:r w:rsidR="00580641">
        <w:t>using fish-</w:t>
      </w:r>
      <w:r w:rsidR="00404887">
        <w:t xml:space="preserve">ticket information. </w:t>
      </w:r>
      <w:r w:rsidR="001916EC">
        <w:t>Then, g</w:t>
      </w:r>
      <w:r w:rsidR="00404887">
        <w:t xml:space="preserve">iven </w:t>
      </w:r>
      <w:r w:rsidR="004E5E9E">
        <w:t xml:space="preserve">availability of </w:t>
      </w:r>
      <w:r w:rsidR="00FD07C9">
        <w:t xml:space="preserve">results from the </w:t>
      </w:r>
      <w:r w:rsidR="001916EC">
        <w:t xml:space="preserve">2014 </w:t>
      </w:r>
      <w:r w:rsidR="00FD07C9">
        <w:t xml:space="preserve">and subsequent biennial </w:t>
      </w:r>
      <w:r w:rsidR="001916EC">
        <w:t xml:space="preserve">slope-surveys </w:t>
      </w:r>
      <w:r w:rsidR="004E5E9E">
        <w:t xml:space="preserve">by August 15, </w:t>
      </w:r>
      <w:r w:rsidR="00014BEA">
        <w:t xml:space="preserve">availability of data on fishery removals through June 30 by August 15, </w:t>
      </w:r>
      <w:r w:rsidR="00DB3E50">
        <w:t>suitable proxies</w:t>
      </w:r>
      <w:r w:rsidR="00404887">
        <w:t xml:space="preserve"> for B</w:t>
      </w:r>
      <w:r w:rsidR="00404887">
        <w:rPr>
          <w:vertAlign w:val="subscript"/>
        </w:rPr>
        <w:t>MSY</w:t>
      </w:r>
      <w:r w:rsidR="00404887">
        <w:t xml:space="preserve"> and MSST, </w:t>
      </w:r>
      <w:r w:rsidR="004E5E9E">
        <w:t xml:space="preserve">and an agreed-upon, reasonable </w:t>
      </w:r>
      <w:r w:rsidR="000068DB">
        <w:t>approach</w:t>
      </w:r>
      <w:r w:rsidR="004E5E9E">
        <w:t xml:space="preserve"> </w:t>
      </w:r>
      <w:r w:rsidR="000068DB">
        <w:t>to</w:t>
      </w:r>
      <w:r w:rsidR="004E5E9E">
        <w:t xml:space="preserve"> forecasting fishery removals between </w:t>
      </w:r>
      <w:r w:rsidR="00014BEA">
        <w:t>1 July</w:t>
      </w:r>
      <w:r w:rsidR="004E5E9E">
        <w:t xml:space="preserve"> and December 31, </w:t>
      </w:r>
      <w:r w:rsidR="00E13B17">
        <w:t xml:space="preserve">implementation of the </w:t>
      </w:r>
      <w:r w:rsidR="00014BEA">
        <w:t xml:space="preserve">Tier-4 </w:t>
      </w:r>
      <w:r w:rsidR="00404887">
        <w:t>ass</w:t>
      </w:r>
      <w:r w:rsidR="001916EC">
        <w:t>essment would begin with the Fall 2014 CPT</w:t>
      </w:r>
      <w:r w:rsidR="00E13B17">
        <w:t xml:space="preserve">. The steps in the Tier-4 assessment cycle (depicted schematically in Figure 5), through complete transition </w:t>
      </w:r>
      <w:r w:rsidR="00C55DD5">
        <w:t xml:space="preserve"> </w:t>
      </w:r>
      <w:r w:rsidR="00E13B17">
        <w:t>from the  existing Tier-5 approach, are as follows</w:t>
      </w:r>
      <w:r w:rsidR="001916EC">
        <w:t>:</w:t>
      </w:r>
    </w:p>
    <w:p w:rsidR="001916EC" w:rsidRDefault="001916EC" w:rsidP="002E1BD3">
      <w:pPr>
        <w:spacing w:after="0"/>
        <w:jc w:val="left"/>
      </w:pPr>
    </w:p>
    <w:p w:rsidR="004C28AC" w:rsidRDefault="004C28AC" w:rsidP="00E13B17">
      <w:pPr>
        <w:spacing w:after="0"/>
      </w:pPr>
      <w:r>
        <w:t>1.  Spring 2013 CPT</w:t>
      </w:r>
    </w:p>
    <w:p w:rsidR="004C28AC" w:rsidRDefault="004C28AC" w:rsidP="004C28AC">
      <w:pPr>
        <w:pStyle w:val="ListParagraph"/>
        <w:numPr>
          <w:ilvl w:val="0"/>
          <w:numId w:val="6"/>
        </w:numPr>
      </w:pPr>
      <w:r>
        <w:t>Establish Tier-5 OFL for 2014</w:t>
      </w:r>
    </w:p>
    <w:p w:rsidR="004C28AC" w:rsidRDefault="004C28AC" w:rsidP="004C28AC">
      <w:pPr>
        <w:spacing w:after="0"/>
        <w:jc w:val="left"/>
      </w:pPr>
      <w:r>
        <w:t>2. Fall 2014 CPT</w:t>
      </w:r>
    </w:p>
    <w:p w:rsidR="004C28AC" w:rsidRDefault="004C28AC" w:rsidP="004C28AC">
      <w:pPr>
        <w:pStyle w:val="ListParagraph"/>
        <w:numPr>
          <w:ilvl w:val="0"/>
          <w:numId w:val="1"/>
        </w:numPr>
        <w:spacing w:after="0"/>
        <w:jc w:val="left"/>
      </w:pPr>
      <w:r>
        <w:t>Do catch accounting to determine if overfishing occurred in 2013 (i.e. if total catch during Jan 1 – Dec 31 2013 exceeded the 2013 Tier-5 OFL).</w:t>
      </w:r>
    </w:p>
    <w:p w:rsidR="004C28AC" w:rsidRDefault="004C28AC" w:rsidP="004C28AC">
      <w:pPr>
        <w:pStyle w:val="ListParagraph"/>
        <w:numPr>
          <w:ilvl w:val="0"/>
          <w:numId w:val="1"/>
        </w:numPr>
        <w:spacing w:after="0"/>
        <w:jc w:val="left"/>
      </w:pPr>
      <w:r>
        <w:t>Set B</w:t>
      </w:r>
      <w:r w:rsidRPr="000E3214">
        <w:rPr>
          <w:vertAlign w:val="subscript"/>
        </w:rPr>
        <w:t>MSY</w:t>
      </w:r>
      <w:r>
        <w:t xml:space="preserve"> equal to mean of estimated MMB on Dec 31 of 2008, 2010, and 2012 and put MSST equal to ½ B</w:t>
      </w:r>
      <w:r>
        <w:rPr>
          <w:vertAlign w:val="subscript"/>
        </w:rPr>
        <w:t>MSY</w:t>
      </w:r>
      <w:r>
        <w:t>. (MMB on Dec 31 is obtained from survey MMB by applying natural mortality and estimated fishery removals during 1 July – Dec 31.)</w:t>
      </w:r>
    </w:p>
    <w:p w:rsidR="004C28AC" w:rsidRDefault="004C28AC" w:rsidP="004C28AC">
      <w:pPr>
        <w:pStyle w:val="ListParagraph"/>
        <w:numPr>
          <w:ilvl w:val="0"/>
          <w:numId w:val="1"/>
        </w:numPr>
        <w:spacing w:after="0"/>
        <w:jc w:val="left"/>
      </w:pPr>
      <w:r>
        <w:t xml:space="preserve">Project 2014 survey MMB to Dec 31 2014 to obtain 2014 </w:t>
      </w:r>
      <w:proofErr w:type="spellStart"/>
      <w:r>
        <w:t>MMB</w:t>
      </w:r>
      <w:r>
        <w:rPr>
          <w:vertAlign w:val="subscript"/>
        </w:rPr>
        <w:t>mating,projected</w:t>
      </w:r>
      <w:proofErr w:type="spellEnd"/>
      <w:r>
        <w:t>. Determine if stock is approaching overfished condition (i.e. if MMB is projected to be below MSST on Dec 31 2014).</w:t>
      </w:r>
    </w:p>
    <w:p w:rsidR="004C28AC" w:rsidRDefault="004C28AC" w:rsidP="004C28AC">
      <w:pPr>
        <w:pStyle w:val="ListParagraph"/>
        <w:numPr>
          <w:ilvl w:val="0"/>
          <w:numId w:val="1"/>
        </w:numPr>
        <w:spacing w:after="0"/>
        <w:jc w:val="left"/>
      </w:pPr>
      <w:r>
        <w:t>Apply Tier-4 overfishing control rule to 2015 MMB</w:t>
      </w:r>
      <w:r>
        <w:rPr>
          <w:vertAlign w:val="subscript"/>
        </w:rPr>
        <w:t>0,projected</w:t>
      </w:r>
      <w:r>
        <w:t xml:space="preserve"> (= 2014 </w:t>
      </w:r>
      <w:proofErr w:type="spellStart"/>
      <w:r>
        <w:t>MMB</w:t>
      </w:r>
      <w:r>
        <w:rPr>
          <w:vertAlign w:val="subscript"/>
        </w:rPr>
        <w:t>mating,projected</w:t>
      </w:r>
      <w:proofErr w:type="spellEnd"/>
      <w:r>
        <w:t>) to get Tier-4 OFL for 2015.</w:t>
      </w:r>
    </w:p>
    <w:p w:rsidR="004C28AC" w:rsidRDefault="004C28AC" w:rsidP="004C28AC">
      <w:pPr>
        <w:spacing w:after="0"/>
        <w:jc w:val="left"/>
      </w:pPr>
    </w:p>
    <w:p w:rsidR="004C28AC" w:rsidRDefault="004C28AC" w:rsidP="004C28AC">
      <w:pPr>
        <w:spacing w:after="0"/>
        <w:jc w:val="left"/>
      </w:pPr>
      <w:r>
        <w:t>3. Fall 2015 CPT</w:t>
      </w:r>
    </w:p>
    <w:p w:rsidR="004C28AC" w:rsidRDefault="004C28AC" w:rsidP="004C28AC">
      <w:pPr>
        <w:pStyle w:val="ListParagraph"/>
        <w:numPr>
          <w:ilvl w:val="0"/>
          <w:numId w:val="3"/>
        </w:numPr>
        <w:spacing w:after="0"/>
        <w:jc w:val="left"/>
      </w:pPr>
      <w:r>
        <w:t>Do catch accounting to determine if overfishing occurred in 2014 (i.e. if total catch during Jan 1 – Dec 31 2014 exceeded the 2014 Tier-5 OFL).</w:t>
      </w:r>
    </w:p>
    <w:p w:rsidR="004C28AC" w:rsidRDefault="004C28AC" w:rsidP="004C28AC">
      <w:pPr>
        <w:pStyle w:val="ListParagraph"/>
        <w:numPr>
          <w:ilvl w:val="0"/>
          <w:numId w:val="3"/>
        </w:numPr>
        <w:spacing w:after="0"/>
        <w:jc w:val="left"/>
      </w:pPr>
      <w:r>
        <w:t xml:space="preserve">Estimate MMB on Dec 31 2014 (= 2014 </w:t>
      </w:r>
      <w:proofErr w:type="spellStart"/>
      <w:r>
        <w:t>MMB</w:t>
      </w:r>
      <w:r>
        <w:rPr>
          <w:vertAlign w:val="subscript"/>
        </w:rPr>
        <w:t>mating</w:t>
      </w:r>
      <w:proofErr w:type="spellEnd"/>
      <w:r>
        <w:t xml:space="preserve">) using 2014 survey data and applying natural mortality and estimated fishery removals during 1 July – Dec 31 2014. Determine if stock is overfished (i.e. if estimated 2014 </w:t>
      </w:r>
      <w:proofErr w:type="spellStart"/>
      <w:r>
        <w:t>MMB</w:t>
      </w:r>
      <w:r>
        <w:rPr>
          <w:vertAlign w:val="subscript"/>
        </w:rPr>
        <w:t>mating</w:t>
      </w:r>
      <w:proofErr w:type="spellEnd"/>
      <w:r>
        <w:t xml:space="preserve"> &lt; MSST).</w:t>
      </w:r>
    </w:p>
    <w:p w:rsidR="004C28AC" w:rsidRDefault="004C28AC" w:rsidP="004C28AC">
      <w:pPr>
        <w:pStyle w:val="ListParagraph"/>
        <w:numPr>
          <w:ilvl w:val="0"/>
          <w:numId w:val="3"/>
        </w:numPr>
        <w:spacing w:after="0"/>
        <w:jc w:val="left"/>
      </w:pPr>
      <w:r>
        <w:t>Consider re-establishing B</w:t>
      </w:r>
      <w:r w:rsidRPr="0061348F">
        <w:rPr>
          <w:vertAlign w:val="subscript"/>
        </w:rPr>
        <w:t>MSY</w:t>
      </w:r>
      <w:r>
        <w:rPr>
          <w:vertAlign w:val="subscript"/>
        </w:rPr>
        <w:t xml:space="preserve"> </w:t>
      </w:r>
      <w:r>
        <w:t xml:space="preserve">and MSST with incorporation of estimated 2014 </w:t>
      </w:r>
      <w:proofErr w:type="spellStart"/>
      <w:r>
        <w:t>MMB</w:t>
      </w:r>
      <w:r>
        <w:rPr>
          <w:vertAlign w:val="subscript"/>
        </w:rPr>
        <w:t>mating</w:t>
      </w:r>
      <w:proofErr w:type="spellEnd"/>
      <w:r>
        <w:t>.</w:t>
      </w:r>
    </w:p>
    <w:p w:rsidR="004C28AC" w:rsidRDefault="004C28AC" w:rsidP="004C28AC">
      <w:pPr>
        <w:pStyle w:val="ListParagraph"/>
        <w:numPr>
          <w:ilvl w:val="0"/>
          <w:numId w:val="3"/>
        </w:numPr>
        <w:spacing w:after="0"/>
        <w:jc w:val="left"/>
      </w:pPr>
      <w:r>
        <w:t>Project 2015 MMB</w:t>
      </w:r>
      <w:r>
        <w:rPr>
          <w:vertAlign w:val="subscript"/>
        </w:rPr>
        <w:t>0</w:t>
      </w:r>
      <w:r>
        <w:t xml:space="preserve"> (=2014 </w:t>
      </w:r>
      <w:proofErr w:type="spellStart"/>
      <w:r>
        <w:t>MMB</w:t>
      </w:r>
      <w:r>
        <w:rPr>
          <w:vertAlign w:val="subscript"/>
        </w:rPr>
        <w:t>mating</w:t>
      </w:r>
      <w:proofErr w:type="spellEnd"/>
      <w:r>
        <w:t xml:space="preserve">) to Dec 31 2015 to obtain 2015 </w:t>
      </w:r>
      <w:proofErr w:type="spellStart"/>
      <w:r>
        <w:t>MMB</w:t>
      </w:r>
      <w:r>
        <w:rPr>
          <w:vertAlign w:val="subscript"/>
        </w:rPr>
        <w:t>mating,projected</w:t>
      </w:r>
      <w:proofErr w:type="spellEnd"/>
      <w:r>
        <w:t>. Determine if stock is approaching overfished condition (i.e. if MMB is projected to be below MSST on Dec 31 2015).</w:t>
      </w:r>
    </w:p>
    <w:p w:rsidR="004C28AC" w:rsidRDefault="004C28AC" w:rsidP="004C28AC">
      <w:pPr>
        <w:pStyle w:val="ListParagraph"/>
        <w:numPr>
          <w:ilvl w:val="0"/>
          <w:numId w:val="1"/>
        </w:numPr>
        <w:spacing w:after="0"/>
        <w:jc w:val="left"/>
      </w:pPr>
      <w:r>
        <w:t>Apply Tier-4 overfishing control rule to 2016 MMB</w:t>
      </w:r>
      <w:r>
        <w:rPr>
          <w:vertAlign w:val="subscript"/>
        </w:rPr>
        <w:t>0,projected</w:t>
      </w:r>
      <w:r>
        <w:t xml:space="preserve"> (= 2015 </w:t>
      </w:r>
      <w:proofErr w:type="spellStart"/>
      <w:r>
        <w:t>MMB</w:t>
      </w:r>
      <w:r>
        <w:rPr>
          <w:vertAlign w:val="subscript"/>
        </w:rPr>
        <w:t>mating,projected</w:t>
      </w:r>
      <w:proofErr w:type="spellEnd"/>
      <w:r>
        <w:t>) to get Tier-4 OFL for 2016.</w:t>
      </w:r>
    </w:p>
    <w:p w:rsidR="004C28AC" w:rsidRDefault="004C28AC" w:rsidP="004C28AC">
      <w:pPr>
        <w:spacing w:after="0"/>
        <w:jc w:val="left"/>
      </w:pPr>
    </w:p>
    <w:p w:rsidR="004C28AC" w:rsidRDefault="004C28AC" w:rsidP="004C28AC">
      <w:pPr>
        <w:spacing w:after="0"/>
        <w:jc w:val="left"/>
      </w:pPr>
      <w:r>
        <w:t>4. Fall 2016 CPT</w:t>
      </w:r>
    </w:p>
    <w:p w:rsidR="004C28AC" w:rsidRDefault="004C28AC" w:rsidP="004C28AC">
      <w:pPr>
        <w:pStyle w:val="ListParagraph"/>
        <w:numPr>
          <w:ilvl w:val="0"/>
          <w:numId w:val="4"/>
        </w:numPr>
        <w:spacing w:after="0"/>
        <w:jc w:val="left"/>
      </w:pPr>
      <w:r>
        <w:t>Do catch accounting to determine if overfishing occurred in 2015 (i.e. if total catch during Jan 1 – Dec 31 2015 exceeded the 2015 Tier-4 OFL).</w:t>
      </w:r>
    </w:p>
    <w:p w:rsidR="004C28AC" w:rsidRDefault="004C28AC" w:rsidP="004C28AC">
      <w:pPr>
        <w:pStyle w:val="ListParagraph"/>
        <w:numPr>
          <w:ilvl w:val="0"/>
          <w:numId w:val="4"/>
        </w:numPr>
        <w:spacing w:after="0"/>
        <w:jc w:val="left"/>
      </w:pPr>
      <w:r>
        <w:t xml:space="preserve">Estimate MMB on Dec 31 2015 (= 2015 </w:t>
      </w:r>
      <w:proofErr w:type="spellStart"/>
      <w:r>
        <w:t>MMB</w:t>
      </w:r>
      <w:r>
        <w:rPr>
          <w:vertAlign w:val="subscript"/>
        </w:rPr>
        <w:t>mating</w:t>
      </w:r>
      <w:proofErr w:type="spellEnd"/>
      <w:r>
        <w:t>) using 2015 MMB</w:t>
      </w:r>
      <w:r>
        <w:rPr>
          <w:vertAlign w:val="subscript"/>
        </w:rPr>
        <w:t>0</w:t>
      </w:r>
      <w:r>
        <w:t xml:space="preserve"> (=2014 </w:t>
      </w:r>
      <w:proofErr w:type="spellStart"/>
      <w:r>
        <w:t>MMB</w:t>
      </w:r>
      <w:r>
        <w:rPr>
          <w:vertAlign w:val="subscript"/>
        </w:rPr>
        <w:t>mating</w:t>
      </w:r>
      <w:proofErr w:type="spellEnd"/>
      <w:r>
        <w:t xml:space="preserve">) and applying natural mortality and estimated fishery removals during 1 Jan – </w:t>
      </w:r>
      <w:r>
        <w:lastRenderedPageBreak/>
        <w:t xml:space="preserve">Dec 31 2015. Determine if stock is overfished (i.e. if estimated 2015 </w:t>
      </w:r>
      <w:proofErr w:type="spellStart"/>
      <w:r>
        <w:t>MMB</w:t>
      </w:r>
      <w:r>
        <w:rPr>
          <w:vertAlign w:val="subscript"/>
        </w:rPr>
        <w:t>mating</w:t>
      </w:r>
      <w:proofErr w:type="spellEnd"/>
      <w:r>
        <w:t xml:space="preserve"> &lt; MSST).</w:t>
      </w:r>
    </w:p>
    <w:p w:rsidR="004C28AC" w:rsidRDefault="004C28AC" w:rsidP="004C28AC">
      <w:pPr>
        <w:pStyle w:val="ListParagraph"/>
        <w:numPr>
          <w:ilvl w:val="0"/>
          <w:numId w:val="4"/>
        </w:numPr>
        <w:spacing w:after="0"/>
        <w:jc w:val="left"/>
      </w:pPr>
      <w:r>
        <w:t xml:space="preserve">Project 2016 survey MMB to Dec 31 2016 to obtain 2016 </w:t>
      </w:r>
      <w:proofErr w:type="spellStart"/>
      <w:r>
        <w:t>MMB</w:t>
      </w:r>
      <w:r w:rsidRPr="00AD62F9">
        <w:rPr>
          <w:vertAlign w:val="subscript"/>
        </w:rPr>
        <w:t>mating</w:t>
      </w:r>
      <w:r>
        <w:rPr>
          <w:vertAlign w:val="subscript"/>
        </w:rPr>
        <w:t>,</w:t>
      </w:r>
      <w:r w:rsidRPr="00AD62F9">
        <w:rPr>
          <w:vertAlign w:val="subscript"/>
        </w:rPr>
        <w:t>projected</w:t>
      </w:r>
      <w:proofErr w:type="spellEnd"/>
      <w:r>
        <w:t>. Determine if stock is approaching overfished condition (i.e. if MMB is projected to be below MSST on Dec 31 2016).</w:t>
      </w:r>
    </w:p>
    <w:p w:rsidR="004C28AC" w:rsidRDefault="004C28AC" w:rsidP="004C28AC">
      <w:pPr>
        <w:pStyle w:val="ListParagraph"/>
        <w:numPr>
          <w:ilvl w:val="0"/>
          <w:numId w:val="4"/>
        </w:numPr>
        <w:spacing w:after="0"/>
        <w:jc w:val="left"/>
      </w:pPr>
      <w:r>
        <w:t>Apply Tier-4 overfishing control rule to 2017 MMB</w:t>
      </w:r>
      <w:r w:rsidRPr="00AD62F9">
        <w:rPr>
          <w:vertAlign w:val="subscript"/>
        </w:rPr>
        <w:t>0</w:t>
      </w:r>
      <w:r>
        <w:rPr>
          <w:vertAlign w:val="subscript"/>
        </w:rPr>
        <w:t>,</w:t>
      </w:r>
      <w:r w:rsidRPr="00AD62F9">
        <w:rPr>
          <w:vertAlign w:val="subscript"/>
        </w:rPr>
        <w:t>projected</w:t>
      </w:r>
      <w:r>
        <w:t xml:space="preserve"> (= 2016 </w:t>
      </w:r>
      <w:proofErr w:type="spellStart"/>
      <w:r>
        <w:t>MMB</w:t>
      </w:r>
      <w:r w:rsidRPr="00AD62F9">
        <w:rPr>
          <w:vertAlign w:val="subscript"/>
        </w:rPr>
        <w:t>mating</w:t>
      </w:r>
      <w:r>
        <w:rPr>
          <w:vertAlign w:val="subscript"/>
        </w:rPr>
        <w:t>,</w:t>
      </w:r>
      <w:r w:rsidRPr="00AD62F9">
        <w:rPr>
          <w:vertAlign w:val="subscript"/>
        </w:rPr>
        <w:t>projected</w:t>
      </w:r>
      <w:proofErr w:type="spellEnd"/>
      <w:r>
        <w:t>) to get Tier-4 OFL for 2017.</w:t>
      </w:r>
    </w:p>
    <w:p w:rsidR="004C28AC" w:rsidRDefault="004C28AC" w:rsidP="004C28AC">
      <w:pPr>
        <w:pStyle w:val="ListParagraph"/>
        <w:spacing w:after="0"/>
        <w:jc w:val="left"/>
      </w:pPr>
    </w:p>
    <w:p w:rsidR="004C28AC" w:rsidRDefault="004C28AC" w:rsidP="004C28AC">
      <w:pPr>
        <w:spacing w:after="0"/>
      </w:pPr>
      <w:r>
        <w:t>5. Fall 2017 CPT</w:t>
      </w:r>
    </w:p>
    <w:p w:rsidR="004C28AC" w:rsidRDefault="004C28AC" w:rsidP="004C28AC">
      <w:pPr>
        <w:pStyle w:val="ListParagraph"/>
        <w:numPr>
          <w:ilvl w:val="0"/>
          <w:numId w:val="3"/>
        </w:numPr>
        <w:spacing w:after="0"/>
        <w:jc w:val="left"/>
      </w:pPr>
      <w:r>
        <w:t>Do catch accounting to determine if overfishing occurred in 2016 (i.e. if total catch during Jan 1 – Dec 31 2016 exceeded the 2016 Tier-4 OFL).</w:t>
      </w:r>
    </w:p>
    <w:p w:rsidR="004C28AC" w:rsidRDefault="004C28AC" w:rsidP="004C28AC">
      <w:pPr>
        <w:pStyle w:val="ListParagraph"/>
        <w:numPr>
          <w:ilvl w:val="0"/>
          <w:numId w:val="3"/>
        </w:numPr>
        <w:spacing w:after="0"/>
        <w:jc w:val="left"/>
      </w:pPr>
      <w:r>
        <w:t xml:space="preserve">Estimate MMB on Dec 31 2016 (= 2016 </w:t>
      </w:r>
      <w:proofErr w:type="spellStart"/>
      <w:r>
        <w:t>MMB</w:t>
      </w:r>
      <w:r>
        <w:rPr>
          <w:vertAlign w:val="subscript"/>
        </w:rPr>
        <w:t>mating</w:t>
      </w:r>
      <w:proofErr w:type="spellEnd"/>
      <w:r>
        <w:t xml:space="preserve">) using 2016 survey data and applying natural mortality and estimated fishery removals during 1 July – Dec 31  2016. Determine if stock is overfished (i.e. if estimated 2016 </w:t>
      </w:r>
      <w:proofErr w:type="spellStart"/>
      <w:r>
        <w:t>MMB</w:t>
      </w:r>
      <w:r>
        <w:rPr>
          <w:vertAlign w:val="subscript"/>
        </w:rPr>
        <w:t>mating</w:t>
      </w:r>
      <w:proofErr w:type="spellEnd"/>
      <w:r>
        <w:t xml:space="preserve"> &lt; MSST).</w:t>
      </w:r>
    </w:p>
    <w:p w:rsidR="004C28AC" w:rsidRDefault="004C28AC" w:rsidP="004C28AC">
      <w:pPr>
        <w:pStyle w:val="ListParagraph"/>
        <w:numPr>
          <w:ilvl w:val="0"/>
          <w:numId w:val="3"/>
        </w:numPr>
        <w:spacing w:after="0"/>
        <w:jc w:val="left"/>
      </w:pPr>
      <w:r>
        <w:t>Consider re-establishing B</w:t>
      </w:r>
      <w:r w:rsidRPr="0061348F">
        <w:rPr>
          <w:vertAlign w:val="subscript"/>
        </w:rPr>
        <w:t>MSY</w:t>
      </w:r>
      <w:r>
        <w:rPr>
          <w:vertAlign w:val="subscript"/>
        </w:rPr>
        <w:t xml:space="preserve"> </w:t>
      </w:r>
      <w:r>
        <w:t xml:space="preserve">and MSST with incorporation of estimated 2016 </w:t>
      </w:r>
      <w:proofErr w:type="spellStart"/>
      <w:r>
        <w:t>MMB</w:t>
      </w:r>
      <w:r>
        <w:rPr>
          <w:vertAlign w:val="subscript"/>
        </w:rPr>
        <w:t>mating</w:t>
      </w:r>
      <w:proofErr w:type="spellEnd"/>
      <w:r>
        <w:t>.</w:t>
      </w:r>
    </w:p>
    <w:p w:rsidR="004C28AC" w:rsidRDefault="004C28AC" w:rsidP="004C28AC">
      <w:pPr>
        <w:pStyle w:val="ListParagraph"/>
        <w:numPr>
          <w:ilvl w:val="0"/>
          <w:numId w:val="3"/>
        </w:numPr>
        <w:spacing w:after="0"/>
        <w:jc w:val="left"/>
      </w:pPr>
      <w:r>
        <w:t>Project 2017 MMB</w:t>
      </w:r>
      <w:r>
        <w:rPr>
          <w:vertAlign w:val="subscript"/>
        </w:rPr>
        <w:t>0</w:t>
      </w:r>
      <w:r>
        <w:t xml:space="preserve"> (=2016 </w:t>
      </w:r>
      <w:proofErr w:type="spellStart"/>
      <w:r>
        <w:t>MMB</w:t>
      </w:r>
      <w:r>
        <w:rPr>
          <w:vertAlign w:val="subscript"/>
        </w:rPr>
        <w:t>mating</w:t>
      </w:r>
      <w:proofErr w:type="spellEnd"/>
      <w:r>
        <w:t xml:space="preserve">) to Dec 31 2017 to obtain 2017 </w:t>
      </w:r>
      <w:proofErr w:type="spellStart"/>
      <w:r>
        <w:t>MMB</w:t>
      </w:r>
      <w:r>
        <w:rPr>
          <w:vertAlign w:val="subscript"/>
        </w:rPr>
        <w:t>mating,projected</w:t>
      </w:r>
      <w:proofErr w:type="spellEnd"/>
      <w:r>
        <w:t>. Determine if stock is approaching overfished condition (i.e. if MMB is projected to be below MSST on Dec 31 2017).</w:t>
      </w:r>
    </w:p>
    <w:p w:rsidR="004C28AC" w:rsidRDefault="004C28AC" w:rsidP="004C28AC">
      <w:pPr>
        <w:pStyle w:val="ListParagraph"/>
        <w:numPr>
          <w:ilvl w:val="0"/>
          <w:numId w:val="3"/>
        </w:numPr>
        <w:spacing w:after="0"/>
        <w:jc w:val="left"/>
      </w:pPr>
      <w:r>
        <w:t>Apply Tier-4 overfishing control rule to 2018 MMB</w:t>
      </w:r>
      <w:r>
        <w:rPr>
          <w:vertAlign w:val="subscript"/>
        </w:rPr>
        <w:t>0,projected</w:t>
      </w:r>
      <w:r>
        <w:t xml:space="preserve"> (= 2017 </w:t>
      </w:r>
      <w:proofErr w:type="spellStart"/>
      <w:r>
        <w:t>MMB</w:t>
      </w:r>
      <w:r>
        <w:rPr>
          <w:vertAlign w:val="subscript"/>
        </w:rPr>
        <w:t>mating,projected</w:t>
      </w:r>
      <w:proofErr w:type="spellEnd"/>
      <w:r>
        <w:t>) to get Tier-4 OFL for 2018.</w:t>
      </w:r>
    </w:p>
    <w:p w:rsidR="008578CF" w:rsidRDefault="008578CF">
      <w:pPr>
        <w:pStyle w:val="ListParagraph"/>
        <w:spacing w:after="0"/>
        <w:jc w:val="left"/>
      </w:pPr>
    </w:p>
    <w:p w:rsidR="000F3AEE" w:rsidRDefault="00C26EBA" w:rsidP="00C26EBA">
      <w:pPr>
        <w:spacing w:after="0"/>
        <w:jc w:val="left"/>
      </w:pPr>
      <w:r>
        <w:t>The process for overfishing and overfished determin</w:t>
      </w:r>
      <w:r w:rsidR="00832707">
        <w:t>ations and for establishing OFLs</w:t>
      </w:r>
      <w:r>
        <w:t xml:space="preserve"> in s</w:t>
      </w:r>
      <w:r w:rsidR="00587BCC">
        <w:t>ubsequent Fall CPT meetings</w:t>
      </w:r>
      <w:r>
        <w:t xml:space="preserve"> would </w:t>
      </w:r>
      <w:r w:rsidR="00587BCC">
        <w:t>follow odd and even year process</w:t>
      </w:r>
      <w:r w:rsidR="00832707">
        <w:t>es</w:t>
      </w:r>
      <w:r w:rsidR="00587BCC">
        <w:t xml:space="preserve"> established for the Fall 2016 and 2017 meetings.</w:t>
      </w:r>
    </w:p>
    <w:p w:rsidR="00DB3E50" w:rsidRPr="00CC6247" w:rsidRDefault="00DB3E50" w:rsidP="00CA3EC2">
      <w:pPr>
        <w:spacing w:after="0"/>
        <w:jc w:val="left"/>
      </w:pPr>
    </w:p>
    <w:p w:rsidR="00C6350E" w:rsidRDefault="008E4511" w:rsidP="00CA3EC2">
      <w:pPr>
        <w:spacing w:after="0"/>
        <w:jc w:val="left"/>
      </w:pPr>
      <w:r>
        <w:t xml:space="preserve">The </w:t>
      </w:r>
      <w:r w:rsidR="00CC6247">
        <w:t xml:space="preserve">OFL </w:t>
      </w:r>
      <w:r>
        <w:t xml:space="preserve">is </w:t>
      </w:r>
      <w:r w:rsidR="00CC6247">
        <w:t xml:space="preserve">computed </w:t>
      </w:r>
      <w:r w:rsidR="0032285B">
        <w:t>by applying F</w:t>
      </w:r>
      <w:r w:rsidR="0032285B">
        <w:rPr>
          <w:vertAlign w:val="subscript"/>
        </w:rPr>
        <w:t>OFL</w:t>
      </w:r>
      <w:r w:rsidR="0032285B">
        <w:t xml:space="preserve"> determined </w:t>
      </w:r>
      <w:r w:rsidR="00CC6247">
        <w:t xml:space="preserve">via </w:t>
      </w:r>
      <w:r>
        <w:t xml:space="preserve">the Tier-4 overfishing </w:t>
      </w:r>
      <w:r w:rsidR="00CC6247">
        <w:t xml:space="preserve">control rule </w:t>
      </w:r>
      <w:r>
        <w:t>(2012 SAFE</w:t>
      </w:r>
      <w:r w:rsidR="00D26F45">
        <w:t xml:space="preserve"> Introduction</w:t>
      </w:r>
      <w:r>
        <w:t xml:space="preserve">) </w:t>
      </w:r>
      <w:r w:rsidR="0032285B">
        <w:t>to MMB in accordance with the Baranov catch equation:</w:t>
      </w:r>
      <w:r w:rsidR="00700678">
        <w:t xml:space="preserve"> </w:t>
      </w:r>
    </w:p>
    <w:p w:rsidR="00C6350E" w:rsidRDefault="00C6350E" w:rsidP="00CA3EC2">
      <w:pPr>
        <w:spacing w:after="0"/>
        <w:jc w:val="left"/>
      </w:pPr>
    </w:p>
    <w:p w:rsidR="00C6350E" w:rsidRDefault="008E4511" w:rsidP="00CA3EC2">
      <w:pPr>
        <w:spacing w:after="0"/>
        <w:jc w:val="left"/>
      </w:pPr>
      <m:oMath>
        <m:r>
          <w:rPr>
            <w:rFonts w:ascii="Cambria Math" w:hAnsi="Cambria Math"/>
          </w:rPr>
          <m:t>OFL=</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OFL</m:t>
                </m:r>
              </m:sub>
            </m:sSub>
          </m:num>
          <m:den>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OFL</m:t>
                    </m:r>
                  </m:sub>
                </m:sSub>
                <m:r>
                  <w:rPr>
                    <w:rFonts w:ascii="Cambria Math" w:hAnsi="Cambria Math"/>
                  </w:rPr>
                  <m:t>+ M</m:t>
                </m:r>
              </m:e>
            </m:d>
          </m:den>
        </m:f>
        <m: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OFL</m:t>
                </m:r>
              </m:sub>
            </m:sSub>
            <m:r>
              <m:rPr>
                <m:sty m:val="p"/>
              </m:rPr>
              <w:rPr>
                <w:rFonts w:ascii="Cambria Math" w:hAnsi="Cambria Math"/>
              </w:rPr>
              <m:t>+ M)</m:t>
            </m:r>
          </m:sup>
        </m:sSup>
        <m:r>
          <w:rPr>
            <w:rFonts w:ascii="Cambria Math" w:hAnsi="Cambria Math"/>
          </w:rPr>
          <m:t>]MMB</m:t>
        </m:r>
      </m:oMath>
      <w:r w:rsidR="0032285B">
        <w:t xml:space="preserve">.  </w:t>
      </w:r>
    </w:p>
    <w:p w:rsidR="00C6350E" w:rsidRDefault="00C6350E" w:rsidP="00CA3EC2">
      <w:pPr>
        <w:spacing w:after="0"/>
        <w:jc w:val="left"/>
      </w:pPr>
    </w:p>
    <w:p w:rsidR="00C6350E" w:rsidRDefault="00700678" w:rsidP="00CA3EC2">
      <w:pPr>
        <w:spacing w:after="0"/>
        <w:jc w:val="left"/>
      </w:pPr>
      <w:r>
        <w:t xml:space="preserve">Expected mature male </w:t>
      </w:r>
      <w:proofErr w:type="spellStart"/>
      <w:r>
        <w:t>bycatch</w:t>
      </w:r>
      <w:proofErr w:type="spellEnd"/>
      <w:r>
        <w:t xml:space="preserve"> mortality in </w:t>
      </w:r>
      <w:proofErr w:type="spellStart"/>
      <w:r>
        <w:t>nontarget</w:t>
      </w:r>
      <w:proofErr w:type="spellEnd"/>
      <w:r>
        <w:t xml:space="preserve"> fisheries is then removed to obtain OFL</w:t>
      </w:r>
      <w:r>
        <w:rPr>
          <w:vertAlign w:val="superscript"/>
        </w:rPr>
        <w:t>*</w:t>
      </w:r>
      <w:r>
        <w:t>, allow</w:t>
      </w:r>
      <w:r w:rsidR="006513AD">
        <w:t xml:space="preserve">ing computation of the retained </w:t>
      </w:r>
      <w:r>
        <w:t>catch portion of the OFL as</w:t>
      </w:r>
      <w:r w:rsidR="0023554E">
        <w:t xml:space="preserve"> </w:t>
      </w:r>
      <m:oMath>
        <m:sSub>
          <m:sSubPr>
            <m:ctrlPr>
              <w:rPr>
                <w:rFonts w:ascii="Cambria Math" w:hAnsi="Cambria Math"/>
                <w:i/>
              </w:rPr>
            </m:ctrlPr>
          </m:sSubPr>
          <m:e>
            <m:r>
              <w:rPr>
                <w:rFonts w:ascii="Cambria Math" w:hAnsi="Cambria Math"/>
              </w:rPr>
              <m:t>OFL</m:t>
            </m:r>
          </m:e>
          <m:sub>
            <m:r>
              <w:rPr>
                <w:rFonts w:ascii="Cambria Math" w:hAnsi="Cambria Math"/>
              </w:rPr>
              <m:t>ret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OFL</m:t>
                </m:r>
              </m:e>
              <m:sup>
                <m:r>
                  <w:rPr>
                    <w:rFonts w:ascii="Cambria Math" w:hAnsi="Cambria Math"/>
                  </w:rPr>
                  <m:t>*</m:t>
                </m:r>
              </m:sup>
            </m:sSup>
          </m:num>
          <m:den>
            <m:r>
              <w:rPr>
                <w:rFonts w:ascii="Cambria Math" w:hAnsi="Cambria Math"/>
              </w:rPr>
              <m:t>(p+1)</m:t>
            </m:r>
          </m:den>
        </m:f>
      </m:oMath>
      <w:r w:rsidR="0023554E">
        <w:t xml:space="preserve">, where ρ denotes an estimate of the expected ratio of mature male discard </w:t>
      </w:r>
      <w:r w:rsidR="0023554E" w:rsidRPr="00EF36F4">
        <w:t>mortality</w:t>
      </w:r>
      <w:r w:rsidR="0023554E">
        <w:t xml:space="preserve"> biomass to retained catch in the directed fishery. This makes the contribut</w:t>
      </w:r>
      <w:r w:rsidR="006513AD">
        <w:t xml:space="preserve">ion of directed-fishery discard </w:t>
      </w:r>
      <w:r w:rsidR="0023554E">
        <w:t xml:space="preserve">mortality biomass to the OFL equal to </w:t>
      </w:r>
      <m:oMath>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OFL</m:t>
                </m:r>
              </m:e>
              <m:sup>
                <m:r>
                  <w:rPr>
                    <w:rFonts w:ascii="Cambria Math" w:hAnsi="Cambria Math"/>
                  </w:rPr>
                  <m:t>*</m:t>
                </m:r>
              </m:sup>
            </m:sSup>
          </m:num>
          <m:den>
            <m:r>
              <w:rPr>
                <w:rFonts w:ascii="Cambria Math" w:hAnsi="Cambria Math"/>
              </w:rPr>
              <m:t>(ρ+1)</m:t>
            </m:r>
          </m:den>
        </m:f>
      </m:oMath>
      <w:r w:rsidR="0023554E">
        <w:t>. With the OFL in hand, the ABC can then be set at</w:t>
      </w:r>
    </w:p>
    <w:p w:rsidR="00F5533B" w:rsidRDefault="0023554E" w:rsidP="00CA3EC2">
      <w:pPr>
        <w:spacing w:after="0"/>
        <w:jc w:val="left"/>
      </w:pPr>
      <w:r>
        <w:t xml:space="preserve"> </w:t>
      </w:r>
      <m:oMath>
        <m:d>
          <m:dPr>
            <m:ctrlPr>
              <w:rPr>
                <w:rFonts w:ascii="Cambria Math" w:hAnsi="Cambria Math"/>
                <w:i/>
              </w:rPr>
            </m:ctrlPr>
          </m:dPr>
          <m:e>
            <m:r>
              <w:rPr>
                <w:rFonts w:ascii="Cambria Math" w:hAnsi="Cambria Math"/>
              </w:rPr>
              <m:t>1-b</m:t>
            </m:r>
          </m:e>
        </m:d>
        <m:r>
          <w:rPr>
            <w:rFonts w:ascii="Cambria Math" w:hAnsi="Cambria Math"/>
          </w:rPr>
          <m:t>OFL</m:t>
        </m:r>
      </m:oMath>
      <w:r w:rsidR="00400EB7">
        <w:t xml:space="preserve"> for suitable buffer </w:t>
      </w:r>
      <m:oMath>
        <m:r>
          <w:rPr>
            <w:rFonts w:ascii="Cambria Math" w:hAnsi="Cambria Math"/>
          </w:rPr>
          <m:t>bϵ(0,1)</m:t>
        </m:r>
      </m:oMath>
      <w:r w:rsidR="00400EB7">
        <w:t>.</w:t>
      </w:r>
    </w:p>
    <w:p w:rsidR="00DB3B46" w:rsidRPr="00DB3B46" w:rsidRDefault="00F5533B" w:rsidP="00F5533B">
      <w:pPr>
        <w:spacing w:after="0"/>
      </w:pPr>
      <w:r>
        <w:br w:type="page"/>
      </w:r>
      <w:r w:rsidR="00DB3B46">
        <w:rPr>
          <w:b/>
          <w:u w:val="single"/>
        </w:rPr>
        <w:lastRenderedPageBreak/>
        <w:t>Biomass estimates and other results from the 2012, 2010, and 2008 surveys</w:t>
      </w:r>
    </w:p>
    <w:p w:rsidR="00DB3B46" w:rsidRDefault="00DB3B46" w:rsidP="00DB3B46">
      <w:pPr>
        <w:spacing w:after="0"/>
        <w:jc w:val="left"/>
      </w:pPr>
      <w:r>
        <w:t>Estimates of mat</w:t>
      </w:r>
      <w:r w:rsidR="006513AD">
        <w:t>ure male biomass necessary for the sketched</w:t>
      </w:r>
      <w:r>
        <w:t xml:space="preserve"> Tier-4 assessment,</w:t>
      </w:r>
      <w:r w:rsidRPr="009E6072">
        <w:t xml:space="preserve"> </w:t>
      </w:r>
      <w:r>
        <w:t xml:space="preserve">along with estimates of mature male abundance and legal male, total male and total female biomass and abundance, were calculated by the author from 2012, 2010 and 2008 NMFS-AFSC EBS slope-survey data supplied by the NMFS-AFSC Kodiak Laboratory. All estimates were calculated for both the full survey area (Table </w:t>
      </w:r>
      <w:r w:rsidR="007A799F">
        <w:t>3</w:t>
      </w:r>
      <w:r>
        <w:t xml:space="preserve">) and for the Pribilof Canyon subarea of the survey region (Table </w:t>
      </w:r>
      <w:r w:rsidR="007A799F">
        <w:t>4</w:t>
      </w:r>
      <w:r w:rsidR="00AC5D38">
        <w:t xml:space="preserve">) assuming the </w:t>
      </w:r>
      <w:r>
        <w:t xml:space="preserve">survey’s stratified simple-random-sample design (Hoff and Britt 2011). Survey-recorded CL measurements of individual crab (Figure 4) were used to delineate sex-by-size classes and to model individual crab weights in class biomass estimation. In a few instances (5 of 416 captured crab in 2008 and 1 of 427 in 2012) missing CL measurements were imputed by averaging over recorded CL measurements within the same haul and sex; sex had also to be imputed for the 1 </w:t>
      </w:r>
      <w:proofErr w:type="spellStart"/>
      <w:r>
        <w:t>unsized</w:t>
      </w:r>
      <w:proofErr w:type="spellEnd"/>
      <w:r>
        <w:t xml:space="preserve"> animal in the 2012 dataset. By contrast, Hoff and Britt (2011, 2009, 2005, 2003) report only total (all sizes and both sexes combined) GKC abundance and biomass estimates based on haul total-catch numbers and weights (G.R. Hoff, NMFS-AFSC Seattle, 13 Mar 2013 e</w:t>
      </w:r>
      <w:r w:rsidR="00BC365F">
        <w:t>mail) from the 2002, 2004, 2008</w:t>
      </w:r>
      <w:r>
        <w:t xml:space="preserve"> and 2010 slope surveys (Table </w:t>
      </w:r>
      <w:r w:rsidR="007A799F">
        <w:t>5</w:t>
      </w:r>
      <w:r>
        <w:t xml:space="preserve">). </w:t>
      </w:r>
      <w:r w:rsidR="00053BC7">
        <w:t xml:space="preserve">Some discrepancies between the comparable sets of estimates are evident. </w:t>
      </w:r>
      <w:r>
        <w:t>So far as the author is aware, 2012 slope-survey results have yet to be reported.</w:t>
      </w:r>
      <w:r w:rsidR="004B6CC6">
        <w:t xml:space="preserve"> </w:t>
      </w:r>
    </w:p>
    <w:p w:rsidR="00DB3B46" w:rsidRDefault="00400EB7">
      <w:pPr>
        <w:spacing w:after="0"/>
      </w:pPr>
      <w:r>
        <w:br w:type="page"/>
      </w:r>
    </w:p>
    <w:p w:rsidR="00031809" w:rsidRPr="00A90C90" w:rsidRDefault="00115AB5" w:rsidP="00CA3EC2">
      <w:pPr>
        <w:spacing w:after="0"/>
        <w:jc w:val="left"/>
        <w:rPr>
          <w:b/>
          <w:u w:val="single"/>
        </w:rPr>
      </w:pPr>
      <w:r w:rsidRPr="00A90C90">
        <w:rPr>
          <w:b/>
          <w:u w:val="single"/>
        </w:rPr>
        <w:lastRenderedPageBreak/>
        <w:t>References</w:t>
      </w:r>
    </w:p>
    <w:p w:rsidR="004267D9" w:rsidRDefault="004267D9" w:rsidP="00CA3EC2">
      <w:pPr>
        <w:spacing w:after="0"/>
        <w:jc w:val="left"/>
      </w:pPr>
      <w:r>
        <w:t xml:space="preserve">Fitch, H., M. Deiman, J. Shaishnikoff, and K. Herring. 2012. Annual management report for the </w:t>
      </w:r>
      <w:r>
        <w:tab/>
        <w:t xml:space="preserve">commercial and subsistence shellfish fisheries of the Bering Sea, 2010/11. Pages 75-1776 </w:t>
      </w:r>
      <w:r>
        <w:tab/>
        <w:t>[In] Fitch</w:t>
      </w:r>
      <w:r w:rsidRPr="002C7142">
        <w:t>,</w:t>
      </w:r>
      <w:r>
        <w:t xml:space="preserve"> H., M. Schwenzfeier, B. Baechler, T. Hartill, M. Salmon, M. Deiman, E. </w:t>
      </w:r>
      <w:r>
        <w:tab/>
        <w:t>Evans, E. Henry, L. Wald, J. Shaishnikoff, K. Herring, and J. Wilson. 2012</w:t>
      </w:r>
      <w:r w:rsidRPr="002C7142">
        <w:t xml:space="preserve">.  Annual </w:t>
      </w:r>
      <w:r>
        <w:tab/>
      </w:r>
      <w:r w:rsidRPr="002C7142">
        <w:t xml:space="preserve">management report for the commercial and subsistence shellfish fisheries of the Aleutian </w:t>
      </w:r>
      <w:r>
        <w:tab/>
      </w:r>
      <w:r w:rsidRPr="002C7142">
        <w:t xml:space="preserve">Islands, </w:t>
      </w:r>
      <w:smartTag w:uri="urn:schemas-microsoft-com:office:smarttags" w:element="place">
        <w:r w:rsidRPr="002C7142">
          <w:t>Bering Sea</w:t>
        </w:r>
      </w:smartTag>
      <w:r w:rsidRPr="002C7142">
        <w:t xml:space="preserve"> and the Westward Region’s </w:t>
      </w:r>
      <w:r>
        <w:t>Shellfish Observer Program, 2010/11</w:t>
      </w:r>
      <w:r w:rsidRPr="002C7142">
        <w:t xml:space="preserve">.  </w:t>
      </w:r>
      <w:r>
        <w:tab/>
      </w:r>
      <w:r w:rsidRPr="002C7142">
        <w:t xml:space="preserve">Alaska Department of Fish and Game, </w:t>
      </w:r>
      <w:r>
        <w:t>Fishery Management Report No. 12-22</w:t>
      </w:r>
      <w:r w:rsidRPr="002C7142">
        <w:t xml:space="preserve">, </w:t>
      </w:r>
      <w:r>
        <w:tab/>
      </w:r>
      <w:smartTag w:uri="urn:schemas-microsoft-com:office:smarttags" w:element="City">
        <w:smartTag w:uri="urn:schemas-microsoft-com:office:smarttags" w:element="place">
          <w:r w:rsidRPr="002C7142">
            <w:t>Anchorage</w:t>
          </w:r>
        </w:smartTag>
      </w:smartTag>
      <w:r w:rsidRPr="002C7142">
        <w:t>.</w:t>
      </w:r>
    </w:p>
    <w:p w:rsidR="004267D9" w:rsidRDefault="004267D9" w:rsidP="00CA3EC2">
      <w:pPr>
        <w:spacing w:after="0"/>
        <w:jc w:val="left"/>
      </w:pPr>
    </w:p>
    <w:p w:rsidR="0032643F" w:rsidRDefault="007C5E1A" w:rsidP="00CA3EC2">
      <w:pPr>
        <w:spacing w:after="0"/>
        <w:jc w:val="left"/>
      </w:pPr>
      <w:r>
        <w:t>Hoff, G.R., and L.L. Britt. 2011. Results of the 2010 easter</w:t>
      </w:r>
      <w:r w:rsidR="00115AB5">
        <w:t>n</w:t>
      </w:r>
      <w:r>
        <w:t xml:space="preserve"> Bering Sea upper continental slope </w:t>
      </w:r>
      <w:r w:rsidR="00B9703A">
        <w:tab/>
      </w:r>
      <w:r>
        <w:t xml:space="preserve">survey of </w:t>
      </w:r>
      <w:proofErr w:type="spellStart"/>
      <w:r>
        <w:t>groundfish</w:t>
      </w:r>
      <w:proofErr w:type="spellEnd"/>
      <w:r>
        <w:t xml:space="preserve"> and invertebrate resources. U.S. Dep. </w:t>
      </w:r>
      <w:proofErr w:type="spellStart"/>
      <w:r>
        <w:t>Commer</w:t>
      </w:r>
      <w:proofErr w:type="spellEnd"/>
      <w:r>
        <w:t xml:space="preserve">., NOAA Tech. </w:t>
      </w:r>
      <w:r w:rsidR="00B9703A">
        <w:tab/>
      </w:r>
      <w:r>
        <w:t>Memo. NMFS-AFSC-224, 300 p.</w:t>
      </w:r>
    </w:p>
    <w:p w:rsidR="001820D1" w:rsidRDefault="001820D1" w:rsidP="00CA3EC2">
      <w:pPr>
        <w:spacing w:after="0"/>
        <w:jc w:val="left"/>
      </w:pPr>
    </w:p>
    <w:p w:rsidR="001820D1" w:rsidRDefault="001820D1" w:rsidP="001820D1">
      <w:pPr>
        <w:spacing w:after="0"/>
        <w:jc w:val="left"/>
      </w:pPr>
      <w:r>
        <w:t>Hoff, G.R., and L.</w:t>
      </w:r>
      <w:r w:rsidRPr="001820D1">
        <w:t>L. Britt. 2009. Results of the 2008 eastern Bering</w:t>
      </w:r>
      <w:r>
        <w:t xml:space="preserve"> </w:t>
      </w:r>
      <w:r w:rsidRPr="001820D1">
        <w:t xml:space="preserve">Sea upper continental slope </w:t>
      </w:r>
      <w:r w:rsidR="00B9703A">
        <w:tab/>
      </w:r>
      <w:r w:rsidRPr="001820D1">
        <w:t xml:space="preserve">survey of </w:t>
      </w:r>
      <w:proofErr w:type="spellStart"/>
      <w:r w:rsidRPr="001820D1">
        <w:t>groundfish</w:t>
      </w:r>
      <w:proofErr w:type="spellEnd"/>
      <w:r w:rsidRPr="001820D1">
        <w:t xml:space="preserve"> and invertebrate</w:t>
      </w:r>
      <w:r>
        <w:t xml:space="preserve"> </w:t>
      </w:r>
      <w:r w:rsidRPr="001820D1">
        <w:t xml:space="preserve">resources. U.S. Dep. </w:t>
      </w:r>
      <w:proofErr w:type="spellStart"/>
      <w:r w:rsidRPr="001820D1">
        <w:t>Commer</w:t>
      </w:r>
      <w:proofErr w:type="spellEnd"/>
      <w:r w:rsidRPr="001820D1">
        <w:t xml:space="preserve">., NOAA Tech. </w:t>
      </w:r>
      <w:r w:rsidR="00B9703A">
        <w:tab/>
      </w:r>
      <w:r w:rsidRPr="001820D1">
        <w:t>Memo. NMFS-AFSC-197,</w:t>
      </w:r>
      <w:r>
        <w:t xml:space="preserve"> </w:t>
      </w:r>
      <w:r w:rsidRPr="001820D1">
        <w:t>294 p.</w:t>
      </w:r>
    </w:p>
    <w:p w:rsidR="003D33E0" w:rsidRDefault="003D33E0" w:rsidP="001820D1">
      <w:pPr>
        <w:spacing w:after="0"/>
        <w:jc w:val="left"/>
      </w:pPr>
    </w:p>
    <w:p w:rsidR="003D33E0" w:rsidRDefault="003D33E0" w:rsidP="001820D1">
      <w:pPr>
        <w:spacing w:after="0"/>
        <w:jc w:val="left"/>
      </w:pPr>
      <w:r>
        <w:t>Hoff, G.R., and L.L. Britt. 2005. Results of the 2004</w:t>
      </w:r>
      <w:r w:rsidRPr="001820D1">
        <w:t xml:space="preserve"> eastern Bering</w:t>
      </w:r>
      <w:r>
        <w:t xml:space="preserve"> </w:t>
      </w:r>
      <w:r w:rsidRPr="001820D1">
        <w:t xml:space="preserve">Sea upper continental slope </w:t>
      </w:r>
      <w:r>
        <w:tab/>
      </w:r>
      <w:r w:rsidRPr="001820D1">
        <w:t xml:space="preserve">survey of </w:t>
      </w:r>
      <w:proofErr w:type="spellStart"/>
      <w:r w:rsidRPr="001820D1">
        <w:t>groundfish</w:t>
      </w:r>
      <w:proofErr w:type="spellEnd"/>
      <w:r w:rsidRPr="001820D1">
        <w:t xml:space="preserve"> and invertebrate</w:t>
      </w:r>
      <w:r>
        <w:t xml:space="preserve"> </w:t>
      </w:r>
      <w:r w:rsidRPr="001820D1">
        <w:t xml:space="preserve">resources. U.S. Dep. </w:t>
      </w:r>
      <w:proofErr w:type="spellStart"/>
      <w:r w:rsidRPr="001820D1">
        <w:t>Commer</w:t>
      </w:r>
      <w:proofErr w:type="spellEnd"/>
      <w:r w:rsidRPr="001820D1">
        <w:t xml:space="preserve">., NOAA Tech. </w:t>
      </w:r>
      <w:r>
        <w:tab/>
        <w:t>Memo. NMFS-AFSC-156</w:t>
      </w:r>
      <w:r w:rsidRPr="001820D1">
        <w:t>,</w:t>
      </w:r>
      <w:r>
        <w:t xml:space="preserve"> 276</w:t>
      </w:r>
      <w:r w:rsidRPr="001820D1">
        <w:t xml:space="preserve"> p.</w:t>
      </w:r>
    </w:p>
    <w:p w:rsidR="003D33E0" w:rsidRDefault="003D33E0" w:rsidP="001820D1">
      <w:pPr>
        <w:spacing w:after="0"/>
        <w:jc w:val="left"/>
      </w:pPr>
    </w:p>
    <w:p w:rsidR="003D33E0" w:rsidRDefault="003D33E0" w:rsidP="001820D1">
      <w:pPr>
        <w:spacing w:after="0"/>
        <w:jc w:val="left"/>
      </w:pPr>
      <w:r>
        <w:t>Hoff, G.R., and L.L. Britt. 2003. The 2002</w:t>
      </w:r>
      <w:r w:rsidRPr="001820D1">
        <w:t xml:space="preserve"> eastern Bering</w:t>
      </w:r>
      <w:r>
        <w:t xml:space="preserve"> </w:t>
      </w:r>
      <w:r w:rsidRPr="001820D1">
        <w:t>Sea upper continental slope survey of</w:t>
      </w:r>
    </w:p>
    <w:p w:rsidR="00D021AA" w:rsidRDefault="003D33E0" w:rsidP="001820D1">
      <w:pPr>
        <w:spacing w:after="0"/>
        <w:jc w:val="left"/>
      </w:pPr>
      <w:r w:rsidRPr="001820D1">
        <w:t xml:space="preserve"> </w:t>
      </w:r>
      <w:r>
        <w:tab/>
      </w:r>
      <w:proofErr w:type="spellStart"/>
      <w:r w:rsidRPr="001820D1">
        <w:t>groundfish</w:t>
      </w:r>
      <w:proofErr w:type="spellEnd"/>
      <w:r w:rsidRPr="001820D1">
        <w:t xml:space="preserve"> and invertebrate</w:t>
      </w:r>
      <w:r>
        <w:t xml:space="preserve"> </w:t>
      </w:r>
      <w:r w:rsidRPr="001820D1">
        <w:t xml:space="preserve">resources. U.S. Dep. </w:t>
      </w:r>
      <w:proofErr w:type="spellStart"/>
      <w:r w:rsidRPr="001820D1">
        <w:t>Commer</w:t>
      </w:r>
      <w:proofErr w:type="spellEnd"/>
      <w:r w:rsidRPr="001820D1">
        <w:t xml:space="preserve">., NOAA Tech. </w:t>
      </w:r>
      <w:r>
        <w:tab/>
      </w:r>
      <w:r w:rsidRPr="001820D1">
        <w:t xml:space="preserve">Memo. </w:t>
      </w:r>
      <w:r>
        <w:tab/>
        <w:t>NMFS-AFSC-141</w:t>
      </w:r>
      <w:r w:rsidRPr="001820D1">
        <w:t>,</w:t>
      </w:r>
      <w:r>
        <w:t xml:space="preserve"> 261</w:t>
      </w:r>
      <w:r w:rsidRPr="001820D1">
        <w:t xml:space="preserve"> p.</w:t>
      </w:r>
    </w:p>
    <w:p w:rsidR="001E5627" w:rsidRDefault="001E5627" w:rsidP="00CA3EC2">
      <w:pPr>
        <w:spacing w:after="0"/>
        <w:jc w:val="left"/>
      </w:pPr>
    </w:p>
    <w:p w:rsidR="00CA3EC2" w:rsidRDefault="00A852DB" w:rsidP="00CA3EC2">
      <w:pPr>
        <w:spacing w:after="0"/>
        <w:jc w:val="left"/>
      </w:pPr>
      <w:r>
        <w:t xml:space="preserve">Otto,  </w:t>
      </w:r>
      <w:r w:rsidR="002379EC">
        <w:t>R.S.</w:t>
      </w:r>
      <w:r>
        <w:t xml:space="preserve"> , and  </w:t>
      </w:r>
      <w:r w:rsidR="002379EC">
        <w:t xml:space="preserve">P.A. </w:t>
      </w:r>
      <w:proofErr w:type="spellStart"/>
      <w:r>
        <w:t>Cummiskey</w:t>
      </w:r>
      <w:proofErr w:type="spellEnd"/>
      <w:r>
        <w:t>. 1985.</w:t>
      </w:r>
      <w:r w:rsidR="002379EC">
        <w:t xml:space="preserve"> Observations on the reproductive biology of golden </w:t>
      </w:r>
      <w:r w:rsidR="00B9703A">
        <w:tab/>
      </w:r>
      <w:r w:rsidR="002379EC">
        <w:t>king crab (</w:t>
      </w:r>
      <w:proofErr w:type="spellStart"/>
      <w:r w:rsidR="002379EC">
        <w:rPr>
          <w:i/>
        </w:rPr>
        <w:t>Lithodes</w:t>
      </w:r>
      <w:proofErr w:type="spellEnd"/>
      <w:r w:rsidR="002379EC">
        <w:rPr>
          <w:i/>
        </w:rPr>
        <w:t xml:space="preserve"> </w:t>
      </w:r>
      <w:proofErr w:type="spellStart"/>
      <w:r w:rsidR="002379EC">
        <w:rPr>
          <w:i/>
        </w:rPr>
        <w:t>aequispina</w:t>
      </w:r>
      <w:proofErr w:type="spellEnd"/>
      <w:r w:rsidR="002379EC">
        <w:t xml:space="preserve">) in the Bering Sea and Aleutian Islands. Pages 123–136 </w:t>
      </w:r>
      <w:r w:rsidR="002379EC">
        <w:rPr>
          <w:i/>
        </w:rPr>
        <w:t>in</w:t>
      </w:r>
      <w:r w:rsidR="002379EC">
        <w:t xml:space="preserve"> </w:t>
      </w:r>
      <w:r w:rsidR="00B9703A">
        <w:tab/>
      </w:r>
      <w:r w:rsidR="002379EC">
        <w:t xml:space="preserve">Proceedings of the International King Crab Symposium. University of Alaska Sea Grant </w:t>
      </w:r>
      <w:r w:rsidR="00B9703A">
        <w:tab/>
      </w:r>
      <w:r w:rsidR="002379EC">
        <w:t>Report No. 85-12, Fairbanks.</w:t>
      </w:r>
    </w:p>
    <w:p w:rsidR="001E5627" w:rsidRDefault="001E5627" w:rsidP="00CA3EC2">
      <w:pPr>
        <w:spacing w:after="0"/>
        <w:jc w:val="left"/>
      </w:pPr>
    </w:p>
    <w:p w:rsidR="00550DFE" w:rsidRDefault="001E5627" w:rsidP="00550DFE">
      <w:pPr>
        <w:spacing w:after="0"/>
        <w:jc w:val="left"/>
      </w:pPr>
      <w:r>
        <w:t xml:space="preserve">North Pacific Fishery Management Council (NPFMC). 2007. Public Review Draft: </w:t>
      </w:r>
      <w:r w:rsidR="00B9703A">
        <w:tab/>
      </w:r>
      <w:r>
        <w:t xml:space="preserve">Environmental Assessment for proposed Amendment 24 to  the Fishery Management </w:t>
      </w:r>
      <w:r w:rsidR="00B9703A">
        <w:tab/>
      </w:r>
      <w:r>
        <w:t xml:space="preserve">Plan for Bering Sea and Aleutian Islands King and Tanner Crabs to Revise Overfishing </w:t>
      </w:r>
      <w:r w:rsidR="00B9703A">
        <w:tab/>
      </w:r>
      <w:r>
        <w:t>Definitions. 14 November 2007. North Pacific Fishery Management Council, Anchorage.</w:t>
      </w:r>
    </w:p>
    <w:p w:rsidR="00550DFE" w:rsidRDefault="00550DFE" w:rsidP="00550DFE">
      <w:pPr>
        <w:spacing w:after="0"/>
        <w:jc w:val="left"/>
      </w:pPr>
    </w:p>
    <w:p w:rsidR="00550DFE" w:rsidRDefault="00550DFE" w:rsidP="00550DFE">
      <w:pPr>
        <w:spacing w:after="0"/>
        <w:jc w:val="left"/>
      </w:pPr>
    </w:p>
    <w:p w:rsidR="007A799F" w:rsidRDefault="007A799F">
      <w:pPr>
        <w:spacing w:after="0"/>
      </w:pPr>
      <w:r>
        <w:br w:type="page"/>
      </w:r>
    </w:p>
    <w:p w:rsidR="00507FE0" w:rsidRDefault="007A799F" w:rsidP="00507FE0">
      <w:pPr>
        <w:spacing w:after="0"/>
        <w:jc w:val="left"/>
        <w:rPr>
          <w:sz w:val="22"/>
          <w:szCs w:val="22"/>
        </w:rPr>
      </w:pPr>
      <w:r>
        <w:rPr>
          <w:sz w:val="22"/>
          <w:szCs w:val="22"/>
        </w:rPr>
        <w:lastRenderedPageBreak/>
        <w:t xml:space="preserve">Table </w:t>
      </w:r>
      <w:r w:rsidR="003E2D35">
        <w:rPr>
          <w:sz w:val="22"/>
          <w:szCs w:val="22"/>
        </w:rPr>
        <w:t>1</w:t>
      </w:r>
      <w:r>
        <w:rPr>
          <w:sz w:val="22"/>
          <w:szCs w:val="22"/>
        </w:rPr>
        <w:t>: P</w:t>
      </w:r>
      <w:r w:rsidR="00C6476A">
        <w:rPr>
          <w:sz w:val="22"/>
          <w:szCs w:val="22"/>
        </w:rPr>
        <w:t xml:space="preserve">ercent of annual harvest by month of landing, 1993–2012 Pribilof Islands golden king </w:t>
      </w:r>
    </w:p>
    <w:p w:rsidR="007A799F" w:rsidRDefault="00C6476A" w:rsidP="00507FE0">
      <w:pPr>
        <w:spacing w:after="0"/>
        <w:jc w:val="left"/>
        <w:rPr>
          <w:sz w:val="22"/>
          <w:szCs w:val="22"/>
        </w:rPr>
      </w:pPr>
      <w:r>
        <w:rPr>
          <w:sz w:val="22"/>
          <w:szCs w:val="22"/>
        </w:rPr>
        <w:t>crab fishery</w:t>
      </w:r>
      <w:r w:rsidR="007A799F">
        <w:rPr>
          <w:sz w:val="22"/>
          <w:szCs w:val="22"/>
        </w:rPr>
        <w:t>.</w:t>
      </w:r>
    </w:p>
    <w:p w:rsidR="00C6476A" w:rsidRDefault="008578CF" w:rsidP="007A799F">
      <w:pPr>
        <w:spacing w:after="0"/>
        <w:rPr>
          <w:sz w:val="22"/>
          <w:szCs w:val="22"/>
        </w:rPr>
      </w:pPr>
      <w:r>
        <w:rPr>
          <w:noProof/>
          <w:szCs w:val="22"/>
        </w:rPr>
        <w:drawing>
          <wp:inline distT="0" distB="0" distL="0" distR="0">
            <wp:extent cx="5573395" cy="3625215"/>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73395" cy="3625215"/>
                    </a:xfrm>
                    <a:prstGeom prst="rect">
                      <a:avLst/>
                    </a:prstGeom>
                    <a:noFill/>
                    <a:ln w="9525">
                      <a:noFill/>
                      <a:miter lim="800000"/>
                      <a:headEnd/>
                      <a:tailEnd/>
                    </a:ln>
                  </pic:spPr>
                </pic:pic>
              </a:graphicData>
            </a:graphic>
          </wp:inline>
        </w:drawing>
      </w:r>
    </w:p>
    <w:p w:rsidR="0031464F" w:rsidRDefault="0031464F" w:rsidP="007A799F">
      <w:pPr>
        <w:spacing w:after="0"/>
        <w:rPr>
          <w:sz w:val="22"/>
          <w:szCs w:val="22"/>
        </w:rPr>
      </w:pPr>
    </w:p>
    <w:p w:rsidR="0031464F" w:rsidRDefault="0031464F" w:rsidP="00507FE0">
      <w:pPr>
        <w:spacing w:after="0"/>
        <w:jc w:val="left"/>
        <w:rPr>
          <w:sz w:val="22"/>
          <w:szCs w:val="22"/>
        </w:rPr>
      </w:pPr>
    </w:p>
    <w:p w:rsidR="003E2D35" w:rsidRDefault="003E2D35" w:rsidP="00507FE0">
      <w:pPr>
        <w:spacing w:after="0"/>
        <w:jc w:val="left"/>
        <w:rPr>
          <w:sz w:val="22"/>
          <w:szCs w:val="22"/>
        </w:rPr>
      </w:pPr>
      <w:r>
        <w:rPr>
          <w:sz w:val="22"/>
          <w:szCs w:val="22"/>
        </w:rPr>
        <w:t>Table 2: Proposed Tier-4 PIGKC assessment conventions.</w:t>
      </w:r>
    </w:p>
    <w:tbl>
      <w:tblPr>
        <w:tblW w:w="9072" w:type="dxa"/>
        <w:tblInd w:w="96" w:type="dxa"/>
        <w:tblLook w:val="04A0"/>
      </w:tblPr>
      <w:tblGrid>
        <w:gridCol w:w="3312"/>
        <w:gridCol w:w="2880"/>
        <w:gridCol w:w="2880"/>
      </w:tblGrid>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Assessment Feature</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center"/>
              <w:rPr>
                <w:rFonts w:ascii="Calibri" w:eastAsia="Times New Roman" w:hAnsi="Calibri"/>
                <w:color w:val="000000"/>
                <w:sz w:val="20"/>
                <w:szCs w:val="20"/>
              </w:rPr>
            </w:pPr>
            <w:r w:rsidRPr="00584BFD">
              <w:rPr>
                <w:rFonts w:ascii="Calibri" w:eastAsia="Times New Roman" w:hAnsi="Calibri"/>
                <w:color w:val="000000"/>
                <w:sz w:val="20"/>
                <w:szCs w:val="20"/>
              </w:rPr>
              <w:t>Convention</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center"/>
              <w:rPr>
                <w:rFonts w:ascii="Calibri" w:eastAsia="Times New Roman" w:hAnsi="Calibri"/>
                <w:color w:val="000000"/>
                <w:sz w:val="20"/>
                <w:szCs w:val="20"/>
              </w:rPr>
            </w:pPr>
            <w:r w:rsidRPr="00584BFD">
              <w:rPr>
                <w:rFonts w:ascii="Calibri" w:eastAsia="Times New Roman" w:hAnsi="Calibri"/>
                <w:color w:val="000000"/>
                <w:sz w:val="20"/>
                <w:szCs w:val="20"/>
              </w:rPr>
              <w:t>Source</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biomass and abundance estimates</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Default="007A799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stratified simple random</w:t>
            </w:r>
            <w:r w:rsidRPr="00584BFD">
              <w:rPr>
                <w:rFonts w:ascii="Calibri" w:eastAsia="Times New Roman" w:hAnsi="Calibri"/>
                <w:color w:val="000000"/>
                <w:sz w:val="20"/>
                <w:szCs w:val="20"/>
              </w:rPr>
              <w:t xml:space="preserve"> </w:t>
            </w:r>
            <w:r>
              <w:rPr>
                <w:rFonts w:ascii="Calibri" w:eastAsia="Times New Roman" w:hAnsi="Calibri"/>
                <w:color w:val="000000"/>
                <w:sz w:val="20"/>
                <w:szCs w:val="20"/>
              </w:rPr>
              <w:t>sample</w:t>
            </w:r>
          </w:p>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(Hoff and Britt 2011)</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 xml:space="preserve">EBS slope-survey data </w:t>
            </w:r>
          </w:p>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(NMFS-AFSC Kodiak Lab)</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mature male size</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CL &gt;= 107 mm</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 xml:space="preserve">Otto and </w:t>
            </w:r>
            <w:proofErr w:type="spellStart"/>
            <w:r w:rsidRPr="00584BFD">
              <w:rPr>
                <w:rFonts w:ascii="Calibri" w:eastAsia="Times New Roman" w:hAnsi="Calibri"/>
                <w:color w:val="000000"/>
                <w:sz w:val="20"/>
                <w:szCs w:val="20"/>
              </w:rPr>
              <w:t>Cummiskey</w:t>
            </w:r>
            <w:proofErr w:type="spellEnd"/>
            <w:r w:rsidRPr="00584BFD">
              <w:rPr>
                <w:rFonts w:ascii="Calibri" w:eastAsia="Times New Roman" w:hAnsi="Calibri"/>
                <w:color w:val="000000"/>
                <w:sz w:val="20"/>
                <w:szCs w:val="20"/>
              </w:rPr>
              <w:t xml:space="preserve"> (1985)</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legal male size</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CL &gt;= 124 mm</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NPFMC 2007</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male length-to-weight model</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F4067F" w:rsidRDefault="007A799F" w:rsidP="008636AF">
            <w:pPr>
              <w:spacing w:after="0"/>
              <w:rPr>
                <w:rFonts w:ascii="Calibri" w:eastAsia="Times New Roman" w:hAnsi="Calibri"/>
                <w:i/>
                <w:color w:val="000000"/>
                <w:sz w:val="20"/>
                <w:szCs w:val="20"/>
              </w:rPr>
            </w:pPr>
            <m:oMathPara>
              <m:oMathParaPr>
                <m:jc m:val="left"/>
              </m:oMathParaPr>
              <m:oMath>
                <m:r>
                  <w:rPr>
                    <w:rFonts w:ascii="Cambria Math" w:eastAsia="Times New Roman" w:hAnsi="Cambria Math"/>
                    <w:color w:val="000000"/>
                    <w:sz w:val="20"/>
                    <w:szCs w:val="20"/>
                  </w:rPr>
                  <m:t>w=0.0002988</m:t>
                </m:r>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l</m:t>
                    </m:r>
                  </m:e>
                  <m:sup>
                    <m:r>
                      <w:rPr>
                        <w:rFonts w:ascii="Cambria Math" w:eastAsia="Times New Roman" w:hAnsi="Cambria Math"/>
                        <w:color w:val="000000"/>
                        <w:sz w:val="20"/>
                        <w:szCs w:val="20"/>
                      </w:rPr>
                      <m:t>3.135</m:t>
                    </m:r>
                  </m:sup>
                </m:sSup>
              </m:oMath>
            </m:oMathPara>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w:t>
            </w:r>
            <w:r>
              <w:rPr>
                <w:rFonts w:ascii="Calibri" w:eastAsia="Times New Roman" w:hAnsi="Calibri"/>
                <w:color w:val="000000"/>
                <w:sz w:val="20"/>
                <w:szCs w:val="20"/>
              </w:rPr>
              <w:t>PFMC 2007</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female length-to-weight model</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F4067F" w:rsidRDefault="007A799F" w:rsidP="008636AF">
            <w:pPr>
              <w:spacing w:after="0"/>
              <w:rPr>
                <w:rFonts w:ascii="Calibri" w:eastAsia="Times New Roman" w:hAnsi="Calibri"/>
                <w:i/>
                <w:color w:val="000000"/>
                <w:sz w:val="20"/>
                <w:szCs w:val="20"/>
              </w:rPr>
            </w:pPr>
            <m:oMathPara>
              <m:oMathParaPr>
                <m:jc m:val="left"/>
              </m:oMathParaPr>
              <m:oMath>
                <m:r>
                  <w:rPr>
                    <w:rFonts w:ascii="Cambria Math" w:eastAsia="Times New Roman" w:hAnsi="Cambria Math"/>
                    <w:color w:val="000000"/>
                    <w:sz w:val="20"/>
                    <w:szCs w:val="20"/>
                  </w:rPr>
                  <m:t>w=0.001424</m:t>
                </m:r>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l</m:t>
                    </m:r>
                  </m:e>
                  <m:sup>
                    <m:r>
                      <w:rPr>
                        <w:rFonts w:ascii="Cambria Math" w:eastAsia="Times New Roman" w:hAnsi="Cambria Math"/>
                        <w:color w:val="000000"/>
                        <w:sz w:val="20"/>
                        <w:szCs w:val="20"/>
                      </w:rPr>
                      <m:t>2.781</m:t>
                    </m:r>
                  </m:sup>
                </m:sSup>
              </m:oMath>
            </m:oMathPara>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w:t>
            </w:r>
            <w:r>
              <w:rPr>
                <w:rFonts w:ascii="Calibri" w:eastAsia="Times New Roman" w:hAnsi="Calibri"/>
                <w:color w:val="000000"/>
                <w:sz w:val="20"/>
                <w:szCs w:val="20"/>
              </w:rPr>
              <w:t>PFMC 2007</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natural mortality</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F4067F" w:rsidRDefault="007A799F" w:rsidP="008636AF">
            <w:pPr>
              <w:spacing w:after="0"/>
              <w:jc w:val="left"/>
              <w:rPr>
                <w:rFonts w:ascii="Calibri" w:eastAsia="Times New Roman" w:hAnsi="Calibri"/>
                <w:color w:val="000000"/>
                <w:sz w:val="20"/>
                <w:szCs w:val="20"/>
                <w:vertAlign w:val="superscript"/>
              </w:rPr>
            </w:pPr>
            <w:r w:rsidRPr="00584BFD">
              <w:rPr>
                <w:rFonts w:ascii="Calibri" w:eastAsia="Times New Roman" w:hAnsi="Calibri"/>
                <w:color w:val="000000"/>
                <w:sz w:val="20"/>
                <w:szCs w:val="20"/>
              </w:rPr>
              <w:t>0.18 yr</w:t>
            </w:r>
            <w:r>
              <w:rPr>
                <w:rFonts w:ascii="Calibri" w:eastAsia="Times New Roman" w:hAnsi="Calibri"/>
                <w:color w:val="000000"/>
                <w:sz w:val="20"/>
                <w:szCs w:val="20"/>
                <w:vertAlign w:val="superscript"/>
              </w:rPr>
              <w:t>-1</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NPFMC 2007</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measure of stock biomass</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Dec-31 mature male biomass</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author recommendation</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OFL type</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mature male biomass</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author recommendation</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ABC type</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mature male biomass</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author recommendation</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ABC buffer</w:t>
            </w:r>
          </w:p>
        </w:tc>
        <w:tc>
          <w:tcPr>
            <w:tcW w:w="2880" w:type="dxa"/>
            <w:tcBorders>
              <w:top w:val="single" w:sz="4" w:space="0" w:color="auto"/>
              <w:left w:val="nil"/>
              <w:bottom w:val="single" w:sz="4" w:space="0" w:color="auto"/>
              <w:right w:val="nil"/>
            </w:tcBorders>
            <w:shd w:val="clear" w:color="auto" w:fill="auto"/>
            <w:noWrap/>
            <w:vAlign w:val="bottom"/>
            <w:hideMark/>
          </w:tcPr>
          <w:p w:rsidR="0031464F" w:rsidRDefault="0031464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 xml:space="preserve">10% </w:t>
            </w:r>
          </w:p>
          <w:p w:rsidR="007A799F" w:rsidRPr="00584BFD" w:rsidRDefault="0031464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w:t>
            </w:r>
            <w:r w:rsidR="007A799F" w:rsidRPr="00584BFD">
              <w:rPr>
                <w:rFonts w:ascii="Calibri" w:eastAsia="Times New Roman" w:hAnsi="Calibri"/>
                <w:color w:val="000000"/>
                <w:sz w:val="20"/>
                <w:szCs w:val="20"/>
              </w:rPr>
              <w:t>20%</w:t>
            </w:r>
            <w:r>
              <w:rPr>
                <w:rFonts w:ascii="Calibri" w:eastAsia="Times New Roman" w:hAnsi="Calibri"/>
                <w:color w:val="000000"/>
                <w:sz w:val="20"/>
                <w:szCs w:val="20"/>
              </w:rPr>
              <w:t>)</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author recommendation</w:t>
            </w:r>
          </w:p>
          <w:p w:rsidR="007A799F" w:rsidRPr="00584BFD" w:rsidRDefault="007A799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(odd-year assessments)</w:t>
            </w:r>
          </w:p>
        </w:tc>
      </w:tr>
      <w:tr w:rsidR="007A799F" w:rsidRPr="00584BFD" w:rsidTr="008636AF">
        <w:trPr>
          <w:trHeight w:val="300"/>
        </w:trPr>
        <w:tc>
          <w:tcPr>
            <w:tcW w:w="3312"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sidRPr="00584BFD">
              <w:rPr>
                <w:rFonts w:ascii="Calibri" w:eastAsia="Times New Roman" w:hAnsi="Calibri"/>
                <w:color w:val="000000"/>
                <w:sz w:val="20"/>
                <w:szCs w:val="20"/>
              </w:rPr>
              <w:t xml:space="preserve">survey </w:t>
            </w:r>
            <w:proofErr w:type="spellStart"/>
            <w:r w:rsidRPr="00584BFD">
              <w:rPr>
                <w:rFonts w:ascii="Calibri" w:eastAsia="Times New Roman" w:hAnsi="Calibri"/>
                <w:color w:val="000000"/>
                <w:sz w:val="20"/>
                <w:szCs w:val="20"/>
              </w:rPr>
              <w:t>catchability</w:t>
            </w:r>
            <w:proofErr w:type="spellEnd"/>
            <w:r w:rsidRPr="00584BFD">
              <w:rPr>
                <w:rFonts w:ascii="Calibri" w:eastAsia="Times New Roman" w:hAnsi="Calibri"/>
                <w:color w:val="000000"/>
                <w:sz w:val="20"/>
                <w:szCs w:val="20"/>
              </w:rPr>
              <w:t xml:space="preserve"> and selectivity</w:t>
            </w:r>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 xml:space="preserve">Q = 1; </w:t>
            </w:r>
            <m:oMath>
              <m:r>
                <w:rPr>
                  <w:rFonts w:ascii="Cambria Math" w:eastAsia="Times New Roman" w:hAnsi="Cambria Math"/>
                  <w:color w:val="000000"/>
                  <w:sz w:val="20"/>
                  <w:szCs w:val="20"/>
                </w:rPr>
                <m:t>S≡1</m:t>
              </m:r>
            </m:oMath>
          </w:p>
        </w:tc>
        <w:tc>
          <w:tcPr>
            <w:tcW w:w="2880" w:type="dxa"/>
            <w:tcBorders>
              <w:top w:val="single" w:sz="4" w:space="0" w:color="auto"/>
              <w:left w:val="nil"/>
              <w:bottom w:val="single" w:sz="4" w:space="0" w:color="auto"/>
              <w:right w:val="nil"/>
            </w:tcBorders>
            <w:shd w:val="clear" w:color="auto" w:fill="auto"/>
            <w:noWrap/>
            <w:vAlign w:val="bottom"/>
            <w:hideMark/>
          </w:tcPr>
          <w:p w:rsidR="007A799F" w:rsidRPr="00584BFD" w:rsidRDefault="007A799F" w:rsidP="008636AF">
            <w:pPr>
              <w:spacing w:after="0"/>
              <w:jc w:val="left"/>
              <w:rPr>
                <w:rFonts w:ascii="Calibri" w:eastAsia="Times New Roman" w:hAnsi="Calibri"/>
                <w:color w:val="000000"/>
                <w:sz w:val="20"/>
                <w:szCs w:val="20"/>
              </w:rPr>
            </w:pPr>
            <w:r>
              <w:rPr>
                <w:rFonts w:ascii="Calibri" w:eastAsia="Times New Roman" w:hAnsi="Calibri"/>
                <w:color w:val="000000"/>
                <w:sz w:val="20"/>
                <w:szCs w:val="20"/>
              </w:rPr>
              <w:t>default</w:t>
            </w:r>
          </w:p>
        </w:tc>
      </w:tr>
    </w:tbl>
    <w:p w:rsidR="007A799F" w:rsidRDefault="007A799F" w:rsidP="007A799F">
      <w:pPr>
        <w:spacing w:after="0"/>
        <w:rPr>
          <w:sz w:val="22"/>
          <w:szCs w:val="22"/>
        </w:rPr>
      </w:pPr>
    </w:p>
    <w:p w:rsidR="007A799F" w:rsidRDefault="007A799F" w:rsidP="007A799F">
      <w:pPr>
        <w:spacing w:after="0"/>
        <w:rPr>
          <w:sz w:val="22"/>
          <w:szCs w:val="22"/>
        </w:rPr>
      </w:pPr>
      <w:r>
        <w:rPr>
          <w:sz w:val="22"/>
          <w:szCs w:val="22"/>
        </w:rPr>
        <w:br w:type="page"/>
      </w:r>
    </w:p>
    <w:p w:rsidR="0031464F" w:rsidRDefault="007A799F" w:rsidP="00507FE0">
      <w:pPr>
        <w:spacing w:after="0"/>
        <w:jc w:val="left"/>
        <w:rPr>
          <w:sz w:val="22"/>
          <w:szCs w:val="22"/>
        </w:rPr>
      </w:pPr>
      <w:r>
        <w:rPr>
          <w:sz w:val="22"/>
          <w:szCs w:val="22"/>
        </w:rPr>
        <w:lastRenderedPageBreak/>
        <w:t xml:space="preserve">Table 3: EBS slope-survey estimates of golden king crab </w:t>
      </w:r>
    </w:p>
    <w:p w:rsidR="007A799F" w:rsidRPr="006727A7" w:rsidRDefault="007A799F" w:rsidP="00507FE0">
      <w:pPr>
        <w:spacing w:after="0"/>
        <w:jc w:val="left"/>
        <w:rPr>
          <w:sz w:val="22"/>
          <w:szCs w:val="22"/>
        </w:rPr>
      </w:pPr>
      <w:r>
        <w:rPr>
          <w:sz w:val="22"/>
          <w:szCs w:val="22"/>
        </w:rPr>
        <w:t>abundance and biomass for the full survey region.</w:t>
      </w:r>
    </w:p>
    <w:tbl>
      <w:tblPr>
        <w:tblW w:w="0" w:type="auto"/>
        <w:tblInd w:w="96" w:type="dxa"/>
        <w:tblLook w:val="04A0"/>
      </w:tblPr>
      <w:tblGrid>
        <w:gridCol w:w="622"/>
        <w:gridCol w:w="672"/>
        <w:gridCol w:w="571"/>
        <w:gridCol w:w="672"/>
        <w:gridCol w:w="571"/>
        <w:gridCol w:w="681"/>
        <w:gridCol w:w="579"/>
        <w:gridCol w:w="672"/>
        <w:gridCol w:w="571"/>
      </w:tblGrid>
      <w:tr w:rsidR="007A799F" w:rsidRPr="00E751B2" w:rsidTr="008636AF">
        <w:trPr>
          <w:trHeight w:val="300"/>
        </w:trPr>
        <w:tc>
          <w:tcPr>
            <w:tcW w:w="0" w:type="auto"/>
            <w:tcBorders>
              <w:top w:val="single" w:sz="4" w:space="0" w:color="auto"/>
              <w:left w:val="nil"/>
              <w:bottom w:val="nil"/>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b/>
                <w:bCs/>
                <w:color w:val="000000"/>
                <w:sz w:val="20"/>
                <w:szCs w:val="20"/>
              </w:rPr>
            </w:pPr>
            <w:r w:rsidRPr="00E751B2">
              <w:rPr>
                <w:rFonts w:asciiTheme="minorHAnsi" w:eastAsia="Times New Roman" w:hAnsiTheme="minorHAnsi"/>
                <w:b/>
                <w:bCs/>
                <w:color w:val="000000"/>
                <w:sz w:val="20"/>
                <w:szCs w:val="20"/>
              </w:rPr>
              <w:t> </w:t>
            </w:r>
          </w:p>
        </w:tc>
        <w:tc>
          <w:tcPr>
            <w:tcW w:w="0" w:type="auto"/>
            <w:gridSpan w:val="8"/>
            <w:tcBorders>
              <w:top w:val="single" w:sz="4" w:space="0" w:color="auto"/>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Abundance (1000s) and CV</w:t>
            </w:r>
          </w:p>
        </w:tc>
      </w:tr>
      <w:tr w:rsidR="007A799F" w:rsidRPr="00E751B2" w:rsidTr="008636AF">
        <w:trPr>
          <w:trHeight w:val="2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year</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female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male</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mature 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legal male</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1,282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1,061</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0.21</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540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378</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0.28</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1,743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0.26</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1,083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508</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0.16</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348</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0.17</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2008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748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0.25</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1,187</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0.26</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593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0.30</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257</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0.22</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b/>
                <w:bCs/>
                <w:color w:val="000000"/>
                <w:sz w:val="20"/>
                <w:szCs w:val="20"/>
              </w:rPr>
            </w:pPr>
            <w:r w:rsidRPr="00E751B2">
              <w:rPr>
                <w:rFonts w:asciiTheme="minorHAnsi" w:eastAsia="Times New Roman" w:hAnsiTheme="minorHAnsi"/>
                <w:b/>
                <w:bCs/>
                <w:color w:val="000000"/>
                <w:sz w:val="20"/>
                <w:szCs w:val="20"/>
              </w:rPr>
              <w:t> </w:t>
            </w:r>
          </w:p>
        </w:tc>
        <w:tc>
          <w:tcPr>
            <w:tcW w:w="0" w:type="auto"/>
            <w:gridSpan w:val="8"/>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Biomass (1000 lb) and CV</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 </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female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mature 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legal male</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2,120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0.43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2,124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1,791</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0.26</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1,478</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0.28</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2,812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2,042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0.15</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1,692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0.17</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1,384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0.18</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2008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943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0.25</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2,173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0.26</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1,624</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0.25</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997</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0.22</w:t>
            </w:r>
          </w:p>
        </w:tc>
      </w:tr>
    </w:tbl>
    <w:p w:rsidR="007A799F" w:rsidRDefault="007A799F" w:rsidP="007A799F">
      <w:pPr>
        <w:spacing w:after="0"/>
        <w:jc w:val="left"/>
        <w:rPr>
          <w:sz w:val="22"/>
          <w:szCs w:val="22"/>
        </w:rPr>
      </w:pPr>
    </w:p>
    <w:p w:rsidR="007A799F" w:rsidRDefault="007A799F" w:rsidP="007A799F">
      <w:pPr>
        <w:spacing w:after="0"/>
        <w:jc w:val="left"/>
        <w:rPr>
          <w:sz w:val="22"/>
          <w:szCs w:val="22"/>
        </w:rPr>
      </w:pPr>
    </w:p>
    <w:p w:rsidR="0031464F" w:rsidRDefault="007A799F" w:rsidP="007A799F">
      <w:pPr>
        <w:spacing w:after="0"/>
        <w:jc w:val="left"/>
        <w:rPr>
          <w:sz w:val="22"/>
          <w:szCs w:val="22"/>
        </w:rPr>
      </w:pPr>
      <w:r>
        <w:rPr>
          <w:sz w:val="22"/>
          <w:szCs w:val="22"/>
        </w:rPr>
        <w:t>Table 4</w:t>
      </w:r>
      <w:r w:rsidRPr="006727A7">
        <w:rPr>
          <w:sz w:val="22"/>
          <w:szCs w:val="22"/>
        </w:rPr>
        <w:t xml:space="preserve">: </w:t>
      </w:r>
      <w:r>
        <w:rPr>
          <w:sz w:val="22"/>
          <w:szCs w:val="22"/>
        </w:rPr>
        <w:t xml:space="preserve">EBS slope-survey estimates of golden king crab </w:t>
      </w:r>
    </w:p>
    <w:p w:rsidR="007A799F" w:rsidRDefault="007A799F" w:rsidP="007A799F">
      <w:pPr>
        <w:spacing w:after="0"/>
        <w:jc w:val="left"/>
        <w:rPr>
          <w:sz w:val="22"/>
          <w:szCs w:val="22"/>
        </w:rPr>
      </w:pPr>
      <w:r>
        <w:rPr>
          <w:sz w:val="22"/>
          <w:szCs w:val="22"/>
        </w:rPr>
        <w:t>abundance and biomass for the Pribilof Canyon subarea.</w:t>
      </w:r>
    </w:p>
    <w:tbl>
      <w:tblPr>
        <w:tblW w:w="0" w:type="auto"/>
        <w:tblInd w:w="96" w:type="dxa"/>
        <w:tblLook w:val="04A0"/>
      </w:tblPr>
      <w:tblGrid>
        <w:gridCol w:w="622"/>
        <w:gridCol w:w="672"/>
        <w:gridCol w:w="571"/>
        <w:gridCol w:w="672"/>
        <w:gridCol w:w="571"/>
        <w:gridCol w:w="681"/>
        <w:gridCol w:w="579"/>
        <w:gridCol w:w="521"/>
        <w:gridCol w:w="571"/>
      </w:tblGrid>
      <w:tr w:rsidR="007A799F" w:rsidRPr="00E751B2" w:rsidTr="008636AF">
        <w:trPr>
          <w:trHeight w:val="300"/>
        </w:trPr>
        <w:tc>
          <w:tcPr>
            <w:tcW w:w="0" w:type="auto"/>
            <w:tcBorders>
              <w:top w:val="single" w:sz="4" w:space="0" w:color="auto"/>
              <w:left w:val="nil"/>
              <w:bottom w:val="nil"/>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b/>
                <w:bCs/>
                <w:color w:val="000000"/>
                <w:sz w:val="20"/>
                <w:szCs w:val="20"/>
              </w:rPr>
            </w:pPr>
            <w:r w:rsidRPr="00E751B2">
              <w:rPr>
                <w:rFonts w:asciiTheme="minorHAnsi" w:eastAsia="Times New Roman" w:hAnsiTheme="minorHAnsi"/>
                <w:b/>
                <w:bCs/>
                <w:color w:val="000000"/>
                <w:sz w:val="20"/>
                <w:szCs w:val="20"/>
              </w:rPr>
              <w:t> </w:t>
            </w:r>
          </w:p>
        </w:tc>
        <w:tc>
          <w:tcPr>
            <w:tcW w:w="0" w:type="auto"/>
            <w:gridSpan w:val="8"/>
            <w:tcBorders>
              <w:top w:val="single" w:sz="4" w:space="0" w:color="auto"/>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Abundance (1000s) and CV</w:t>
            </w:r>
          </w:p>
        </w:tc>
      </w:tr>
      <w:tr w:rsidR="007A799F" w:rsidRPr="00E751B2" w:rsidTr="008636AF">
        <w:trPr>
          <w:trHeight w:val="2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year</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female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male</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mature 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legal male</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592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0.53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360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0.42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174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113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0.36</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1,295</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633</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288</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185</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0.25</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2008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395</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0.43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908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0.34</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403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0.43</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167</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0.29</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b/>
                <w:bCs/>
                <w:color w:val="000000"/>
                <w:sz w:val="20"/>
                <w:szCs w:val="20"/>
              </w:rPr>
            </w:pPr>
            <w:r w:rsidRPr="00E751B2">
              <w:rPr>
                <w:rFonts w:asciiTheme="minorHAnsi" w:eastAsia="Times New Roman" w:hAnsiTheme="minorHAnsi"/>
                <w:b/>
                <w:bCs/>
                <w:color w:val="000000"/>
                <w:sz w:val="20"/>
                <w:szCs w:val="20"/>
              </w:rPr>
              <w:t> </w:t>
            </w:r>
          </w:p>
        </w:tc>
        <w:tc>
          <w:tcPr>
            <w:tcW w:w="0" w:type="auto"/>
            <w:gridSpan w:val="8"/>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Biomass (1000 lb) and CV</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lef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 </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female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mature male</w:t>
            </w:r>
          </w:p>
        </w:tc>
        <w:tc>
          <w:tcPr>
            <w:tcW w:w="0" w:type="auto"/>
            <w:gridSpan w:val="2"/>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legal male</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866</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0.54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701</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565</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456</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0.34</w:t>
            </w:r>
          </w:p>
        </w:tc>
      </w:tr>
      <w:tr w:rsidR="007A799F" w:rsidRPr="00E751B2" w:rsidTr="008636AF">
        <w:trPr>
          <w:trHeight w:val="300"/>
        </w:trPr>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2010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2,219</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0.41</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1,200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0.22</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970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0.24</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770</w:t>
            </w:r>
          </w:p>
        </w:tc>
        <w:tc>
          <w:tcPr>
            <w:tcW w:w="0" w:type="auto"/>
            <w:tcBorders>
              <w:top w:val="nil"/>
              <w:left w:val="nil"/>
              <w:bottom w:val="nil"/>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0.25</w:t>
            </w:r>
          </w:p>
        </w:tc>
      </w:tr>
      <w:tr w:rsidR="007A799F" w:rsidRPr="00E751B2"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right"/>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2008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340</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0.54</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1,546</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0.36</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1,080</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0.36</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648</w:t>
            </w:r>
          </w:p>
        </w:tc>
        <w:tc>
          <w:tcPr>
            <w:tcW w:w="0" w:type="auto"/>
            <w:tcBorders>
              <w:top w:val="nil"/>
              <w:left w:val="nil"/>
              <w:bottom w:val="single" w:sz="4" w:space="0" w:color="auto"/>
              <w:right w:val="nil"/>
            </w:tcBorders>
            <w:shd w:val="clear" w:color="auto" w:fill="auto"/>
            <w:noWrap/>
            <w:vAlign w:val="bottom"/>
            <w:hideMark/>
          </w:tcPr>
          <w:p w:rsidR="007A799F" w:rsidRPr="00E751B2" w:rsidRDefault="007A799F" w:rsidP="008636AF">
            <w:pPr>
              <w:spacing w:after="0"/>
              <w:jc w:val="center"/>
              <w:rPr>
                <w:rFonts w:asciiTheme="minorHAnsi" w:eastAsia="Times New Roman" w:hAnsiTheme="minorHAnsi"/>
                <w:color w:val="000000"/>
                <w:sz w:val="20"/>
                <w:szCs w:val="20"/>
              </w:rPr>
            </w:pPr>
            <w:r w:rsidRPr="00E751B2">
              <w:rPr>
                <w:rFonts w:asciiTheme="minorHAnsi" w:eastAsia="Times New Roman" w:hAnsiTheme="minorHAnsi"/>
                <w:color w:val="000000"/>
                <w:sz w:val="20"/>
                <w:szCs w:val="20"/>
              </w:rPr>
              <w:t>0.29</w:t>
            </w:r>
          </w:p>
        </w:tc>
      </w:tr>
    </w:tbl>
    <w:p w:rsidR="007A799F" w:rsidRDefault="007A799F" w:rsidP="007A799F">
      <w:pPr>
        <w:spacing w:after="0"/>
        <w:rPr>
          <w:sz w:val="22"/>
          <w:szCs w:val="22"/>
        </w:rPr>
      </w:pPr>
    </w:p>
    <w:p w:rsidR="007A799F" w:rsidRDefault="007A799F" w:rsidP="00507FE0">
      <w:pPr>
        <w:spacing w:after="0"/>
        <w:jc w:val="left"/>
        <w:rPr>
          <w:sz w:val="22"/>
          <w:szCs w:val="22"/>
        </w:rPr>
      </w:pPr>
    </w:p>
    <w:p w:rsidR="007A799F" w:rsidRDefault="007A799F" w:rsidP="00507FE0">
      <w:pPr>
        <w:spacing w:after="0"/>
        <w:jc w:val="left"/>
        <w:rPr>
          <w:sz w:val="22"/>
          <w:szCs w:val="22"/>
        </w:rPr>
      </w:pPr>
      <w:r>
        <w:rPr>
          <w:sz w:val="22"/>
          <w:szCs w:val="22"/>
        </w:rPr>
        <w:t xml:space="preserve">Table 5: Hoff and Britt (2011, 2009, 2005, 2003) reported EBS slope-survey estimates </w:t>
      </w:r>
    </w:p>
    <w:p w:rsidR="007A799F" w:rsidRDefault="007A799F" w:rsidP="00507FE0">
      <w:pPr>
        <w:spacing w:after="0"/>
        <w:jc w:val="left"/>
        <w:rPr>
          <w:sz w:val="22"/>
          <w:szCs w:val="22"/>
        </w:rPr>
      </w:pPr>
      <w:r>
        <w:rPr>
          <w:sz w:val="22"/>
          <w:szCs w:val="22"/>
        </w:rPr>
        <w:t xml:space="preserve">of total (all sizes and both sexes combined) golden king crab abundance and biomass. </w:t>
      </w:r>
    </w:p>
    <w:tbl>
      <w:tblPr>
        <w:tblW w:w="0" w:type="auto"/>
        <w:tblInd w:w="96" w:type="dxa"/>
        <w:tblLook w:val="04A0"/>
      </w:tblPr>
      <w:tblGrid>
        <w:gridCol w:w="622"/>
        <w:gridCol w:w="1788"/>
        <w:gridCol w:w="1657"/>
        <w:gridCol w:w="222"/>
        <w:gridCol w:w="1788"/>
        <w:gridCol w:w="1657"/>
      </w:tblGrid>
      <w:tr w:rsidR="007A799F" w:rsidRPr="006340F7" w:rsidTr="008636AF">
        <w:trPr>
          <w:trHeight w:val="300"/>
        </w:trPr>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Pr>
                <w:rFonts w:ascii="Calibri" w:eastAsia="Times New Roman" w:hAnsi="Calibri"/>
                <w:color w:val="000000"/>
                <w:sz w:val="20"/>
                <w:szCs w:val="20"/>
              </w:rPr>
              <w:t>F</w:t>
            </w:r>
            <w:r w:rsidRPr="006340F7">
              <w:rPr>
                <w:rFonts w:ascii="Calibri" w:eastAsia="Times New Roman" w:hAnsi="Calibri"/>
                <w:color w:val="000000"/>
                <w:sz w:val="20"/>
                <w:szCs w:val="20"/>
              </w:rPr>
              <w:t>ull survey region</w:t>
            </w:r>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Pribilof Canyon subarea</w:t>
            </w:r>
          </w:p>
        </w:tc>
      </w:tr>
      <w:tr w:rsidR="007A799F" w:rsidRPr="006340F7"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r w:rsidRPr="006340F7">
              <w:rPr>
                <w:rFonts w:ascii="Calibri" w:eastAsia="Times New Roman" w:hAnsi="Calibri"/>
                <w:color w:val="000000"/>
                <w:sz w:val="20"/>
                <w:szCs w:val="20"/>
              </w:rPr>
              <w:t>year</w:t>
            </w:r>
          </w:p>
        </w:tc>
        <w:tc>
          <w:tcPr>
            <w:tcW w:w="0" w:type="auto"/>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r w:rsidRPr="006340F7">
              <w:rPr>
                <w:rFonts w:ascii="Calibri" w:eastAsia="Times New Roman" w:hAnsi="Calibri"/>
                <w:color w:val="000000"/>
                <w:sz w:val="20"/>
                <w:szCs w:val="20"/>
              </w:rPr>
              <w:t>Abundance (1000s)</w:t>
            </w:r>
          </w:p>
        </w:tc>
        <w:tc>
          <w:tcPr>
            <w:tcW w:w="0" w:type="auto"/>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r w:rsidRPr="006340F7">
              <w:rPr>
                <w:rFonts w:ascii="Calibri" w:eastAsia="Times New Roman" w:hAnsi="Calibri"/>
                <w:color w:val="000000"/>
                <w:sz w:val="20"/>
                <w:szCs w:val="20"/>
              </w:rPr>
              <w:t>Biomass (1000 lb)</w:t>
            </w: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r w:rsidRPr="006340F7">
              <w:rPr>
                <w:rFonts w:ascii="Calibri" w:eastAsia="Times New Roman" w:hAnsi="Calibri"/>
                <w:color w:val="000000"/>
                <w:sz w:val="20"/>
                <w:szCs w:val="20"/>
              </w:rPr>
              <w:t>Abundance</w:t>
            </w:r>
            <w:r>
              <w:rPr>
                <w:rFonts w:ascii="Calibri" w:eastAsia="Times New Roman" w:hAnsi="Calibri"/>
                <w:color w:val="000000"/>
                <w:sz w:val="20"/>
                <w:szCs w:val="20"/>
              </w:rPr>
              <w:t xml:space="preserve"> </w:t>
            </w:r>
            <w:r w:rsidRPr="006340F7">
              <w:rPr>
                <w:rFonts w:ascii="Calibri" w:eastAsia="Times New Roman" w:hAnsi="Calibri"/>
                <w:color w:val="000000"/>
                <w:sz w:val="20"/>
                <w:szCs w:val="20"/>
              </w:rPr>
              <w:t>(1000s)</w:t>
            </w:r>
          </w:p>
        </w:tc>
        <w:tc>
          <w:tcPr>
            <w:tcW w:w="0" w:type="auto"/>
            <w:tcBorders>
              <w:top w:val="single" w:sz="4" w:space="0" w:color="auto"/>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r w:rsidRPr="006340F7">
              <w:rPr>
                <w:rFonts w:ascii="Calibri" w:eastAsia="Times New Roman" w:hAnsi="Calibri"/>
                <w:color w:val="000000"/>
                <w:sz w:val="20"/>
                <w:szCs w:val="20"/>
              </w:rPr>
              <w:t>Biomass (1000 lb)</w:t>
            </w:r>
          </w:p>
        </w:tc>
      </w:tr>
      <w:tr w:rsidR="007A799F" w:rsidRPr="006340F7" w:rsidTr="008636AF">
        <w:trPr>
          <w:trHeight w:val="300"/>
        </w:trPr>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right"/>
              <w:rPr>
                <w:rFonts w:ascii="Calibri" w:eastAsia="Times New Roman" w:hAnsi="Calibri"/>
                <w:color w:val="000000"/>
                <w:sz w:val="20"/>
                <w:szCs w:val="20"/>
              </w:rPr>
            </w:pPr>
            <w:r w:rsidRPr="006340F7">
              <w:rPr>
                <w:rFonts w:ascii="Calibri" w:eastAsia="Times New Roman" w:hAnsi="Calibri"/>
                <w:color w:val="000000"/>
                <w:sz w:val="20"/>
                <w:szCs w:val="20"/>
              </w:rPr>
              <w:t>2012</w:t>
            </w:r>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vertAlign w:val="superscript"/>
              </w:rPr>
            </w:pPr>
            <w:proofErr w:type="spellStart"/>
            <w:r w:rsidRPr="006340F7">
              <w:rPr>
                <w:rFonts w:ascii="Calibri" w:eastAsia="Times New Roman" w:hAnsi="Calibri"/>
                <w:color w:val="000000"/>
                <w:sz w:val="20"/>
                <w:szCs w:val="20"/>
              </w:rPr>
              <w:t>NA</w:t>
            </w:r>
            <w:r>
              <w:rPr>
                <w:rFonts w:ascii="Calibri" w:eastAsia="Times New Roman" w:hAnsi="Calibri"/>
                <w:color w:val="000000"/>
                <w:sz w:val="20"/>
                <w:szCs w:val="20"/>
                <w:vertAlign w:val="superscript"/>
              </w:rPr>
              <w:t>a</w:t>
            </w:r>
            <w:proofErr w:type="spellEnd"/>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vertAlign w:val="superscript"/>
              </w:rPr>
            </w:pPr>
            <w:proofErr w:type="spellStart"/>
            <w:r w:rsidRPr="006340F7">
              <w:rPr>
                <w:rFonts w:ascii="Calibri" w:eastAsia="Times New Roman" w:hAnsi="Calibri"/>
                <w:color w:val="000000"/>
                <w:sz w:val="20"/>
                <w:szCs w:val="20"/>
              </w:rPr>
              <w:t>NA</w:t>
            </w:r>
            <w:r>
              <w:rPr>
                <w:rFonts w:ascii="Calibri" w:eastAsia="Times New Roman" w:hAnsi="Calibri"/>
                <w:color w:val="000000"/>
                <w:sz w:val="20"/>
                <w:szCs w:val="20"/>
                <w:vertAlign w:val="superscript"/>
              </w:rPr>
              <w:t>a</w:t>
            </w:r>
            <w:proofErr w:type="spellEnd"/>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vertAlign w:val="superscript"/>
              </w:rPr>
            </w:pPr>
            <w:proofErr w:type="spellStart"/>
            <w:r w:rsidRPr="006340F7">
              <w:rPr>
                <w:rFonts w:ascii="Calibri" w:eastAsia="Times New Roman" w:hAnsi="Calibri"/>
                <w:color w:val="000000"/>
                <w:sz w:val="20"/>
                <w:szCs w:val="20"/>
              </w:rPr>
              <w:t>NA</w:t>
            </w:r>
            <w:r>
              <w:rPr>
                <w:rFonts w:ascii="Calibri" w:eastAsia="Times New Roman" w:hAnsi="Calibri"/>
                <w:color w:val="000000"/>
                <w:sz w:val="20"/>
                <w:szCs w:val="20"/>
                <w:vertAlign w:val="superscript"/>
              </w:rPr>
              <w:t>a</w:t>
            </w:r>
            <w:proofErr w:type="spellEnd"/>
          </w:p>
        </w:tc>
        <w:tc>
          <w:tcPr>
            <w:tcW w:w="0" w:type="auto"/>
            <w:tcBorders>
              <w:top w:val="single" w:sz="4" w:space="0" w:color="auto"/>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vertAlign w:val="superscript"/>
              </w:rPr>
            </w:pPr>
            <w:proofErr w:type="spellStart"/>
            <w:r w:rsidRPr="006340F7">
              <w:rPr>
                <w:rFonts w:ascii="Calibri" w:eastAsia="Times New Roman" w:hAnsi="Calibri"/>
                <w:color w:val="000000"/>
                <w:sz w:val="20"/>
                <w:szCs w:val="20"/>
              </w:rPr>
              <w:t>NA</w:t>
            </w:r>
            <w:r>
              <w:rPr>
                <w:rFonts w:ascii="Calibri" w:eastAsia="Times New Roman" w:hAnsi="Calibri"/>
                <w:color w:val="000000"/>
                <w:sz w:val="20"/>
                <w:szCs w:val="20"/>
                <w:vertAlign w:val="superscript"/>
              </w:rPr>
              <w:t>a</w:t>
            </w:r>
            <w:proofErr w:type="spellEnd"/>
          </w:p>
        </w:tc>
      </w:tr>
      <w:tr w:rsidR="007A799F" w:rsidRPr="006340F7" w:rsidTr="008636AF">
        <w:trPr>
          <w:trHeight w:val="300"/>
        </w:trPr>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right"/>
              <w:rPr>
                <w:rFonts w:ascii="Calibri" w:eastAsia="Times New Roman" w:hAnsi="Calibri"/>
                <w:color w:val="000000"/>
                <w:sz w:val="20"/>
                <w:szCs w:val="20"/>
              </w:rPr>
            </w:pPr>
            <w:r w:rsidRPr="006340F7">
              <w:rPr>
                <w:rFonts w:ascii="Calibri" w:eastAsia="Times New Roman" w:hAnsi="Calibri"/>
                <w:color w:val="000000"/>
                <w:sz w:val="20"/>
                <w:szCs w:val="20"/>
              </w:rPr>
              <w:t>2010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2,830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5,070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1,930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3,560</w:t>
            </w:r>
          </w:p>
        </w:tc>
      </w:tr>
      <w:tr w:rsidR="007A799F" w:rsidRPr="006340F7" w:rsidTr="008636AF">
        <w:trPr>
          <w:trHeight w:val="300"/>
        </w:trPr>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right"/>
              <w:rPr>
                <w:rFonts w:ascii="Calibri" w:eastAsia="Times New Roman" w:hAnsi="Calibri"/>
                <w:color w:val="000000"/>
                <w:sz w:val="20"/>
                <w:szCs w:val="20"/>
              </w:rPr>
            </w:pPr>
            <w:r w:rsidRPr="006340F7">
              <w:rPr>
                <w:rFonts w:ascii="Calibri" w:eastAsia="Times New Roman" w:hAnsi="Calibri"/>
                <w:color w:val="000000"/>
                <w:sz w:val="20"/>
                <w:szCs w:val="20"/>
              </w:rPr>
              <w:t>2008</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1,860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3,150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1,300</w:t>
            </w:r>
          </w:p>
        </w:tc>
        <w:tc>
          <w:tcPr>
            <w:tcW w:w="0" w:type="auto"/>
            <w:tcBorders>
              <w:top w:val="nil"/>
              <w:left w:val="nil"/>
              <w:bottom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2,030</w:t>
            </w:r>
          </w:p>
        </w:tc>
      </w:tr>
      <w:tr w:rsidR="007A799F" w:rsidRPr="006340F7" w:rsidTr="008636AF">
        <w:trPr>
          <w:trHeight w:val="300"/>
        </w:trPr>
        <w:tc>
          <w:tcPr>
            <w:tcW w:w="0" w:type="auto"/>
            <w:tcBorders>
              <w:top w:val="nil"/>
              <w:left w:val="nil"/>
              <w:right w:val="nil"/>
            </w:tcBorders>
            <w:shd w:val="clear" w:color="auto" w:fill="auto"/>
            <w:noWrap/>
            <w:vAlign w:val="bottom"/>
            <w:hideMark/>
          </w:tcPr>
          <w:p w:rsidR="007A799F" w:rsidRPr="006340F7" w:rsidRDefault="007A799F" w:rsidP="008636AF">
            <w:pPr>
              <w:spacing w:after="0"/>
              <w:jc w:val="right"/>
              <w:rPr>
                <w:rFonts w:ascii="Calibri" w:eastAsia="Times New Roman" w:hAnsi="Calibri"/>
                <w:color w:val="000000"/>
                <w:sz w:val="20"/>
                <w:szCs w:val="20"/>
              </w:rPr>
            </w:pPr>
            <w:r w:rsidRPr="006340F7">
              <w:rPr>
                <w:rFonts w:ascii="Calibri" w:eastAsia="Times New Roman" w:hAnsi="Calibri"/>
                <w:color w:val="000000"/>
                <w:sz w:val="20"/>
                <w:szCs w:val="20"/>
              </w:rPr>
              <w:t>2004</w:t>
            </w:r>
          </w:p>
        </w:tc>
        <w:tc>
          <w:tcPr>
            <w:tcW w:w="0" w:type="auto"/>
            <w:tcBorders>
              <w:top w:val="nil"/>
              <w:left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1,240</w:t>
            </w:r>
          </w:p>
        </w:tc>
        <w:tc>
          <w:tcPr>
            <w:tcW w:w="0" w:type="auto"/>
            <w:tcBorders>
              <w:top w:val="nil"/>
              <w:left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2,430</w:t>
            </w:r>
          </w:p>
        </w:tc>
        <w:tc>
          <w:tcPr>
            <w:tcW w:w="0" w:type="auto"/>
            <w:tcBorders>
              <w:top w:val="nil"/>
              <w:left w:val="nil"/>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nil"/>
              <w:left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862</w:t>
            </w:r>
          </w:p>
        </w:tc>
        <w:tc>
          <w:tcPr>
            <w:tcW w:w="0" w:type="auto"/>
            <w:tcBorders>
              <w:top w:val="nil"/>
              <w:left w:val="nil"/>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1,800</w:t>
            </w:r>
          </w:p>
        </w:tc>
      </w:tr>
      <w:tr w:rsidR="007A799F" w:rsidRPr="006340F7" w:rsidTr="008636AF">
        <w:trPr>
          <w:trHeight w:val="300"/>
        </w:trPr>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right"/>
              <w:rPr>
                <w:rFonts w:ascii="Calibri" w:eastAsia="Times New Roman" w:hAnsi="Calibri"/>
                <w:color w:val="000000"/>
                <w:sz w:val="20"/>
                <w:szCs w:val="20"/>
              </w:rPr>
            </w:pPr>
            <w:r w:rsidRPr="006340F7">
              <w:rPr>
                <w:rFonts w:ascii="Calibri" w:eastAsia="Times New Roman" w:hAnsi="Calibri"/>
                <w:color w:val="000000"/>
                <w:sz w:val="20"/>
                <w:szCs w:val="20"/>
              </w:rPr>
              <w:t>2002</w:t>
            </w: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1,800</w:t>
            </w: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2,230</w:t>
            </w: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left"/>
              <w:rPr>
                <w:rFonts w:ascii="Calibri" w:eastAsia="Times New Roman" w:hAnsi="Calibri"/>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1,300</w:t>
            </w:r>
          </w:p>
        </w:tc>
        <w:tc>
          <w:tcPr>
            <w:tcW w:w="0" w:type="auto"/>
            <w:tcBorders>
              <w:top w:val="nil"/>
              <w:left w:val="nil"/>
              <w:bottom w:val="single" w:sz="4" w:space="0" w:color="auto"/>
              <w:right w:val="nil"/>
            </w:tcBorders>
            <w:shd w:val="clear" w:color="auto" w:fill="auto"/>
            <w:noWrap/>
            <w:vAlign w:val="bottom"/>
            <w:hideMark/>
          </w:tcPr>
          <w:p w:rsidR="007A799F" w:rsidRPr="006340F7" w:rsidRDefault="007A799F" w:rsidP="008636AF">
            <w:pPr>
              <w:spacing w:after="0"/>
              <w:jc w:val="center"/>
              <w:rPr>
                <w:rFonts w:ascii="Calibri" w:eastAsia="Times New Roman" w:hAnsi="Calibri"/>
                <w:color w:val="000000"/>
                <w:sz w:val="20"/>
                <w:szCs w:val="20"/>
              </w:rPr>
            </w:pPr>
            <w:r w:rsidRPr="006340F7">
              <w:rPr>
                <w:rFonts w:ascii="Calibri" w:eastAsia="Times New Roman" w:hAnsi="Calibri"/>
                <w:color w:val="000000"/>
                <w:sz w:val="20"/>
                <w:szCs w:val="20"/>
              </w:rPr>
              <w:t>1,500</w:t>
            </w:r>
          </w:p>
        </w:tc>
      </w:tr>
    </w:tbl>
    <w:p w:rsidR="007A799F" w:rsidRDefault="007A799F" w:rsidP="007A799F">
      <w:pPr>
        <w:spacing w:after="0"/>
        <w:jc w:val="left"/>
        <w:rPr>
          <w:sz w:val="22"/>
          <w:szCs w:val="22"/>
        </w:rPr>
      </w:pPr>
      <w:r>
        <w:rPr>
          <w:sz w:val="18"/>
          <w:szCs w:val="18"/>
          <w:vertAlign w:val="superscript"/>
        </w:rPr>
        <w:t>a</w:t>
      </w:r>
      <w:r>
        <w:rPr>
          <w:sz w:val="18"/>
          <w:szCs w:val="18"/>
        </w:rPr>
        <w:t xml:space="preserve"> Not yet available.</w:t>
      </w:r>
    </w:p>
    <w:p w:rsidR="007A799F" w:rsidRPr="00CE3300" w:rsidRDefault="007A799F" w:rsidP="007A799F">
      <w:pPr>
        <w:spacing w:after="0"/>
        <w:jc w:val="left"/>
        <w:rPr>
          <w:sz w:val="22"/>
          <w:szCs w:val="22"/>
        </w:rPr>
      </w:pPr>
    </w:p>
    <w:p w:rsidR="00C66107" w:rsidRDefault="00550DFE" w:rsidP="00F5533B">
      <w:pPr>
        <w:spacing w:after="0"/>
      </w:pPr>
      <w:r>
        <w:br w:type="page"/>
      </w:r>
    </w:p>
    <w:p w:rsidR="00E02923" w:rsidRDefault="00E02923" w:rsidP="00CA3EC2">
      <w:pPr>
        <w:spacing w:after="0"/>
        <w:jc w:val="left"/>
        <w:rPr>
          <w:sz w:val="22"/>
          <w:szCs w:val="22"/>
        </w:rPr>
        <w:sectPr w:rsidR="00E02923" w:rsidSect="008773F2">
          <w:footerReference w:type="default" r:id="rId9"/>
          <w:pgSz w:w="12240" w:h="15840"/>
          <w:pgMar w:top="1440" w:right="1440" w:bottom="1440" w:left="1440" w:header="720" w:footer="720" w:gutter="0"/>
          <w:cols w:space="720"/>
          <w:docGrid w:linePitch="360"/>
        </w:sectPr>
      </w:pPr>
    </w:p>
    <w:p w:rsidR="00870DA4" w:rsidRDefault="00E02923" w:rsidP="00CA3EC2">
      <w:pPr>
        <w:spacing w:after="0"/>
        <w:jc w:val="left"/>
        <w:rPr>
          <w:sz w:val="22"/>
          <w:szCs w:val="22"/>
        </w:rPr>
      </w:pPr>
      <w:r>
        <w:rPr>
          <w:noProof/>
          <w:sz w:val="22"/>
          <w:szCs w:val="22"/>
        </w:rPr>
        <w:lastRenderedPageBreak/>
        <w:drawing>
          <wp:inline distT="0" distB="0" distL="0" distR="0">
            <wp:extent cx="6400800" cy="640418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00800" cy="6404188"/>
                    </a:xfrm>
                    <a:prstGeom prst="rect">
                      <a:avLst/>
                    </a:prstGeom>
                    <a:noFill/>
                    <a:ln w="9525">
                      <a:noFill/>
                      <a:miter lim="800000"/>
                      <a:headEnd/>
                      <a:tailEnd/>
                    </a:ln>
                  </pic:spPr>
                </pic:pic>
              </a:graphicData>
            </a:graphic>
          </wp:inline>
        </w:drawing>
      </w:r>
      <w:r w:rsidR="00A34093">
        <w:rPr>
          <w:sz w:val="22"/>
          <w:szCs w:val="22"/>
        </w:rPr>
        <w:t xml:space="preserve">Figure 1. Locations of observer-sampled pots </w:t>
      </w:r>
      <w:r w:rsidR="0024137C">
        <w:rPr>
          <w:sz w:val="22"/>
          <w:szCs w:val="22"/>
        </w:rPr>
        <w:t xml:space="preserve">(red) </w:t>
      </w:r>
      <w:r w:rsidR="00A34093">
        <w:rPr>
          <w:sz w:val="22"/>
          <w:szCs w:val="22"/>
        </w:rPr>
        <w:t xml:space="preserve">from </w:t>
      </w:r>
      <w:r w:rsidR="0024137C">
        <w:rPr>
          <w:sz w:val="22"/>
          <w:szCs w:val="22"/>
        </w:rPr>
        <w:t xml:space="preserve">the 2001–2005 and  2010–2012 PIGKC fisheries </w:t>
      </w:r>
      <w:r w:rsidR="00A34093">
        <w:rPr>
          <w:sz w:val="22"/>
          <w:szCs w:val="22"/>
        </w:rPr>
        <w:t xml:space="preserve">and of </w:t>
      </w:r>
      <w:r w:rsidR="0024137C">
        <w:rPr>
          <w:sz w:val="22"/>
          <w:szCs w:val="22"/>
        </w:rPr>
        <w:t>the 189</w:t>
      </w:r>
      <w:r w:rsidR="00A34093">
        <w:rPr>
          <w:sz w:val="22"/>
          <w:szCs w:val="22"/>
        </w:rPr>
        <w:t xml:space="preserve"> </w:t>
      </w:r>
      <w:r w:rsidR="000757DE">
        <w:rPr>
          <w:sz w:val="22"/>
          <w:szCs w:val="22"/>
        </w:rPr>
        <w:t xml:space="preserve">tows of the </w:t>
      </w:r>
      <w:r w:rsidR="0024137C">
        <w:rPr>
          <w:sz w:val="22"/>
          <w:szCs w:val="22"/>
        </w:rPr>
        <w:t xml:space="preserve">2012 </w:t>
      </w:r>
      <w:r w:rsidR="000757DE">
        <w:rPr>
          <w:sz w:val="22"/>
          <w:szCs w:val="22"/>
        </w:rPr>
        <w:t xml:space="preserve">EBS slope-survey </w:t>
      </w:r>
      <w:r w:rsidR="00A34093">
        <w:rPr>
          <w:sz w:val="22"/>
          <w:szCs w:val="22"/>
        </w:rPr>
        <w:t>(black</w:t>
      </w:r>
      <w:r w:rsidR="00992AE7">
        <w:rPr>
          <w:sz w:val="22"/>
          <w:szCs w:val="22"/>
        </w:rPr>
        <w:t>/purple</w:t>
      </w:r>
      <w:r w:rsidR="00A34093">
        <w:rPr>
          <w:sz w:val="22"/>
          <w:szCs w:val="22"/>
        </w:rPr>
        <w:t>)</w:t>
      </w:r>
      <w:r>
        <w:rPr>
          <w:sz w:val="22"/>
          <w:szCs w:val="22"/>
        </w:rPr>
        <w:t xml:space="preserve"> used </w:t>
      </w:r>
      <w:r w:rsidR="00E57B55">
        <w:rPr>
          <w:sz w:val="22"/>
          <w:szCs w:val="22"/>
        </w:rPr>
        <w:t>to construct</w:t>
      </w:r>
      <w:r>
        <w:rPr>
          <w:sz w:val="22"/>
          <w:szCs w:val="22"/>
        </w:rPr>
        <w:t xml:space="preserve"> </w:t>
      </w:r>
      <w:r w:rsidR="0024137C">
        <w:rPr>
          <w:sz w:val="22"/>
          <w:szCs w:val="22"/>
        </w:rPr>
        <w:t>abundance and</w:t>
      </w:r>
      <w:r>
        <w:rPr>
          <w:sz w:val="22"/>
          <w:szCs w:val="22"/>
        </w:rPr>
        <w:t xml:space="preserve"> </w:t>
      </w:r>
      <w:r w:rsidR="00B2459E">
        <w:rPr>
          <w:sz w:val="22"/>
          <w:szCs w:val="22"/>
        </w:rPr>
        <w:t>biomass estimates</w:t>
      </w:r>
      <w:r w:rsidR="00C66107">
        <w:rPr>
          <w:sz w:val="22"/>
          <w:szCs w:val="22"/>
        </w:rPr>
        <w:t>.</w:t>
      </w:r>
      <w:r w:rsidR="00A34093">
        <w:rPr>
          <w:sz w:val="22"/>
          <w:szCs w:val="22"/>
        </w:rPr>
        <w:t xml:space="preserve"> </w:t>
      </w:r>
      <w:r w:rsidR="00B2459E">
        <w:rPr>
          <w:sz w:val="22"/>
          <w:szCs w:val="22"/>
        </w:rPr>
        <w:t xml:space="preserve">Locations of the 19 </w:t>
      </w:r>
      <w:r w:rsidR="00C66107">
        <w:rPr>
          <w:sz w:val="22"/>
          <w:szCs w:val="22"/>
        </w:rPr>
        <w:t>tows in the Pribilof Canyon s</w:t>
      </w:r>
      <w:r w:rsidR="00E57B55">
        <w:rPr>
          <w:sz w:val="22"/>
          <w:szCs w:val="22"/>
        </w:rPr>
        <w:t xml:space="preserve">ubarea </w:t>
      </w:r>
      <w:r w:rsidR="00B2459E">
        <w:rPr>
          <w:sz w:val="22"/>
          <w:szCs w:val="22"/>
        </w:rPr>
        <w:t xml:space="preserve">are </w:t>
      </w:r>
      <w:r w:rsidR="00C66107">
        <w:rPr>
          <w:sz w:val="22"/>
          <w:szCs w:val="22"/>
        </w:rPr>
        <w:t xml:space="preserve">colored purple. </w:t>
      </w:r>
    </w:p>
    <w:p w:rsidR="00CE3300" w:rsidRPr="00CE3300" w:rsidRDefault="00CE3300" w:rsidP="00CE3300">
      <w:pPr>
        <w:spacing w:after="0"/>
        <w:rPr>
          <w:sz w:val="22"/>
          <w:szCs w:val="22"/>
        </w:rPr>
      </w:pPr>
      <w:r>
        <w:rPr>
          <w:sz w:val="22"/>
          <w:szCs w:val="22"/>
        </w:rPr>
        <w:br w:type="page"/>
      </w:r>
    </w:p>
    <w:p w:rsidR="00CA3EC2" w:rsidRDefault="003C5FA2" w:rsidP="00CA3EC2">
      <w:pPr>
        <w:spacing w:after="0"/>
        <w:jc w:val="left"/>
      </w:pPr>
      <w:r>
        <w:rPr>
          <w:noProof/>
        </w:rPr>
        <w:lastRenderedPageBreak/>
        <w:drawing>
          <wp:inline distT="0" distB="0" distL="0" distR="0">
            <wp:extent cx="4471372" cy="3200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1372" cy="3200400"/>
                    </a:xfrm>
                    <a:prstGeom prst="rect">
                      <a:avLst/>
                    </a:prstGeom>
                    <a:noFill/>
                    <a:ln w="9525">
                      <a:noFill/>
                      <a:miter lim="800000"/>
                      <a:headEnd/>
                      <a:tailEnd/>
                    </a:ln>
                  </pic:spPr>
                </pic:pic>
              </a:graphicData>
            </a:graphic>
          </wp:inline>
        </w:drawing>
      </w:r>
    </w:p>
    <w:p w:rsidR="00F745B2" w:rsidRDefault="003C5FA2" w:rsidP="00CA3EC2">
      <w:pPr>
        <w:spacing w:after="0"/>
        <w:jc w:val="left"/>
        <w:rPr>
          <w:sz w:val="22"/>
          <w:szCs w:val="22"/>
        </w:rPr>
      </w:pPr>
      <w:r>
        <w:rPr>
          <w:sz w:val="22"/>
          <w:szCs w:val="22"/>
        </w:rPr>
        <w:t>Figu</w:t>
      </w:r>
      <w:r w:rsidR="00A34093">
        <w:rPr>
          <w:sz w:val="22"/>
          <w:szCs w:val="22"/>
        </w:rPr>
        <w:t>re 2</w:t>
      </w:r>
      <w:r>
        <w:rPr>
          <w:sz w:val="22"/>
          <w:szCs w:val="22"/>
        </w:rPr>
        <w:t>: “Retained”</w:t>
      </w:r>
      <w:r w:rsidR="00CA3EC2" w:rsidRPr="006727A7">
        <w:rPr>
          <w:sz w:val="22"/>
          <w:szCs w:val="22"/>
        </w:rPr>
        <w:t xml:space="preserve"> proportion of observer-</w:t>
      </w:r>
      <w:r w:rsidR="00192FB7" w:rsidRPr="006727A7">
        <w:rPr>
          <w:sz w:val="22"/>
          <w:szCs w:val="22"/>
        </w:rPr>
        <w:t xml:space="preserve">sampled </w:t>
      </w:r>
      <w:r>
        <w:rPr>
          <w:sz w:val="22"/>
          <w:szCs w:val="22"/>
        </w:rPr>
        <w:t xml:space="preserve">male </w:t>
      </w:r>
      <w:r w:rsidR="00F745B2">
        <w:rPr>
          <w:sz w:val="22"/>
          <w:szCs w:val="22"/>
        </w:rPr>
        <w:t>GKC as a function</w:t>
      </w:r>
    </w:p>
    <w:p w:rsidR="00F745B2" w:rsidRDefault="00F745B2" w:rsidP="00CA3EC2">
      <w:pPr>
        <w:spacing w:after="0"/>
        <w:jc w:val="left"/>
        <w:rPr>
          <w:sz w:val="22"/>
          <w:szCs w:val="22"/>
        </w:rPr>
      </w:pPr>
      <w:r>
        <w:rPr>
          <w:sz w:val="22"/>
          <w:szCs w:val="22"/>
        </w:rPr>
        <w:t xml:space="preserve">of </w:t>
      </w:r>
      <w:r w:rsidR="00192FB7" w:rsidRPr="006727A7">
        <w:rPr>
          <w:sz w:val="22"/>
          <w:szCs w:val="22"/>
        </w:rPr>
        <w:t xml:space="preserve"> CL</w:t>
      </w:r>
      <w:r w:rsidR="007E1F3D" w:rsidRPr="006727A7">
        <w:rPr>
          <w:sz w:val="22"/>
          <w:szCs w:val="22"/>
        </w:rPr>
        <w:t>, for</w:t>
      </w:r>
      <w:r w:rsidR="00440AC9">
        <w:rPr>
          <w:sz w:val="22"/>
          <w:szCs w:val="22"/>
        </w:rPr>
        <w:t xml:space="preserve"> 2001–2005 and 2010–</w:t>
      </w:r>
      <w:r w:rsidR="003C5FA2">
        <w:rPr>
          <w:sz w:val="22"/>
          <w:szCs w:val="22"/>
        </w:rPr>
        <w:t>2012 PIGKC fisheries</w:t>
      </w:r>
      <w:r w:rsidR="00CA3EC2" w:rsidRPr="006727A7">
        <w:rPr>
          <w:sz w:val="22"/>
          <w:szCs w:val="22"/>
        </w:rPr>
        <w:t xml:space="preserve">. </w:t>
      </w:r>
      <w:r w:rsidR="00440AC9">
        <w:rPr>
          <w:sz w:val="22"/>
          <w:szCs w:val="22"/>
        </w:rPr>
        <w:t xml:space="preserve">(Note: the CL proxy </w:t>
      </w:r>
    </w:p>
    <w:p w:rsidR="00CA3EC2" w:rsidRDefault="00440AC9" w:rsidP="00CA3EC2">
      <w:pPr>
        <w:spacing w:after="0"/>
        <w:jc w:val="left"/>
        <w:rPr>
          <w:sz w:val="22"/>
          <w:szCs w:val="22"/>
        </w:rPr>
      </w:pPr>
      <w:r>
        <w:rPr>
          <w:sz w:val="22"/>
          <w:szCs w:val="22"/>
        </w:rPr>
        <w:t>for legal size is 124 mm.)</w:t>
      </w:r>
    </w:p>
    <w:p w:rsidR="00F745B2" w:rsidRDefault="00F745B2" w:rsidP="00CA3EC2">
      <w:pPr>
        <w:spacing w:after="0"/>
        <w:jc w:val="left"/>
        <w:rPr>
          <w:sz w:val="22"/>
          <w:szCs w:val="22"/>
        </w:rPr>
      </w:pPr>
    </w:p>
    <w:p w:rsidR="00F745B2" w:rsidRPr="006727A7" w:rsidRDefault="00F745B2" w:rsidP="00CA3EC2">
      <w:pPr>
        <w:spacing w:after="0"/>
        <w:jc w:val="left"/>
        <w:rPr>
          <w:sz w:val="22"/>
          <w:szCs w:val="22"/>
        </w:rPr>
      </w:pPr>
    </w:p>
    <w:p w:rsidR="0032643F" w:rsidRDefault="00192FB7" w:rsidP="00192FB7">
      <w:pPr>
        <w:spacing w:after="0"/>
        <w:jc w:val="left"/>
      </w:pPr>
      <w:r>
        <w:rPr>
          <w:noProof/>
        </w:rPr>
        <w:drawing>
          <wp:inline distT="0" distB="0" distL="0" distR="0">
            <wp:extent cx="5321239" cy="3200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21239" cy="3200400"/>
                    </a:xfrm>
                    <a:prstGeom prst="rect">
                      <a:avLst/>
                    </a:prstGeom>
                    <a:noFill/>
                    <a:ln w="9525">
                      <a:noFill/>
                      <a:miter lim="800000"/>
                      <a:headEnd/>
                      <a:tailEnd/>
                    </a:ln>
                  </pic:spPr>
                </pic:pic>
              </a:graphicData>
            </a:graphic>
          </wp:inline>
        </w:drawing>
      </w:r>
    </w:p>
    <w:p w:rsidR="00F745B2" w:rsidRDefault="00A34093" w:rsidP="00192FB7">
      <w:pPr>
        <w:spacing w:after="0"/>
        <w:jc w:val="left"/>
        <w:rPr>
          <w:sz w:val="22"/>
          <w:szCs w:val="22"/>
        </w:rPr>
      </w:pPr>
      <w:r>
        <w:rPr>
          <w:sz w:val="22"/>
          <w:szCs w:val="22"/>
        </w:rPr>
        <w:t>Figure 3</w:t>
      </w:r>
      <w:r w:rsidR="00192FB7" w:rsidRPr="006727A7">
        <w:rPr>
          <w:sz w:val="22"/>
          <w:szCs w:val="22"/>
        </w:rPr>
        <w:t xml:space="preserve">: Fit of 2010 slope-survey GKC data to length-to-weight relationships used in this </w:t>
      </w:r>
    </w:p>
    <w:p w:rsidR="0037484A" w:rsidRDefault="00F745B2" w:rsidP="00192FB7">
      <w:pPr>
        <w:spacing w:after="0"/>
        <w:jc w:val="left"/>
        <w:rPr>
          <w:sz w:val="22"/>
          <w:szCs w:val="22"/>
        </w:rPr>
      </w:pPr>
      <w:r>
        <w:rPr>
          <w:sz w:val="22"/>
          <w:szCs w:val="22"/>
        </w:rPr>
        <w:t xml:space="preserve">assessment: </w:t>
      </w:r>
      <m:oMath>
        <m:r>
          <w:rPr>
            <w:rFonts w:ascii="Cambria Math" w:hAnsi="Cambria Math"/>
            <w:sz w:val="22"/>
            <w:szCs w:val="22"/>
          </w:rPr>
          <m:t>w=0.0002988</m:t>
        </m:r>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3.135</m:t>
            </m:r>
          </m:sup>
        </m:sSup>
      </m:oMath>
      <w:r>
        <w:rPr>
          <w:sz w:val="22"/>
          <w:szCs w:val="22"/>
        </w:rPr>
        <w:t xml:space="preserve"> (males); </w:t>
      </w:r>
      <m:oMath>
        <m:r>
          <w:rPr>
            <w:rFonts w:ascii="Cambria Math" w:hAnsi="Cambria Math"/>
            <w:sz w:val="22"/>
            <w:szCs w:val="22"/>
          </w:rPr>
          <m:t>w=0.001424</m:t>
        </m:r>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2.781</m:t>
            </m:r>
          </m:sup>
        </m:sSup>
      </m:oMath>
      <w:r>
        <w:rPr>
          <w:sz w:val="22"/>
          <w:szCs w:val="22"/>
        </w:rPr>
        <w:t xml:space="preserve"> (females)</w:t>
      </w:r>
      <w:r w:rsidR="00244BE8">
        <w:rPr>
          <w:sz w:val="22"/>
          <w:szCs w:val="22"/>
        </w:rPr>
        <w:t>.</w:t>
      </w:r>
    </w:p>
    <w:p w:rsidR="00CE3300" w:rsidRPr="00CE3300" w:rsidRDefault="00CE3300" w:rsidP="00CE3300">
      <w:pPr>
        <w:spacing w:after="0"/>
        <w:rPr>
          <w:sz w:val="22"/>
          <w:szCs w:val="22"/>
        </w:rPr>
      </w:pPr>
      <w:r>
        <w:rPr>
          <w:sz w:val="22"/>
          <w:szCs w:val="22"/>
        </w:rPr>
        <w:br w:type="page"/>
      </w:r>
    </w:p>
    <w:p w:rsidR="0037484A" w:rsidRDefault="0010506F" w:rsidP="00192FB7">
      <w:pPr>
        <w:spacing w:after="0"/>
        <w:jc w:val="left"/>
      </w:pPr>
      <w:r>
        <w:rPr>
          <w:noProof/>
        </w:rPr>
        <w:lastRenderedPageBreak/>
        <w:drawing>
          <wp:inline distT="0" distB="0" distL="0" distR="0">
            <wp:extent cx="5943600" cy="546064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5460648"/>
                    </a:xfrm>
                    <a:prstGeom prst="rect">
                      <a:avLst/>
                    </a:prstGeom>
                    <a:noFill/>
                    <a:ln w="9525">
                      <a:noFill/>
                      <a:miter lim="800000"/>
                      <a:headEnd/>
                      <a:tailEnd/>
                    </a:ln>
                  </pic:spPr>
                </pic:pic>
              </a:graphicData>
            </a:graphic>
          </wp:inline>
        </w:drawing>
      </w:r>
    </w:p>
    <w:p w:rsidR="00623317" w:rsidRDefault="0037484A" w:rsidP="00192FB7">
      <w:pPr>
        <w:spacing w:after="0"/>
        <w:jc w:val="left"/>
        <w:rPr>
          <w:sz w:val="22"/>
          <w:szCs w:val="22"/>
        </w:rPr>
      </w:pPr>
      <w:r w:rsidRPr="0037484A">
        <w:rPr>
          <w:sz w:val="22"/>
          <w:szCs w:val="22"/>
        </w:rPr>
        <w:t>Figure 4:</w:t>
      </w:r>
      <w:r>
        <w:rPr>
          <w:sz w:val="22"/>
          <w:szCs w:val="22"/>
        </w:rPr>
        <w:t xml:space="preserve"> Size-frequency distributions of male (left panels) and female (right panels)</w:t>
      </w:r>
      <w:r w:rsidR="00BC365F">
        <w:rPr>
          <w:sz w:val="22"/>
          <w:szCs w:val="22"/>
        </w:rPr>
        <w:t xml:space="preserve"> GKC</w:t>
      </w:r>
      <w:r w:rsidR="00CF0B26">
        <w:rPr>
          <w:sz w:val="22"/>
          <w:szCs w:val="22"/>
        </w:rPr>
        <w:t xml:space="preserve"> captured in</w:t>
      </w:r>
      <w:r>
        <w:rPr>
          <w:sz w:val="22"/>
          <w:szCs w:val="22"/>
        </w:rPr>
        <w:t xml:space="preserve"> the 2012</w:t>
      </w:r>
      <w:r w:rsidR="00CF0B26">
        <w:rPr>
          <w:sz w:val="22"/>
          <w:szCs w:val="22"/>
        </w:rPr>
        <w:t xml:space="preserve"> (189</w:t>
      </w:r>
      <w:r>
        <w:rPr>
          <w:sz w:val="22"/>
          <w:szCs w:val="22"/>
        </w:rPr>
        <w:t xml:space="preserve"> tows</w:t>
      </w:r>
      <w:r w:rsidR="00DB12DA">
        <w:rPr>
          <w:sz w:val="22"/>
          <w:szCs w:val="22"/>
        </w:rPr>
        <w:t>; 427 crab</w:t>
      </w:r>
      <w:r>
        <w:rPr>
          <w:sz w:val="22"/>
          <w:szCs w:val="22"/>
        </w:rPr>
        <w:t>), 2010 (200 tows</w:t>
      </w:r>
      <w:r w:rsidR="00DB12DA">
        <w:rPr>
          <w:sz w:val="22"/>
          <w:szCs w:val="22"/>
        </w:rPr>
        <w:t>; 790 crab</w:t>
      </w:r>
      <w:r>
        <w:rPr>
          <w:sz w:val="22"/>
          <w:szCs w:val="22"/>
        </w:rPr>
        <w:t>) and 2008 (200 tows</w:t>
      </w:r>
      <w:r w:rsidR="00DB12DA">
        <w:rPr>
          <w:sz w:val="22"/>
          <w:szCs w:val="22"/>
        </w:rPr>
        <w:t>; 416 crab</w:t>
      </w:r>
      <w:r>
        <w:rPr>
          <w:sz w:val="22"/>
          <w:szCs w:val="22"/>
        </w:rPr>
        <w:t>) EBS slope survey</w:t>
      </w:r>
      <w:r w:rsidR="00CF0B26">
        <w:rPr>
          <w:sz w:val="22"/>
          <w:szCs w:val="22"/>
        </w:rPr>
        <w:t>s</w:t>
      </w:r>
      <w:r>
        <w:rPr>
          <w:sz w:val="22"/>
          <w:szCs w:val="22"/>
        </w:rPr>
        <w:t>.</w:t>
      </w:r>
      <w:r w:rsidR="00CF0B26">
        <w:rPr>
          <w:sz w:val="22"/>
          <w:szCs w:val="22"/>
        </w:rPr>
        <w:t xml:space="preserve"> </w:t>
      </w:r>
    </w:p>
    <w:p w:rsidR="00623317" w:rsidRDefault="00623317" w:rsidP="00623317">
      <w:pPr>
        <w:spacing w:after="0"/>
        <w:rPr>
          <w:sz w:val="22"/>
          <w:szCs w:val="22"/>
        </w:rPr>
      </w:pPr>
      <w:r>
        <w:rPr>
          <w:sz w:val="22"/>
          <w:szCs w:val="22"/>
        </w:rPr>
        <w:br w:type="page"/>
      </w:r>
    </w:p>
    <w:p w:rsidR="008773F2" w:rsidRDefault="008773F2" w:rsidP="00623317">
      <w:pPr>
        <w:spacing w:after="0"/>
        <w:rPr>
          <w:sz w:val="22"/>
          <w:szCs w:val="22"/>
        </w:rPr>
        <w:sectPr w:rsidR="008773F2" w:rsidSect="008773F2">
          <w:pgSz w:w="12240" w:h="15840"/>
          <w:pgMar w:top="1440" w:right="1440" w:bottom="1440" w:left="1440" w:header="720" w:footer="720" w:gutter="0"/>
          <w:cols w:space="720"/>
          <w:docGrid w:linePitch="360"/>
        </w:sectPr>
      </w:pPr>
    </w:p>
    <w:p w:rsidR="00623317" w:rsidRDefault="00F47108" w:rsidP="00623317">
      <w:pPr>
        <w:spacing w:after="0"/>
        <w:rPr>
          <w:sz w:val="22"/>
          <w:szCs w:val="22"/>
        </w:rPr>
      </w:pPr>
      <w:r w:rsidRPr="00F47108">
        <w:rPr>
          <w:noProof/>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367.5pt;margin-top:8.9pt;width:92.25pt;height:35.55pt;z-index:251645440" o:connectortype="straight" strokecolor="#7030a0" strokeweight="2.25pt">
            <v:stroke dashstyle="dash"/>
          </v:shape>
        </w:pict>
      </w:r>
      <w:r w:rsidRPr="00F47108">
        <w:rPr>
          <w:noProof/>
        </w:rPr>
        <w:pict>
          <v:shape id="_x0000_s1031" type="#_x0000_t32" style="position:absolute;left:0;text-align:left;margin-left:367.5pt;margin-top:8.15pt;width:5.25pt;height:292.1pt;flip:x y;z-index:251653632" o:connectortype="straight" strokecolor="red" strokeweight="2.25pt">
            <v:stroke dashstyle="1 1"/>
          </v:shape>
        </w:pict>
      </w:r>
      <w:r w:rsidR="00623317">
        <w:rPr>
          <w:sz w:val="22"/>
          <w:szCs w:val="22"/>
        </w:rPr>
        <w:t xml:space="preserve">                                                                                            </w:t>
      </w:r>
      <w:r w:rsidR="00623317">
        <w:rPr>
          <w:b/>
          <w:color w:val="FF0000"/>
          <w:sz w:val="22"/>
          <w:szCs w:val="22"/>
        </w:rPr>
        <w:t xml:space="preserve">2016 </w:t>
      </w:r>
      <w:proofErr w:type="spellStart"/>
      <w:r w:rsidR="00623317" w:rsidRPr="0011459A">
        <w:rPr>
          <w:b/>
          <w:color w:val="FF0000"/>
          <w:sz w:val="22"/>
          <w:szCs w:val="22"/>
        </w:rPr>
        <w:t>MMB</w:t>
      </w:r>
      <w:r w:rsidR="00623317" w:rsidRPr="0011459A">
        <w:rPr>
          <w:b/>
          <w:color w:val="FF0000"/>
          <w:sz w:val="22"/>
          <w:szCs w:val="22"/>
          <w:vertAlign w:val="subscript"/>
        </w:rPr>
        <w:t>survey</w:t>
      </w:r>
      <w:proofErr w:type="spellEnd"/>
    </w:p>
    <w:p w:rsidR="00623317" w:rsidRPr="00623317" w:rsidRDefault="00623317" w:rsidP="00623317">
      <w:pPr>
        <w:spacing w:after="0"/>
        <w:rPr>
          <w:sz w:val="22"/>
          <w:szCs w:val="22"/>
        </w:rPr>
      </w:pPr>
      <w:r>
        <w:rPr>
          <w:b/>
          <w:color w:val="FF0000"/>
          <w:sz w:val="22"/>
          <w:szCs w:val="22"/>
        </w:rPr>
        <w:t xml:space="preserve">2014 </w:t>
      </w:r>
      <w:proofErr w:type="spellStart"/>
      <w:r w:rsidRPr="0011459A">
        <w:rPr>
          <w:b/>
          <w:color w:val="FF0000"/>
          <w:sz w:val="22"/>
          <w:szCs w:val="22"/>
        </w:rPr>
        <w:t>MMB</w:t>
      </w:r>
      <w:r w:rsidRPr="0011459A">
        <w:rPr>
          <w:b/>
          <w:color w:val="FF0000"/>
          <w:sz w:val="22"/>
          <w:szCs w:val="22"/>
          <w:vertAlign w:val="subscript"/>
        </w:rPr>
        <w:t>survey</w:t>
      </w:r>
      <w:proofErr w:type="spellEnd"/>
      <w:r>
        <w:rPr>
          <w:b/>
          <w:color w:val="FF0000"/>
          <w:sz w:val="22"/>
          <w:szCs w:val="22"/>
          <w:vertAlign w:val="subscript"/>
        </w:rPr>
        <w:t xml:space="preserve">                                                                                                                          </w:t>
      </w:r>
    </w:p>
    <w:p w:rsidR="00623317" w:rsidRPr="00B41BF3" w:rsidRDefault="00F47108" w:rsidP="00623317">
      <w:pPr>
        <w:rPr>
          <w:sz w:val="20"/>
          <w:szCs w:val="20"/>
          <w:vertAlign w:val="subscript"/>
        </w:rPr>
      </w:pPr>
      <w:r w:rsidRPr="00F47108">
        <w:rPr>
          <w:noProof/>
        </w:rPr>
        <w:pict>
          <v:shape id="_x0000_s1063" type="#_x0000_t32" style="position:absolute;left:0;text-align:left;margin-left:91.5pt;margin-top:12.25pt;width:178.5pt;height:92.25pt;z-index:251671040" o:connectortype="straight" strokecolor="#00b050" strokeweight="2.25pt"/>
        </w:pict>
      </w:r>
      <w:r w:rsidRPr="00F47108">
        <w:rPr>
          <w:noProof/>
        </w:rPr>
        <w:pict>
          <v:shape id="_x0000_s1051" type="#_x0000_t32" style="position:absolute;left:0;text-align:left;margin-left:-5.2pt;margin-top:-.5pt;width:96.7pt;height:33.45pt;z-index:251662848" o:connectortype="straight" strokecolor="#7030a0" strokeweight="2.25pt">
            <v:stroke dashstyle="dash"/>
          </v:shape>
        </w:pict>
      </w:r>
      <w:r w:rsidRPr="00F47108">
        <w:rPr>
          <w:noProof/>
        </w:rPr>
        <w:pict>
          <v:shape id="_x0000_s1039" type="#_x0000_t32" style="position:absolute;left:0;text-align:left;margin-left:91.5pt;margin-top:12.25pt;width:1.5pt;height:262.7pt;z-index:251658752" o:connectortype="straight">
            <v:stroke dashstyle="1 1"/>
          </v:shape>
        </w:pict>
      </w:r>
      <w:r w:rsidRPr="00F47108">
        <w:rPr>
          <w:noProof/>
        </w:rPr>
        <w:pict>
          <v:shape id="_x0000_s1027" type="#_x0000_t32" style="position:absolute;left:0;text-align:left;margin-left:-5.25pt;margin-top:-.5pt;width:.05pt;height:275.45pt;flip:y;z-index:251649536" o:connectortype="straight" strokecolor="red" strokeweight="2.25pt">
            <v:stroke dashstyle="1 1"/>
          </v:shape>
        </w:pict>
      </w:r>
      <w:r w:rsidRPr="00F47108">
        <w:rPr>
          <w:noProof/>
        </w:rPr>
        <w:pict>
          <v:shape id="_x0000_s1034" type="#_x0000_t32" style="position:absolute;left:0;text-align:left;margin-left:93.75pt;margin-top:12.2pt;width:174.75pt;height:33.65pt;z-index:251656704" o:connectortype="straight" strokecolor="#7030a0" strokeweight="2.25pt">
            <v:stroke dashstyle="dash"/>
          </v:shape>
        </w:pict>
      </w:r>
      <w:r w:rsidRPr="00F47108">
        <w:rPr>
          <w:noProof/>
          <w:color w:val="7030A0"/>
        </w:rPr>
        <w:pict>
          <v:shape id="_x0000_s1032" type="#_x0000_t32" style="position:absolute;left:0;text-align:left;margin-left:-5.25pt;margin-top:-.5pt;width:98.25pt;height:12.75pt;z-index:251654656" o:connectortype="straight" strokecolor="#00b050" strokeweight="2.25pt"/>
        </w:pict>
      </w:r>
      <w:r w:rsidR="00623317">
        <w:rPr>
          <w:sz w:val="20"/>
          <w:szCs w:val="20"/>
          <w:vertAlign w:val="subscript"/>
        </w:rPr>
        <w:t xml:space="preserve">                                          </w:t>
      </w:r>
      <w:r w:rsidR="00623317" w:rsidRPr="009F3333">
        <w:rPr>
          <w:b/>
          <w:color w:val="00B050"/>
          <w:sz w:val="20"/>
          <w:szCs w:val="20"/>
        </w:rPr>
        <w:t xml:space="preserve">2014 </w:t>
      </w:r>
      <w:proofErr w:type="spellStart"/>
      <w:r w:rsidR="00623317" w:rsidRPr="009F3333">
        <w:rPr>
          <w:b/>
          <w:color w:val="00B050"/>
          <w:sz w:val="20"/>
          <w:szCs w:val="20"/>
        </w:rPr>
        <w:t>MMB</w:t>
      </w:r>
      <w:r w:rsidR="00623317" w:rsidRPr="009F3333">
        <w:rPr>
          <w:b/>
          <w:color w:val="00B050"/>
          <w:sz w:val="20"/>
          <w:szCs w:val="20"/>
          <w:vertAlign w:val="subscript"/>
        </w:rPr>
        <w:t>mating</w:t>
      </w:r>
      <w:proofErr w:type="spellEnd"/>
      <w:r w:rsidR="00623317" w:rsidRPr="009F3333">
        <w:rPr>
          <w:b/>
          <w:color w:val="00B050"/>
          <w:sz w:val="20"/>
          <w:szCs w:val="20"/>
          <w:vertAlign w:val="subscript"/>
        </w:rPr>
        <w:t xml:space="preserve">                                                                                                     </w:t>
      </w:r>
      <w:r w:rsidR="005A0270">
        <w:rPr>
          <w:b/>
          <w:color w:val="00B050"/>
          <w:sz w:val="20"/>
          <w:szCs w:val="20"/>
          <w:vertAlign w:val="subscript"/>
        </w:rPr>
        <w:t xml:space="preserve">                       </w:t>
      </w:r>
    </w:p>
    <w:p w:rsidR="00623317" w:rsidRPr="000F2C06" w:rsidRDefault="00F47108" w:rsidP="00623317">
      <w:pPr>
        <w:spacing w:after="0"/>
        <w:rPr>
          <w:b/>
          <w:i/>
          <w:color w:val="7030A0"/>
          <w:sz w:val="22"/>
          <w:szCs w:val="22"/>
        </w:rPr>
      </w:pPr>
      <w:r w:rsidRPr="00F47108">
        <w:rPr>
          <w:noProof/>
        </w:rPr>
        <w:pict>
          <v:shape id="_x0000_s1041" type="#_x0000_t32" style="position:absolute;left:0;text-align:left;margin-left:459.75pt;margin-top:1.65pt;width:3.75pt;height:259.2pt;flip:x y;z-index:251660800" o:connectortype="straight">
            <v:stroke dashstyle="1 1"/>
          </v:shape>
        </w:pict>
      </w:r>
      <w:r w:rsidRPr="00F47108">
        <w:rPr>
          <w:noProof/>
        </w:rPr>
        <w:pict>
          <v:shape id="_x0000_s1058" type="#_x0000_t32" style="position:absolute;left:0;text-align:left;margin-left:98.3pt;margin-top:1.65pt;width:135.25pt;height:231.65pt;flip:x y;z-index:251665920" o:connectortype="straight" strokecolor="#00b050" strokeweight="1.5pt">
            <v:stroke endarrow="block"/>
          </v:shape>
        </w:pict>
      </w:r>
      <w:r w:rsidRPr="00F47108">
        <w:rPr>
          <w:noProof/>
        </w:rPr>
        <w:pict>
          <v:shape id="_x0000_s1036" type="#_x0000_t32" style="position:absolute;left:0;text-align:left;margin-left:189pt;margin-top:87pt;width:.05pt;height:.05pt;z-index:251646464" o:connectortype="straight"/>
        </w:pict>
      </w:r>
      <w:r w:rsidR="00623317">
        <w:t xml:space="preserve">                                                                                                                          </w:t>
      </w:r>
      <w:r w:rsidR="00623317" w:rsidRPr="008F7C0C">
        <w:rPr>
          <w:sz w:val="20"/>
          <w:szCs w:val="20"/>
        </w:rPr>
        <w:t xml:space="preserve"> </w:t>
      </w:r>
      <w:r w:rsidR="00623317">
        <w:rPr>
          <w:sz w:val="20"/>
          <w:szCs w:val="20"/>
        </w:rPr>
        <w:t xml:space="preserve"> </w:t>
      </w:r>
      <w:r w:rsidR="005A0270" w:rsidRPr="000F2C06">
        <w:rPr>
          <w:b/>
          <w:i/>
          <w:color w:val="7030A0"/>
          <w:sz w:val="20"/>
          <w:szCs w:val="20"/>
        </w:rPr>
        <w:t xml:space="preserve">2016 </w:t>
      </w:r>
      <w:proofErr w:type="spellStart"/>
      <w:r w:rsidR="005A0270" w:rsidRPr="000F2C06">
        <w:rPr>
          <w:b/>
          <w:i/>
          <w:color w:val="7030A0"/>
          <w:sz w:val="20"/>
          <w:szCs w:val="20"/>
        </w:rPr>
        <w:t>MMB</w:t>
      </w:r>
      <w:r w:rsidR="005A0270" w:rsidRPr="000F2C06">
        <w:rPr>
          <w:b/>
          <w:i/>
          <w:color w:val="7030A0"/>
          <w:sz w:val="20"/>
          <w:szCs w:val="20"/>
          <w:vertAlign w:val="subscript"/>
        </w:rPr>
        <w:t>mating</w:t>
      </w:r>
      <w:proofErr w:type="spellEnd"/>
      <w:r w:rsidR="00623317" w:rsidRPr="000F2C06">
        <w:rPr>
          <w:i/>
          <w:color w:val="7030A0"/>
          <w:sz w:val="20"/>
          <w:szCs w:val="20"/>
        </w:rPr>
        <w:t xml:space="preserve">    </w:t>
      </w:r>
    </w:p>
    <w:p w:rsidR="00623317" w:rsidRPr="000F2C06" w:rsidRDefault="00F47108" w:rsidP="00623317">
      <w:pPr>
        <w:spacing w:after="0"/>
        <w:rPr>
          <w:b/>
          <w:i/>
          <w:color w:val="7030A0"/>
        </w:rPr>
      </w:pPr>
      <w:r w:rsidRPr="00F47108">
        <w:rPr>
          <w:noProof/>
        </w:rPr>
        <w:pict>
          <v:shape id="_x0000_s1033" type="#_x0000_t32" style="position:absolute;left:0;text-align:left;margin-left:91.5pt;margin-top:4.1pt;width:178.5pt;height:117.7pt;z-index:251655680" o:connectortype="straight" strokecolor="#7030a0" strokeweight="2.25pt">
            <v:stroke dashstyle="dash"/>
          </v:shape>
        </w:pict>
      </w:r>
      <w:r w:rsidRPr="00F47108">
        <w:rPr>
          <w:noProof/>
        </w:rPr>
        <w:pict>
          <v:shape id="_x0000_s1065" type="#_x0000_t32" style="position:absolute;left:0;text-align:left;margin-left:415.1pt;margin-top:3.95pt;width:3.75pt;height:217.85pt;flip:x y;z-index:251673088" o:connectortype="straight" strokecolor="#7030a0" strokeweight="1.5pt">
            <v:stroke dashstyle="dash" endarrow="block"/>
          </v:shape>
        </w:pict>
      </w:r>
      <w:r w:rsidR="00F46308">
        <w:t xml:space="preserve">      </w:t>
      </w:r>
      <w:r w:rsidR="00CD0B07" w:rsidRPr="000F2C06">
        <w:rPr>
          <w:b/>
          <w:i/>
          <w:color w:val="7030A0"/>
          <w:sz w:val="20"/>
          <w:szCs w:val="20"/>
        </w:rPr>
        <w:t xml:space="preserve">2014 </w:t>
      </w:r>
      <w:proofErr w:type="spellStart"/>
      <w:r w:rsidR="00CD0B07" w:rsidRPr="000F2C06">
        <w:rPr>
          <w:b/>
          <w:i/>
          <w:color w:val="7030A0"/>
          <w:sz w:val="20"/>
          <w:szCs w:val="20"/>
        </w:rPr>
        <w:t>MMB</w:t>
      </w:r>
      <w:r w:rsidR="00CD0B07" w:rsidRPr="000F2C06">
        <w:rPr>
          <w:b/>
          <w:i/>
          <w:color w:val="7030A0"/>
          <w:sz w:val="20"/>
          <w:szCs w:val="20"/>
          <w:vertAlign w:val="subscript"/>
        </w:rPr>
        <w:t>mating</w:t>
      </w:r>
      <w:proofErr w:type="spellEnd"/>
      <w:r w:rsidR="00CD0B07" w:rsidRPr="000F2C06">
        <w:rPr>
          <w:i/>
          <w:color w:val="7030A0"/>
        </w:rPr>
        <w:t xml:space="preserve">                                                                       </w:t>
      </w:r>
      <w:r w:rsidR="00CD0B07" w:rsidRPr="000F2C06">
        <w:rPr>
          <w:i/>
          <w:color w:val="7030A0"/>
          <w:sz w:val="16"/>
          <w:szCs w:val="16"/>
        </w:rPr>
        <w:t xml:space="preserve">                                                                     </w:t>
      </w:r>
      <w:r w:rsidR="00F46308" w:rsidRPr="000F2C06">
        <w:rPr>
          <w:i/>
          <w:color w:val="7030A0"/>
        </w:rPr>
        <w:t xml:space="preserve">                                                                   </w:t>
      </w:r>
      <w:r w:rsidR="00623317" w:rsidRPr="000F2C06">
        <w:rPr>
          <w:b/>
          <w:i/>
          <w:color w:val="7030A0"/>
        </w:rPr>
        <w:t xml:space="preserve">               </w:t>
      </w:r>
    </w:p>
    <w:p w:rsidR="00623317" w:rsidRPr="000F2C06" w:rsidRDefault="00F47108" w:rsidP="00623317">
      <w:pPr>
        <w:spacing w:after="0"/>
        <w:rPr>
          <w:i/>
          <w:sz w:val="16"/>
          <w:szCs w:val="16"/>
        </w:rPr>
      </w:pPr>
      <w:r w:rsidRPr="00F47108">
        <w:rPr>
          <w:noProof/>
        </w:rPr>
        <w:pict>
          <v:shape id="_x0000_s1056" type="#_x0000_t32" style="position:absolute;left:0;text-align:left;margin-left:51.95pt;margin-top:5.35pt;width:0;height:203.8pt;flip:y;z-index:251663872" o:connectortype="straight" strokecolor="#7030a0" strokeweight="1.5pt">
            <v:stroke dashstyle="dash" endarrow="block"/>
          </v:shape>
        </w:pict>
      </w:r>
      <w:r w:rsidRPr="00F47108">
        <w:rPr>
          <w:noProof/>
        </w:rPr>
        <w:pict>
          <v:shape id="_x0000_s1035" type="#_x0000_t32" style="position:absolute;left:0;text-align:left;margin-left:268.5pt;margin-top:5.5pt;width:195pt;height:107.95pt;z-index:251657728" o:connectortype="straight" strokecolor="#7030a0" strokeweight="2.25pt">
            <v:stroke dashstyle="dash"/>
          </v:shape>
        </w:pict>
      </w:r>
      <w:r w:rsidRPr="00F47108">
        <w:rPr>
          <w:noProof/>
        </w:rPr>
        <w:pict>
          <v:shape id="_x0000_s1040" type="#_x0000_t32" style="position:absolute;left:0;text-align:left;margin-left:268.5pt;margin-top:4.2pt;width:5.25pt;height:229.1pt;z-index:251659776" o:connectortype="straight">
            <v:stroke dashstyle="1 1"/>
          </v:shape>
        </w:pict>
      </w:r>
      <w:r w:rsidR="00623317" w:rsidRPr="00E01BB4">
        <w:rPr>
          <w:sz w:val="16"/>
          <w:szCs w:val="16"/>
        </w:rPr>
        <w:t xml:space="preserve">    </w:t>
      </w:r>
      <w:r w:rsidR="00CD0B07">
        <w:rPr>
          <w:sz w:val="16"/>
          <w:szCs w:val="16"/>
        </w:rPr>
        <w:t xml:space="preserve">     </w:t>
      </w:r>
      <w:r w:rsidR="00623317" w:rsidRPr="00E01BB4">
        <w:rPr>
          <w:sz w:val="16"/>
          <w:szCs w:val="16"/>
        </w:rPr>
        <w:t xml:space="preserve">  </w:t>
      </w:r>
    </w:p>
    <w:p w:rsidR="00623317" w:rsidRPr="00CD0B07" w:rsidRDefault="00623317" w:rsidP="00623317">
      <w:pPr>
        <w:spacing w:after="0"/>
        <w:rPr>
          <w:b/>
          <w:color w:val="7030A0"/>
        </w:rPr>
      </w:pPr>
      <w:r w:rsidRPr="000F2C06">
        <w:rPr>
          <w:i/>
        </w:rPr>
        <w:t xml:space="preserve">                                  </w:t>
      </w:r>
      <w:r w:rsidR="00CD0B07" w:rsidRPr="000F2C06">
        <w:rPr>
          <w:i/>
        </w:rPr>
        <w:t xml:space="preserve">                             </w:t>
      </w:r>
      <w:r w:rsidR="00CD0B07" w:rsidRPr="000F2C06">
        <w:rPr>
          <w:b/>
          <w:i/>
          <w:color w:val="7030A0"/>
          <w:sz w:val="20"/>
          <w:szCs w:val="20"/>
        </w:rPr>
        <w:t xml:space="preserve">2015 </w:t>
      </w:r>
      <w:proofErr w:type="spellStart"/>
      <w:r w:rsidR="00CD0B07" w:rsidRPr="000F2C06">
        <w:rPr>
          <w:b/>
          <w:i/>
          <w:color w:val="7030A0"/>
          <w:sz w:val="20"/>
          <w:szCs w:val="20"/>
        </w:rPr>
        <w:t>MMB</w:t>
      </w:r>
      <w:r w:rsidR="00CD0B07" w:rsidRPr="000F2C06">
        <w:rPr>
          <w:b/>
          <w:i/>
          <w:color w:val="7030A0"/>
          <w:sz w:val="20"/>
          <w:szCs w:val="20"/>
          <w:vertAlign w:val="subscript"/>
        </w:rPr>
        <w:t>mating</w:t>
      </w:r>
      <w:proofErr w:type="spellEnd"/>
      <w:r w:rsidRPr="000F2C06">
        <w:rPr>
          <w:b/>
          <w:i/>
          <w:color w:val="7030A0"/>
        </w:rPr>
        <w:t xml:space="preserve">                                                            </w:t>
      </w:r>
    </w:p>
    <w:p w:rsidR="00623317" w:rsidRDefault="00F47108" w:rsidP="00623317">
      <w:pPr>
        <w:spacing w:after="0"/>
      </w:pPr>
      <w:r>
        <w:rPr>
          <w:noProof/>
        </w:rPr>
        <w:pict>
          <v:shape id="_x0000_s1060" type="#_x0000_t32" style="position:absolute;left:0;text-align:left;margin-left:233.55pt;margin-top:6.9pt;width:0;height:181.55pt;flip:y;z-index:251667968" o:connectortype="straight" strokecolor="#7030a0" strokeweight="1.5pt">
            <v:stroke dashstyle="dash" endarrow="block"/>
          </v:shape>
        </w:pict>
      </w:r>
    </w:p>
    <w:p w:rsidR="00623317" w:rsidRDefault="00F47108" w:rsidP="00623317">
      <w:pPr>
        <w:spacing w:after="0"/>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6" type="#_x0000_t38" style="position:absolute;left:0;text-align:left;margin-left:120.15pt;margin-top:31.9pt;width:65.2pt;height:26.3pt;rotation:90;z-index:251674112" o:connectortype="curved" adj="10800,-151734,-78813" strokecolor="black [3213]" strokeweight="1.5pt">
            <v:stroke endarrow="block"/>
          </v:shape>
        </w:pict>
      </w:r>
      <w:r w:rsidR="00623317">
        <w:t xml:space="preserve">                                                                                                                                             </w:t>
      </w:r>
    </w:p>
    <w:p w:rsidR="00623317" w:rsidRPr="005A0270" w:rsidRDefault="00623317" w:rsidP="00623317">
      <w:pPr>
        <w:spacing w:after="0"/>
        <w:rPr>
          <w:color w:val="00B050"/>
          <w:sz w:val="16"/>
          <w:szCs w:val="16"/>
        </w:rPr>
      </w:pPr>
      <w:r>
        <w:t xml:space="preserve">                                                         </w:t>
      </w:r>
      <w:r w:rsidR="005A0270">
        <w:t xml:space="preserve">                              </w:t>
      </w:r>
    </w:p>
    <w:p w:rsidR="00623317" w:rsidRPr="009F3333" w:rsidRDefault="00F47108" w:rsidP="00623317">
      <w:pPr>
        <w:spacing w:after="0"/>
        <w:rPr>
          <w:b/>
          <w:color w:val="00B050"/>
          <w:sz w:val="20"/>
          <w:szCs w:val="20"/>
        </w:rPr>
      </w:pPr>
      <w:r w:rsidRPr="00F47108">
        <w:rPr>
          <w:noProof/>
        </w:rPr>
        <w:pict>
          <v:shape id="_x0000_s1067" type="#_x0000_t38" style="position:absolute;left:0;text-align:left;margin-left:290.6pt;margin-top:29.5pt;width:91.3pt;height:32.55pt;rotation:90;z-index:251675136" o:connectortype="curved" adj="10800,-129700,-100429" strokecolor="black [3213]" strokeweight="1.5pt">
            <v:stroke endarrow="block"/>
          </v:shape>
        </w:pict>
      </w:r>
      <w:r w:rsidR="00623317">
        <w:t xml:space="preserve">                                  </w:t>
      </w:r>
      <w:r w:rsidR="00623317">
        <w:rPr>
          <w:sz w:val="16"/>
          <w:szCs w:val="16"/>
        </w:rPr>
        <w:t xml:space="preserve">        </w:t>
      </w:r>
      <w:r w:rsidR="005A0270">
        <w:rPr>
          <w:sz w:val="16"/>
          <w:szCs w:val="16"/>
        </w:rPr>
        <w:t xml:space="preserve">                                                                              </w:t>
      </w:r>
      <w:r w:rsidR="005A0270" w:rsidRPr="005A0270">
        <w:rPr>
          <w:b/>
          <w:color w:val="00B050"/>
          <w:sz w:val="20"/>
          <w:szCs w:val="20"/>
        </w:rPr>
        <w:t xml:space="preserve">2015 </w:t>
      </w:r>
      <w:proofErr w:type="spellStart"/>
      <w:r w:rsidR="005A0270" w:rsidRPr="005A0270">
        <w:rPr>
          <w:b/>
          <w:color w:val="00B050"/>
          <w:sz w:val="20"/>
          <w:szCs w:val="20"/>
        </w:rPr>
        <w:t>MMB</w:t>
      </w:r>
      <w:r w:rsidR="005A0270" w:rsidRPr="005A0270">
        <w:rPr>
          <w:b/>
          <w:color w:val="00B050"/>
          <w:sz w:val="20"/>
          <w:szCs w:val="20"/>
          <w:vertAlign w:val="subscript"/>
        </w:rPr>
        <w:t>mating</w:t>
      </w:r>
      <w:proofErr w:type="spellEnd"/>
      <w:r w:rsidR="005A0270" w:rsidRPr="005A0270">
        <w:rPr>
          <w:color w:val="00B050"/>
        </w:rPr>
        <w:t xml:space="preserve">                                          </w:t>
      </w:r>
    </w:p>
    <w:p w:rsidR="00623317" w:rsidRPr="00623317" w:rsidRDefault="00F47108" w:rsidP="00623317">
      <w:pPr>
        <w:spacing w:after="0"/>
        <w:rPr>
          <w:b/>
          <w:sz w:val="16"/>
          <w:szCs w:val="16"/>
        </w:rPr>
      </w:pPr>
      <w:r w:rsidRPr="00F47108">
        <w:rPr>
          <w:noProof/>
        </w:rPr>
        <w:pict>
          <v:shape id="_x0000_s1064" type="#_x0000_t32" style="position:absolute;left:0;text-align:left;margin-left:293.65pt;margin-top:5.45pt;width:125.2pt;height:134.7pt;flip:x y;z-index:251672064" o:connectortype="straight" strokecolor="#00b050" strokeweight="1.5pt">
            <v:stroke endarrow="block"/>
          </v:shape>
        </w:pict>
      </w:r>
      <w:r w:rsidR="00623317">
        <w:t xml:space="preserve">                                                                     </w:t>
      </w:r>
      <w:r w:rsidR="00623317">
        <w:rPr>
          <w:vertAlign w:val="subscript"/>
        </w:rPr>
        <w:t xml:space="preserve">    </w:t>
      </w:r>
      <w:r w:rsidR="00623317" w:rsidRPr="00623317">
        <w:rPr>
          <w:b/>
          <w:sz w:val="16"/>
          <w:szCs w:val="16"/>
          <w:vertAlign w:val="subscript"/>
        </w:rPr>
        <w:t xml:space="preserve">                             </w:t>
      </w:r>
    </w:p>
    <w:p w:rsidR="00623317" w:rsidRDefault="00623317" w:rsidP="00623317">
      <w:pPr>
        <w:spacing w:after="0"/>
        <w:rPr>
          <w:vertAlign w:val="subscript"/>
        </w:rPr>
      </w:pPr>
      <w:r>
        <w:t xml:space="preserve">              </w:t>
      </w:r>
      <w:r w:rsidR="00CD0B07">
        <w:t xml:space="preserve">                              </w:t>
      </w:r>
    </w:p>
    <w:p w:rsidR="00623317" w:rsidRPr="00CD0B07" w:rsidRDefault="00623317" w:rsidP="00CD0B07">
      <w:pPr>
        <w:spacing w:after="0"/>
        <w:jc w:val="left"/>
        <w:rPr>
          <w:b/>
          <w:color w:val="7030A0"/>
          <w:sz w:val="20"/>
          <w:szCs w:val="20"/>
          <w:vertAlign w:val="subscript"/>
        </w:rPr>
      </w:pPr>
      <w:r>
        <w:rPr>
          <w:vertAlign w:val="subscript"/>
        </w:rPr>
        <w:t xml:space="preserve">                                                                   </w:t>
      </w:r>
      <w:r w:rsidR="00CD0B07">
        <w:rPr>
          <w:vertAlign w:val="subscript"/>
        </w:rPr>
        <w:t xml:space="preserve">  </w:t>
      </w:r>
      <w:r>
        <w:rPr>
          <w:vertAlign w:val="subscript"/>
        </w:rPr>
        <w:t xml:space="preserve"> </w:t>
      </w:r>
    </w:p>
    <w:p w:rsidR="00623317" w:rsidRPr="00623317" w:rsidRDefault="00623317" w:rsidP="00623317">
      <w:pPr>
        <w:spacing w:after="0"/>
        <w:rPr>
          <w:b/>
        </w:rPr>
      </w:pPr>
      <w:r w:rsidRPr="00623317">
        <w:rPr>
          <w:b/>
        </w:rPr>
        <w:t xml:space="preserve">                                                                                                                                    </w:t>
      </w:r>
    </w:p>
    <w:p w:rsidR="00623317" w:rsidRPr="000F2C06" w:rsidRDefault="00623317" w:rsidP="00623317">
      <w:pPr>
        <w:spacing w:after="0"/>
        <w:rPr>
          <w:i/>
          <w:sz w:val="16"/>
          <w:szCs w:val="16"/>
          <w:vertAlign w:val="subscript"/>
        </w:rPr>
      </w:pPr>
      <w:r>
        <w:t xml:space="preserve">                                     </w:t>
      </w:r>
      <w:r w:rsidR="00CD0B07" w:rsidRPr="000F2C06">
        <w:rPr>
          <w:b/>
          <w:i/>
          <w:color w:val="7030A0"/>
          <w:sz w:val="20"/>
          <w:szCs w:val="20"/>
        </w:rPr>
        <w:t>2015 OFL</w:t>
      </w:r>
      <w:r w:rsidR="00CD0B07" w:rsidRPr="000F2C06">
        <w:rPr>
          <w:i/>
          <w:color w:val="7030A0"/>
        </w:rPr>
        <w:t xml:space="preserve">                                                                                               </w:t>
      </w:r>
      <w:r w:rsidR="00CD0B07" w:rsidRPr="000F2C06">
        <w:rPr>
          <w:i/>
          <w:color w:val="7030A0"/>
          <w:vertAlign w:val="subscript"/>
        </w:rPr>
        <w:t xml:space="preserve">                                                                         </w:t>
      </w:r>
      <w:r w:rsidR="00CD0B07" w:rsidRPr="000F2C06">
        <w:rPr>
          <w:b/>
          <w:i/>
          <w:color w:val="7030A0"/>
          <w:sz w:val="20"/>
          <w:szCs w:val="20"/>
          <w:vertAlign w:val="subscript"/>
        </w:rPr>
        <w:t xml:space="preserve">                                   </w:t>
      </w:r>
      <w:r w:rsidRPr="000F2C06">
        <w:rPr>
          <w:i/>
        </w:rPr>
        <w:t xml:space="preserve">                                                                                                  </w:t>
      </w:r>
    </w:p>
    <w:p w:rsidR="00623317" w:rsidRDefault="00F47108" w:rsidP="00623317">
      <w:pPr>
        <w:spacing w:after="0"/>
      </w:pPr>
      <w:r w:rsidRPr="00F47108">
        <w:rPr>
          <w:b/>
          <w:noProof/>
        </w:rPr>
        <w:pict>
          <v:shape id="_x0000_s1057" type="#_x0000_t32" style="position:absolute;left:0;text-align:left;margin-left:51.95pt;margin-top:4.6pt;width:73.25pt;height:75.75pt;flip:y;z-index:251664896" o:connectortype="straight" strokecolor="#7030a0" strokeweight="1.5pt">
            <v:stroke dashstyle="dash" endarrow="block"/>
          </v:shape>
        </w:pict>
      </w:r>
      <w:r w:rsidR="00CD0B07">
        <w:t xml:space="preserve">                                  </w:t>
      </w:r>
    </w:p>
    <w:p w:rsidR="00623317" w:rsidRPr="008F7C0C" w:rsidRDefault="00623317" w:rsidP="00623317">
      <w:pPr>
        <w:spacing w:after="0"/>
        <w:rPr>
          <w:sz w:val="16"/>
          <w:szCs w:val="16"/>
        </w:rPr>
      </w:pPr>
      <w:r w:rsidRPr="00623317">
        <w:rPr>
          <w:b/>
          <w:sz w:val="16"/>
          <w:szCs w:val="16"/>
        </w:rPr>
        <w:t xml:space="preserve"> </w:t>
      </w:r>
    </w:p>
    <w:p w:rsidR="00623317" w:rsidRPr="000F2C06" w:rsidRDefault="00623317" w:rsidP="00623317">
      <w:pPr>
        <w:spacing w:after="0"/>
        <w:rPr>
          <w:b/>
          <w:i/>
          <w:color w:val="7030A0"/>
          <w:sz w:val="20"/>
          <w:szCs w:val="20"/>
        </w:rPr>
      </w:pPr>
      <w:r>
        <w:t xml:space="preserve">                            </w:t>
      </w:r>
      <w:r w:rsidR="005A0270">
        <w:rPr>
          <w:sz w:val="20"/>
          <w:szCs w:val="20"/>
        </w:rPr>
        <w:t xml:space="preserve">                                                                                     </w:t>
      </w:r>
      <w:r w:rsidR="005A0270" w:rsidRPr="000F2C06">
        <w:rPr>
          <w:b/>
          <w:i/>
          <w:color w:val="7030A0"/>
          <w:sz w:val="20"/>
          <w:szCs w:val="20"/>
        </w:rPr>
        <w:t>2016 OFL</w:t>
      </w:r>
    </w:p>
    <w:p w:rsidR="00623317" w:rsidRPr="009F3333" w:rsidRDefault="0031464F" w:rsidP="00623317">
      <w:pPr>
        <w:spacing w:after="0"/>
      </w:pPr>
      <w:r>
        <w:t xml:space="preserve">                       </w:t>
      </w:r>
    </w:p>
    <w:p w:rsidR="00623317" w:rsidRDefault="00623317" w:rsidP="00623317">
      <w:pPr>
        <w:spacing w:after="0"/>
        <w:rPr>
          <w:sz w:val="22"/>
          <w:szCs w:val="22"/>
        </w:rPr>
      </w:pPr>
    </w:p>
    <w:p w:rsidR="004673AF" w:rsidRDefault="00F47108" w:rsidP="0031464F">
      <w:pPr>
        <w:spacing w:after="0"/>
        <w:jc w:val="left"/>
        <w:rPr>
          <w:sz w:val="22"/>
          <w:szCs w:val="22"/>
        </w:rPr>
      </w:pPr>
      <w:r>
        <w:rPr>
          <w:noProof/>
          <w:sz w:val="22"/>
          <w:szCs w:val="22"/>
        </w:rPr>
        <w:pict>
          <v:shape id="_x0000_s1062" type="#_x0000_t32" style="position:absolute;margin-left:233.55pt;margin-top:-21.3pt;width:70.75pt;height:40.7pt;flip:y;z-index:251670016" o:connectortype="straight" strokecolor="#7030a0" strokeweight="1.5pt">
            <v:stroke dashstyle="dash" endarrow="block"/>
          </v:shape>
        </w:pict>
      </w:r>
    </w:p>
    <w:p w:rsidR="004673AF" w:rsidRDefault="004673AF" w:rsidP="0031464F">
      <w:pPr>
        <w:spacing w:after="0"/>
        <w:jc w:val="left"/>
        <w:rPr>
          <w:sz w:val="22"/>
          <w:szCs w:val="22"/>
        </w:rPr>
      </w:pPr>
    </w:p>
    <w:p w:rsidR="004673AF" w:rsidRPr="00623317" w:rsidRDefault="004673AF" w:rsidP="004673AF">
      <w:pPr>
        <w:spacing w:after="0"/>
        <w:rPr>
          <w:b/>
          <w:sz w:val="16"/>
          <w:szCs w:val="16"/>
        </w:rPr>
      </w:pPr>
    </w:p>
    <w:p w:rsidR="004673AF" w:rsidRDefault="00F47108" w:rsidP="004673AF">
      <w:pPr>
        <w:spacing w:after="0"/>
        <w:jc w:val="left"/>
        <w:rPr>
          <w:sz w:val="22"/>
          <w:szCs w:val="22"/>
        </w:rPr>
      </w:pPr>
      <w:r w:rsidRPr="00F47108">
        <w:rPr>
          <w:b/>
          <w:noProof/>
        </w:rPr>
        <w:pict>
          <v:shape id="_x0000_s1030" type="#_x0000_t32" style="position:absolute;margin-left:94.8pt;margin-top:4.3pt;width:0;height:16.5pt;z-index:251652608" o:connectortype="straight" strokeweight="3pt"/>
        </w:pict>
      </w:r>
      <w:r w:rsidRPr="00F47108">
        <w:rPr>
          <w:b/>
          <w:noProof/>
        </w:rPr>
        <w:pict>
          <v:shape id="_x0000_s1028" type="#_x0000_t32" style="position:absolute;margin-left:465pt;margin-top:3.75pt;width:0;height:16.5pt;z-index:251650560" o:connectortype="straight" strokeweight="3pt"/>
        </w:pict>
      </w:r>
      <w:r w:rsidRPr="00F47108">
        <w:rPr>
          <w:b/>
          <w:noProof/>
        </w:rPr>
        <w:pict>
          <v:shape id="_x0000_s1029" type="#_x0000_t32" style="position:absolute;margin-left:274.5pt;margin-top:3.1pt;width:.75pt;height:16.5pt;z-index:251651584" o:connectortype="straight" strokeweight="3pt"/>
        </w:pict>
      </w:r>
      <w:r w:rsidR="004673AF" w:rsidRPr="00623317">
        <w:rPr>
          <w:b/>
          <w:sz w:val="16"/>
          <w:szCs w:val="16"/>
        </w:rPr>
        <w:t xml:space="preserve">                       CPT                                                     </w:t>
      </w:r>
      <w:r w:rsidR="004673AF">
        <w:rPr>
          <w:b/>
          <w:sz w:val="16"/>
          <w:szCs w:val="16"/>
        </w:rPr>
        <w:t xml:space="preserve">                             </w:t>
      </w:r>
      <w:r w:rsidR="00AC5D38">
        <w:rPr>
          <w:b/>
          <w:sz w:val="16"/>
          <w:szCs w:val="16"/>
        </w:rPr>
        <w:t xml:space="preserve"> </w:t>
      </w:r>
      <w:r w:rsidR="004673AF" w:rsidRPr="00623317">
        <w:rPr>
          <w:b/>
          <w:sz w:val="16"/>
          <w:szCs w:val="16"/>
        </w:rPr>
        <w:t xml:space="preserve">CPT                                                     </w:t>
      </w:r>
      <w:r w:rsidR="004673AF">
        <w:rPr>
          <w:b/>
          <w:sz w:val="16"/>
          <w:szCs w:val="16"/>
        </w:rPr>
        <w:t xml:space="preserve">                               </w:t>
      </w:r>
      <w:r w:rsidR="004673AF" w:rsidRPr="00623317">
        <w:rPr>
          <w:b/>
          <w:sz w:val="16"/>
          <w:szCs w:val="16"/>
        </w:rPr>
        <w:t xml:space="preserve"> CPT    </w:t>
      </w:r>
    </w:p>
    <w:p w:rsidR="004673AF" w:rsidRDefault="00F47108" w:rsidP="0031464F">
      <w:pPr>
        <w:spacing w:after="0"/>
        <w:jc w:val="left"/>
        <w:rPr>
          <w:sz w:val="22"/>
          <w:szCs w:val="22"/>
        </w:rPr>
      </w:pPr>
      <w:r w:rsidRPr="00F47108">
        <w:rPr>
          <w:noProof/>
        </w:rPr>
        <w:pict>
          <v:shape id="_x0000_s1026" type="#_x0000_t32" style="position:absolute;margin-left:-5.25pt;margin-top:2.15pt;width:471pt;height:1.5pt;z-index:251648512" o:connectortype="straight" strokeweight="3pt"/>
        </w:pict>
      </w:r>
    </w:p>
    <w:p w:rsidR="004673AF" w:rsidRDefault="004673AF" w:rsidP="0031464F">
      <w:pPr>
        <w:spacing w:after="0"/>
        <w:jc w:val="left"/>
        <w:rPr>
          <w:sz w:val="22"/>
          <w:szCs w:val="22"/>
        </w:rPr>
      </w:pPr>
      <w:r>
        <w:rPr>
          <w:sz w:val="22"/>
          <w:szCs w:val="22"/>
        </w:rPr>
        <w:t xml:space="preserve">                         </w:t>
      </w:r>
      <w:r w:rsidRPr="004673AF">
        <w:rPr>
          <w:sz w:val="22"/>
          <w:szCs w:val="22"/>
        </w:rPr>
        <w:t xml:space="preserve">1Jan2015                                           </w:t>
      </w:r>
      <w:r>
        <w:rPr>
          <w:sz w:val="22"/>
          <w:szCs w:val="22"/>
        </w:rPr>
        <w:t xml:space="preserve">    </w:t>
      </w:r>
      <w:r w:rsidRPr="004673AF">
        <w:rPr>
          <w:sz w:val="22"/>
          <w:szCs w:val="22"/>
        </w:rPr>
        <w:t xml:space="preserve">  1Jan2016                                               </w:t>
      </w:r>
      <w:r>
        <w:rPr>
          <w:sz w:val="22"/>
          <w:szCs w:val="22"/>
        </w:rPr>
        <w:t xml:space="preserve">    </w:t>
      </w:r>
      <w:r w:rsidRPr="004673AF">
        <w:rPr>
          <w:sz w:val="22"/>
          <w:szCs w:val="22"/>
        </w:rPr>
        <w:t xml:space="preserve">  </w:t>
      </w:r>
      <w:r w:rsidR="00BD0866">
        <w:rPr>
          <w:sz w:val="22"/>
          <w:szCs w:val="22"/>
        </w:rPr>
        <w:t xml:space="preserve"> </w:t>
      </w:r>
      <w:r w:rsidRPr="004673AF">
        <w:rPr>
          <w:sz w:val="22"/>
          <w:szCs w:val="22"/>
        </w:rPr>
        <w:t xml:space="preserve">1Jan2017                                                    </w:t>
      </w:r>
    </w:p>
    <w:p w:rsidR="004673AF" w:rsidRDefault="004673AF" w:rsidP="0031464F">
      <w:pPr>
        <w:spacing w:after="0"/>
        <w:jc w:val="left"/>
        <w:rPr>
          <w:sz w:val="22"/>
          <w:szCs w:val="22"/>
        </w:rPr>
      </w:pPr>
    </w:p>
    <w:p w:rsidR="004673AF" w:rsidRDefault="004673AF" w:rsidP="0031464F">
      <w:pPr>
        <w:spacing w:after="0"/>
        <w:jc w:val="left"/>
        <w:rPr>
          <w:sz w:val="22"/>
          <w:szCs w:val="22"/>
        </w:rPr>
      </w:pPr>
    </w:p>
    <w:p w:rsidR="004673AF" w:rsidRDefault="004673AF" w:rsidP="0031464F">
      <w:pPr>
        <w:spacing w:after="0"/>
        <w:jc w:val="left"/>
        <w:rPr>
          <w:sz w:val="22"/>
          <w:szCs w:val="22"/>
        </w:rPr>
      </w:pPr>
    </w:p>
    <w:p w:rsidR="004673AF" w:rsidRDefault="004673AF" w:rsidP="0031464F">
      <w:pPr>
        <w:spacing w:after="0"/>
        <w:jc w:val="left"/>
        <w:rPr>
          <w:sz w:val="22"/>
          <w:szCs w:val="22"/>
        </w:rPr>
      </w:pPr>
    </w:p>
    <w:p w:rsidR="0019392B" w:rsidRDefault="00623317" w:rsidP="0031464F">
      <w:pPr>
        <w:spacing w:after="0"/>
        <w:jc w:val="left"/>
        <w:rPr>
          <w:sz w:val="22"/>
          <w:szCs w:val="22"/>
        </w:rPr>
      </w:pPr>
      <w:r>
        <w:rPr>
          <w:sz w:val="22"/>
          <w:szCs w:val="22"/>
        </w:rPr>
        <w:t>Figure 5. Schematic of proposed Tier-4</w:t>
      </w:r>
      <w:r w:rsidR="00BD0866">
        <w:rPr>
          <w:sz w:val="22"/>
          <w:szCs w:val="22"/>
        </w:rPr>
        <w:t xml:space="preserve"> PIGKC stock assessment cycle</w:t>
      </w:r>
      <w:r>
        <w:rPr>
          <w:sz w:val="22"/>
          <w:szCs w:val="22"/>
        </w:rPr>
        <w:t xml:space="preserve">, implemented as of the Fall 2014 </w:t>
      </w:r>
    </w:p>
    <w:p w:rsidR="005D6D0D" w:rsidRDefault="00623317" w:rsidP="0031464F">
      <w:pPr>
        <w:spacing w:after="0"/>
        <w:jc w:val="left"/>
        <w:rPr>
          <w:sz w:val="22"/>
          <w:szCs w:val="22"/>
        </w:rPr>
      </w:pPr>
      <w:r>
        <w:rPr>
          <w:sz w:val="22"/>
          <w:szCs w:val="22"/>
        </w:rPr>
        <w:t>CPT mee</w:t>
      </w:r>
      <w:r w:rsidR="005F02CF">
        <w:rPr>
          <w:sz w:val="22"/>
          <w:szCs w:val="22"/>
        </w:rPr>
        <w:t xml:space="preserve">ting. Projected </w:t>
      </w:r>
      <w:r w:rsidR="0019392B">
        <w:rPr>
          <w:sz w:val="22"/>
          <w:szCs w:val="22"/>
        </w:rPr>
        <w:t>assessment outputs</w:t>
      </w:r>
      <w:r w:rsidR="000F2C06">
        <w:rPr>
          <w:sz w:val="22"/>
          <w:szCs w:val="22"/>
        </w:rPr>
        <w:t xml:space="preserve"> (italicized</w:t>
      </w:r>
      <w:r w:rsidR="005D6D0D">
        <w:rPr>
          <w:sz w:val="22"/>
          <w:szCs w:val="22"/>
        </w:rPr>
        <w:t>, purple</w:t>
      </w:r>
      <w:r w:rsidR="000F2C06">
        <w:rPr>
          <w:sz w:val="22"/>
          <w:szCs w:val="22"/>
        </w:rPr>
        <w:t xml:space="preserve">) are indicated by dashed </w:t>
      </w:r>
      <w:r w:rsidR="0019392B">
        <w:rPr>
          <w:sz w:val="22"/>
          <w:szCs w:val="22"/>
        </w:rPr>
        <w:t>lines/arrows</w:t>
      </w:r>
      <w:r w:rsidR="005F02CF">
        <w:rPr>
          <w:sz w:val="22"/>
          <w:szCs w:val="22"/>
        </w:rPr>
        <w:t xml:space="preserve">; </w:t>
      </w:r>
    </w:p>
    <w:p w:rsidR="005D6D0D" w:rsidRDefault="0019392B" w:rsidP="0031464F">
      <w:pPr>
        <w:spacing w:after="0"/>
        <w:jc w:val="left"/>
        <w:rPr>
          <w:sz w:val="22"/>
          <w:szCs w:val="22"/>
        </w:rPr>
      </w:pPr>
      <w:r>
        <w:rPr>
          <w:sz w:val="22"/>
          <w:szCs w:val="22"/>
        </w:rPr>
        <w:t>assessment outputs estimated from</w:t>
      </w:r>
      <w:r w:rsidR="005F02CF">
        <w:rPr>
          <w:sz w:val="22"/>
          <w:szCs w:val="22"/>
        </w:rPr>
        <w:t xml:space="preserve"> fully available data </w:t>
      </w:r>
      <w:r w:rsidR="000F2C06">
        <w:rPr>
          <w:sz w:val="22"/>
          <w:szCs w:val="22"/>
        </w:rPr>
        <w:t>(non-italicized</w:t>
      </w:r>
      <w:r w:rsidR="005D6D0D">
        <w:rPr>
          <w:sz w:val="22"/>
          <w:szCs w:val="22"/>
        </w:rPr>
        <w:t>, green</w:t>
      </w:r>
      <w:r w:rsidR="000F2C06">
        <w:rPr>
          <w:sz w:val="22"/>
          <w:szCs w:val="22"/>
        </w:rPr>
        <w:t xml:space="preserve">) </w:t>
      </w:r>
      <w:r w:rsidR="00AC5D38">
        <w:rPr>
          <w:sz w:val="22"/>
          <w:szCs w:val="22"/>
        </w:rPr>
        <w:t xml:space="preserve">are </w:t>
      </w:r>
      <w:r w:rsidR="000F2C06">
        <w:rPr>
          <w:sz w:val="22"/>
          <w:szCs w:val="22"/>
        </w:rPr>
        <w:t xml:space="preserve">indicated by solid </w:t>
      </w:r>
    </w:p>
    <w:p w:rsidR="005D6D0D" w:rsidRDefault="000F2C06" w:rsidP="0031464F">
      <w:pPr>
        <w:spacing w:after="0"/>
        <w:jc w:val="left"/>
        <w:rPr>
          <w:sz w:val="22"/>
          <w:szCs w:val="22"/>
        </w:rPr>
      </w:pPr>
      <w:r>
        <w:rPr>
          <w:sz w:val="22"/>
          <w:szCs w:val="22"/>
        </w:rPr>
        <w:t>lines</w:t>
      </w:r>
      <w:r w:rsidR="0019392B">
        <w:rPr>
          <w:sz w:val="22"/>
          <w:szCs w:val="22"/>
        </w:rPr>
        <w:t>/arrows.</w:t>
      </w:r>
      <w:r w:rsidR="005F02CF">
        <w:rPr>
          <w:sz w:val="22"/>
          <w:szCs w:val="22"/>
        </w:rPr>
        <w:t xml:space="preserve"> </w:t>
      </w:r>
      <w:r w:rsidR="0019392B">
        <w:rPr>
          <w:sz w:val="22"/>
          <w:szCs w:val="22"/>
        </w:rPr>
        <w:t xml:space="preserve">Dotted lines place surveys and CPT meetings along time line. </w:t>
      </w:r>
      <w:r w:rsidR="005D6D0D">
        <w:rPr>
          <w:sz w:val="22"/>
          <w:szCs w:val="22"/>
        </w:rPr>
        <w:t xml:space="preserve">The EBS slope-survey is </w:t>
      </w:r>
    </w:p>
    <w:p w:rsidR="008578CF" w:rsidRDefault="005D6D0D" w:rsidP="0031464F">
      <w:pPr>
        <w:spacing w:after="0"/>
        <w:jc w:val="left"/>
        <w:rPr>
          <w:sz w:val="22"/>
          <w:szCs w:val="22"/>
        </w:rPr>
      </w:pPr>
      <w:r>
        <w:rPr>
          <w:sz w:val="22"/>
          <w:szCs w:val="22"/>
        </w:rPr>
        <w:t xml:space="preserve">assumed to occur July 1 of even years. </w:t>
      </w:r>
      <w:r w:rsidR="00623317">
        <w:rPr>
          <w:sz w:val="22"/>
          <w:szCs w:val="22"/>
        </w:rPr>
        <w:t>See text for further details</w:t>
      </w:r>
      <w:r w:rsidR="0031464F">
        <w:rPr>
          <w:sz w:val="22"/>
          <w:szCs w:val="22"/>
        </w:rPr>
        <w:t>.</w:t>
      </w:r>
    </w:p>
    <w:sectPr w:rsidR="008578CF" w:rsidSect="0031464F">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17" w:rsidRDefault="00E13B17" w:rsidP="00611532">
      <w:pPr>
        <w:spacing w:after="0"/>
      </w:pPr>
      <w:r>
        <w:separator/>
      </w:r>
    </w:p>
  </w:endnote>
  <w:endnote w:type="continuationSeparator" w:id="0">
    <w:p w:rsidR="00E13B17" w:rsidRDefault="00E13B17" w:rsidP="006115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3626"/>
      <w:docPartObj>
        <w:docPartGallery w:val="Page Numbers (Bottom of Page)"/>
        <w:docPartUnique/>
      </w:docPartObj>
    </w:sdtPr>
    <w:sdtContent>
      <w:p w:rsidR="00E13B17" w:rsidRDefault="00F47108">
        <w:pPr>
          <w:pStyle w:val="Footer"/>
          <w:jc w:val="center"/>
        </w:pPr>
        <w:fldSimple w:instr=" PAGE   \* MERGEFORMAT ">
          <w:r w:rsidR="00B6261D">
            <w:rPr>
              <w:noProof/>
            </w:rPr>
            <w:t>6</w:t>
          </w:r>
        </w:fldSimple>
      </w:p>
    </w:sdtContent>
  </w:sdt>
  <w:p w:rsidR="00E13B17" w:rsidRDefault="00E13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17" w:rsidRDefault="00E13B17" w:rsidP="00611532">
      <w:pPr>
        <w:spacing w:after="0"/>
      </w:pPr>
      <w:r>
        <w:separator/>
      </w:r>
    </w:p>
  </w:footnote>
  <w:footnote w:type="continuationSeparator" w:id="0">
    <w:p w:rsidR="00E13B17" w:rsidRDefault="00E13B17" w:rsidP="00611532">
      <w:pPr>
        <w:spacing w:after="0"/>
      </w:pPr>
      <w:r>
        <w:continuationSeparator/>
      </w:r>
    </w:p>
  </w:footnote>
  <w:footnote w:id="1">
    <w:p w:rsidR="00E13B17" w:rsidRDefault="00E13B17" w:rsidP="002C5655">
      <w:pPr>
        <w:pStyle w:val="FootnoteText"/>
      </w:pPr>
      <w:r>
        <w:rPr>
          <w:rStyle w:val="FootnoteReference"/>
        </w:rPr>
        <w:footnoteRef/>
      </w:r>
      <w:r>
        <w:t xml:space="preserve"> </w:t>
      </w:r>
      <w:r>
        <w:rPr>
          <w:sz w:val="22"/>
          <w:szCs w:val="22"/>
        </w:rPr>
        <w:t xml:space="preserve">A site was considered </w:t>
      </w:r>
      <w:proofErr w:type="spellStart"/>
      <w:r>
        <w:rPr>
          <w:sz w:val="22"/>
          <w:szCs w:val="22"/>
        </w:rPr>
        <w:t>trawlable</w:t>
      </w:r>
      <w:proofErr w:type="spellEnd"/>
      <w:r>
        <w:rPr>
          <w:sz w:val="22"/>
          <w:szCs w:val="22"/>
        </w:rPr>
        <w:t xml:space="preserve"> “when the depth changed less than 50 m over the 2-nmi transect and there were no detectable obstacles in the trawl path.” (Hoff and Britt 2011, p.4)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9AC"/>
    <w:multiLevelType w:val="hybridMultilevel"/>
    <w:tmpl w:val="609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3E67"/>
    <w:multiLevelType w:val="hybridMultilevel"/>
    <w:tmpl w:val="76D68D8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4DFE4CCE"/>
    <w:multiLevelType w:val="hybridMultilevel"/>
    <w:tmpl w:val="900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B19B5"/>
    <w:multiLevelType w:val="hybridMultilevel"/>
    <w:tmpl w:val="B74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35B5A"/>
    <w:multiLevelType w:val="hybridMultilevel"/>
    <w:tmpl w:val="CA2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54CD6"/>
    <w:multiLevelType w:val="hybridMultilevel"/>
    <w:tmpl w:val="F412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2643F"/>
    <w:rsid w:val="00003C8A"/>
    <w:rsid w:val="000068DB"/>
    <w:rsid w:val="0001492A"/>
    <w:rsid w:val="00014BEA"/>
    <w:rsid w:val="000232B9"/>
    <w:rsid w:val="00031809"/>
    <w:rsid w:val="000369A3"/>
    <w:rsid w:val="00050DFF"/>
    <w:rsid w:val="00053BC7"/>
    <w:rsid w:val="00064EC2"/>
    <w:rsid w:val="00067BC9"/>
    <w:rsid w:val="000705AC"/>
    <w:rsid w:val="00072704"/>
    <w:rsid w:val="000757DE"/>
    <w:rsid w:val="000808E6"/>
    <w:rsid w:val="00081C64"/>
    <w:rsid w:val="0008526B"/>
    <w:rsid w:val="00086A31"/>
    <w:rsid w:val="00093464"/>
    <w:rsid w:val="000A4C49"/>
    <w:rsid w:val="000B42DD"/>
    <w:rsid w:val="000C3613"/>
    <w:rsid w:val="000F2C06"/>
    <w:rsid w:val="000F3AEE"/>
    <w:rsid w:val="0010506F"/>
    <w:rsid w:val="00115AB5"/>
    <w:rsid w:val="001166C7"/>
    <w:rsid w:val="00125099"/>
    <w:rsid w:val="00126E97"/>
    <w:rsid w:val="0015193B"/>
    <w:rsid w:val="00154116"/>
    <w:rsid w:val="0015513B"/>
    <w:rsid w:val="00155B63"/>
    <w:rsid w:val="0016424C"/>
    <w:rsid w:val="00166C15"/>
    <w:rsid w:val="00174E85"/>
    <w:rsid w:val="001778EC"/>
    <w:rsid w:val="001820D1"/>
    <w:rsid w:val="00182CCB"/>
    <w:rsid w:val="001916EC"/>
    <w:rsid w:val="0019277C"/>
    <w:rsid w:val="00192FB7"/>
    <w:rsid w:val="0019392B"/>
    <w:rsid w:val="001A714B"/>
    <w:rsid w:val="001A79B7"/>
    <w:rsid w:val="001B5D68"/>
    <w:rsid w:val="001C5896"/>
    <w:rsid w:val="001E078A"/>
    <w:rsid w:val="001E1CA1"/>
    <w:rsid w:val="001E5627"/>
    <w:rsid w:val="00232E54"/>
    <w:rsid w:val="0023554E"/>
    <w:rsid w:val="002379EC"/>
    <w:rsid w:val="0024137C"/>
    <w:rsid w:val="002437EC"/>
    <w:rsid w:val="00244BE8"/>
    <w:rsid w:val="00255469"/>
    <w:rsid w:val="0028788C"/>
    <w:rsid w:val="00294EA3"/>
    <w:rsid w:val="002A114E"/>
    <w:rsid w:val="002B23FE"/>
    <w:rsid w:val="002C0FCE"/>
    <w:rsid w:val="002C34E1"/>
    <w:rsid w:val="002C5655"/>
    <w:rsid w:val="002C595C"/>
    <w:rsid w:val="002D223C"/>
    <w:rsid w:val="002D5203"/>
    <w:rsid w:val="002D5DA5"/>
    <w:rsid w:val="002E1BD3"/>
    <w:rsid w:val="002E4C9D"/>
    <w:rsid w:val="002F2D27"/>
    <w:rsid w:val="0031464F"/>
    <w:rsid w:val="0032285B"/>
    <w:rsid w:val="0032643F"/>
    <w:rsid w:val="003312A0"/>
    <w:rsid w:val="00331366"/>
    <w:rsid w:val="00340C22"/>
    <w:rsid w:val="0034273C"/>
    <w:rsid w:val="00351559"/>
    <w:rsid w:val="00355F03"/>
    <w:rsid w:val="003703FE"/>
    <w:rsid w:val="0037484A"/>
    <w:rsid w:val="00374DC4"/>
    <w:rsid w:val="003924E8"/>
    <w:rsid w:val="003A414F"/>
    <w:rsid w:val="003B1853"/>
    <w:rsid w:val="003B7CBD"/>
    <w:rsid w:val="003C5259"/>
    <w:rsid w:val="003C5FA2"/>
    <w:rsid w:val="003D338F"/>
    <w:rsid w:val="003D33E0"/>
    <w:rsid w:val="003D673F"/>
    <w:rsid w:val="003E2D35"/>
    <w:rsid w:val="003E5DE9"/>
    <w:rsid w:val="003F2489"/>
    <w:rsid w:val="003F2E2A"/>
    <w:rsid w:val="00400EB7"/>
    <w:rsid w:val="00404887"/>
    <w:rsid w:val="004079B2"/>
    <w:rsid w:val="00410950"/>
    <w:rsid w:val="004267D9"/>
    <w:rsid w:val="004338F7"/>
    <w:rsid w:val="00436463"/>
    <w:rsid w:val="00440AC9"/>
    <w:rsid w:val="00447945"/>
    <w:rsid w:val="00450F32"/>
    <w:rsid w:val="0046451F"/>
    <w:rsid w:val="004673AF"/>
    <w:rsid w:val="00467732"/>
    <w:rsid w:val="00472E3B"/>
    <w:rsid w:val="00480447"/>
    <w:rsid w:val="00482B14"/>
    <w:rsid w:val="00497E24"/>
    <w:rsid w:val="004A2124"/>
    <w:rsid w:val="004A7B6E"/>
    <w:rsid w:val="004B21EF"/>
    <w:rsid w:val="004B48A5"/>
    <w:rsid w:val="004B6CC6"/>
    <w:rsid w:val="004B6D2B"/>
    <w:rsid w:val="004C28AC"/>
    <w:rsid w:val="004C42CD"/>
    <w:rsid w:val="004D03DD"/>
    <w:rsid w:val="004E447E"/>
    <w:rsid w:val="004E5E9E"/>
    <w:rsid w:val="00507FE0"/>
    <w:rsid w:val="005108CD"/>
    <w:rsid w:val="0051420F"/>
    <w:rsid w:val="00515393"/>
    <w:rsid w:val="0052405D"/>
    <w:rsid w:val="00537873"/>
    <w:rsid w:val="00543A51"/>
    <w:rsid w:val="00550DFE"/>
    <w:rsid w:val="005531D3"/>
    <w:rsid w:val="00555A8C"/>
    <w:rsid w:val="005626B9"/>
    <w:rsid w:val="0057775E"/>
    <w:rsid w:val="00580641"/>
    <w:rsid w:val="00584BFD"/>
    <w:rsid w:val="00587BCC"/>
    <w:rsid w:val="00590692"/>
    <w:rsid w:val="005A0270"/>
    <w:rsid w:val="005B69CD"/>
    <w:rsid w:val="005D09F9"/>
    <w:rsid w:val="005D182A"/>
    <w:rsid w:val="005D6D0D"/>
    <w:rsid w:val="005E539D"/>
    <w:rsid w:val="005F02CF"/>
    <w:rsid w:val="005F07AF"/>
    <w:rsid w:val="005F094A"/>
    <w:rsid w:val="00611532"/>
    <w:rsid w:val="00622B6D"/>
    <w:rsid w:val="00623317"/>
    <w:rsid w:val="0062753B"/>
    <w:rsid w:val="00627C03"/>
    <w:rsid w:val="006340F7"/>
    <w:rsid w:val="00636EE4"/>
    <w:rsid w:val="00640752"/>
    <w:rsid w:val="00642509"/>
    <w:rsid w:val="00644919"/>
    <w:rsid w:val="006513AD"/>
    <w:rsid w:val="0065520A"/>
    <w:rsid w:val="006675B2"/>
    <w:rsid w:val="006727A7"/>
    <w:rsid w:val="0068345F"/>
    <w:rsid w:val="006A1471"/>
    <w:rsid w:val="006A44F3"/>
    <w:rsid w:val="006A5AE5"/>
    <w:rsid w:val="006C2023"/>
    <w:rsid w:val="006C5F6D"/>
    <w:rsid w:val="006D03BB"/>
    <w:rsid w:val="006E1059"/>
    <w:rsid w:val="006E1AD2"/>
    <w:rsid w:val="006F2323"/>
    <w:rsid w:val="006F74B6"/>
    <w:rsid w:val="00700678"/>
    <w:rsid w:val="00705E9D"/>
    <w:rsid w:val="007102A0"/>
    <w:rsid w:val="007212A2"/>
    <w:rsid w:val="00736FA1"/>
    <w:rsid w:val="007549B1"/>
    <w:rsid w:val="007665F4"/>
    <w:rsid w:val="007808E0"/>
    <w:rsid w:val="00782D74"/>
    <w:rsid w:val="00785B9B"/>
    <w:rsid w:val="007928E3"/>
    <w:rsid w:val="007A3AEA"/>
    <w:rsid w:val="007A799F"/>
    <w:rsid w:val="007C5E1A"/>
    <w:rsid w:val="007D679D"/>
    <w:rsid w:val="007E1F3D"/>
    <w:rsid w:val="00803EC2"/>
    <w:rsid w:val="00832707"/>
    <w:rsid w:val="00852CEB"/>
    <w:rsid w:val="008532FB"/>
    <w:rsid w:val="0085382E"/>
    <w:rsid w:val="008578CF"/>
    <w:rsid w:val="008613FF"/>
    <w:rsid w:val="008620C5"/>
    <w:rsid w:val="008636AF"/>
    <w:rsid w:val="00870DA4"/>
    <w:rsid w:val="00876D8F"/>
    <w:rsid w:val="008773F2"/>
    <w:rsid w:val="008828B1"/>
    <w:rsid w:val="008A1FE2"/>
    <w:rsid w:val="008A203A"/>
    <w:rsid w:val="008B293A"/>
    <w:rsid w:val="008B6F7B"/>
    <w:rsid w:val="008C017E"/>
    <w:rsid w:val="008C4F60"/>
    <w:rsid w:val="008C7808"/>
    <w:rsid w:val="008E4511"/>
    <w:rsid w:val="008F3748"/>
    <w:rsid w:val="008F5967"/>
    <w:rsid w:val="008F6049"/>
    <w:rsid w:val="009010F1"/>
    <w:rsid w:val="00932ECC"/>
    <w:rsid w:val="00940A65"/>
    <w:rsid w:val="0095586B"/>
    <w:rsid w:val="00973D30"/>
    <w:rsid w:val="00974CB6"/>
    <w:rsid w:val="0098672B"/>
    <w:rsid w:val="00987514"/>
    <w:rsid w:val="00990228"/>
    <w:rsid w:val="00990A76"/>
    <w:rsid w:val="009913E7"/>
    <w:rsid w:val="00991764"/>
    <w:rsid w:val="00992AE7"/>
    <w:rsid w:val="009A553B"/>
    <w:rsid w:val="009D1D22"/>
    <w:rsid w:val="009D367C"/>
    <w:rsid w:val="009E6072"/>
    <w:rsid w:val="009F3553"/>
    <w:rsid w:val="009F4746"/>
    <w:rsid w:val="009F6F00"/>
    <w:rsid w:val="00A34093"/>
    <w:rsid w:val="00A45EC6"/>
    <w:rsid w:val="00A47196"/>
    <w:rsid w:val="00A70337"/>
    <w:rsid w:val="00A721E6"/>
    <w:rsid w:val="00A7558C"/>
    <w:rsid w:val="00A852DB"/>
    <w:rsid w:val="00A87D21"/>
    <w:rsid w:val="00A90C90"/>
    <w:rsid w:val="00A976DD"/>
    <w:rsid w:val="00AA2B3F"/>
    <w:rsid w:val="00AA3178"/>
    <w:rsid w:val="00AA52D4"/>
    <w:rsid w:val="00AA6851"/>
    <w:rsid w:val="00AB2C4B"/>
    <w:rsid w:val="00AB2DC5"/>
    <w:rsid w:val="00AB4E1B"/>
    <w:rsid w:val="00AB74C3"/>
    <w:rsid w:val="00AC5D38"/>
    <w:rsid w:val="00AF1121"/>
    <w:rsid w:val="00AF26BF"/>
    <w:rsid w:val="00B00EEB"/>
    <w:rsid w:val="00B14CC3"/>
    <w:rsid w:val="00B2459E"/>
    <w:rsid w:val="00B26CD4"/>
    <w:rsid w:val="00B34870"/>
    <w:rsid w:val="00B46E30"/>
    <w:rsid w:val="00B6261D"/>
    <w:rsid w:val="00B645D3"/>
    <w:rsid w:val="00B64C8B"/>
    <w:rsid w:val="00B75189"/>
    <w:rsid w:val="00B8325D"/>
    <w:rsid w:val="00B911C4"/>
    <w:rsid w:val="00B9703A"/>
    <w:rsid w:val="00BB06FC"/>
    <w:rsid w:val="00BC365F"/>
    <w:rsid w:val="00BD0866"/>
    <w:rsid w:val="00BE10E4"/>
    <w:rsid w:val="00BE1AAC"/>
    <w:rsid w:val="00BE6694"/>
    <w:rsid w:val="00BF7559"/>
    <w:rsid w:val="00C01E2D"/>
    <w:rsid w:val="00C02437"/>
    <w:rsid w:val="00C04BA8"/>
    <w:rsid w:val="00C11B01"/>
    <w:rsid w:val="00C26EBA"/>
    <w:rsid w:val="00C27E1C"/>
    <w:rsid w:val="00C4123B"/>
    <w:rsid w:val="00C44468"/>
    <w:rsid w:val="00C47BFC"/>
    <w:rsid w:val="00C55DD5"/>
    <w:rsid w:val="00C57D28"/>
    <w:rsid w:val="00C6350E"/>
    <w:rsid w:val="00C6476A"/>
    <w:rsid w:val="00C66107"/>
    <w:rsid w:val="00C707CB"/>
    <w:rsid w:val="00C71127"/>
    <w:rsid w:val="00C71B46"/>
    <w:rsid w:val="00C814DF"/>
    <w:rsid w:val="00C81925"/>
    <w:rsid w:val="00C97AB6"/>
    <w:rsid w:val="00CA3EC2"/>
    <w:rsid w:val="00CB3539"/>
    <w:rsid w:val="00CC6247"/>
    <w:rsid w:val="00CD0B07"/>
    <w:rsid w:val="00CE3300"/>
    <w:rsid w:val="00CE6ADE"/>
    <w:rsid w:val="00CE7777"/>
    <w:rsid w:val="00CF0B26"/>
    <w:rsid w:val="00D01B99"/>
    <w:rsid w:val="00D021AA"/>
    <w:rsid w:val="00D26F45"/>
    <w:rsid w:val="00D316A7"/>
    <w:rsid w:val="00D34757"/>
    <w:rsid w:val="00D34AB9"/>
    <w:rsid w:val="00D436EA"/>
    <w:rsid w:val="00D44C19"/>
    <w:rsid w:val="00D4588B"/>
    <w:rsid w:val="00D477CB"/>
    <w:rsid w:val="00D85B51"/>
    <w:rsid w:val="00D97194"/>
    <w:rsid w:val="00DB12DA"/>
    <w:rsid w:val="00DB3107"/>
    <w:rsid w:val="00DB3B46"/>
    <w:rsid w:val="00DB3E50"/>
    <w:rsid w:val="00DB63AC"/>
    <w:rsid w:val="00DD57DA"/>
    <w:rsid w:val="00DF5BB2"/>
    <w:rsid w:val="00E02923"/>
    <w:rsid w:val="00E13279"/>
    <w:rsid w:val="00E13B17"/>
    <w:rsid w:val="00E1799C"/>
    <w:rsid w:val="00E22C5E"/>
    <w:rsid w:val="00E22F2F"/>
    <w:rsid w:val="00E27685"/>
    <w:rsid w:val="00E3745A"/>
    <w:rsid w:val="00E37A89"/>
    <w:rsid w:val="00E41143"/>
    <w:rsid w:val="00E57B55"/>
    <w:rsid w:val="00E64520"/>
    <w:rsid w:val="00E64D73"/>
    <w:rsid w:val="00E751B2"/>
    <w:rsid w:val="00E77BC2"/>
    <w:rsid w:val="00E959DF"/>
    <w:rsid w:val="00E97454"/>
    <w:rsid w:val="00EC0B33"/>
    <w:rsid w:val="00EC4034"/>
    <w:rsid w:val="00EC4EEB"/>
    <w:rsid w:val="00EC5D8C"/>
    <w:rsid w:val="00EE4C62"/>
    <w:rsid w:val="00EE5E41"/>
    <w:rsid w:val="00EF06E5"/>
    <w:rsid w:val="00EF36F4"/>
    <w:rsid w:val="00EF55B9"/>
    <w:rsid w:val="00F13CD9"/>
    <w:rsid w:val="00F377AB"/>
    <w:rsid w:val="00F4067F"/>
    <w:rsid w:val="00F46308"/>
    <w:rsid w:val="00F47108"/>
    <w:rsid w:val="00F506C8"/>
    <w:rsid w:val="00F5533B"/>
    <w:rsid w:val="00F56041"/>
    <w:rsid w:val="00F570D3"/>
    <w:rsid w:val="00F60422"/>
    <w:rsid w:val="00F63F01"/>
    <w:rsid w:val="00F64C3A"/>
    <w:rsid w:val="00F745B2"/>
    <w:rsid w:val="00F950ED"/>
    <w:rsid w:val="00FB22AF"/>
    <w:rsid w:val="00FB78C2"/>
    <w:rsid w:val="00FC08D7"/>
    <w:rsid w:val="00FD07C9"/>
    <w:rsid w:val="00FD3BA8"/>
    <w:rsid w:val="00FD4A61"/>
    <w:rsid w:val="00FE6543"/>
    <w:rsid w:val="00FF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8">
      <o:colormenu v:ext="edit" strokecolor="none [3213]"/>
    </o:shapedefaults>
    <o:shapelayout v:ext="edit">
      <o:idmap v:ext="edit" data="1"/>
      <o:rules v:ext="edit">
        <o:r id="V:Rule27" type="connector" idref="#_x0000_s1030"/>
        <o:r id="V:Rule28" type="connector" idref="#_x0000_s1026"/>
        <o:r id="V:Rule29" type="connector" idref="#_x0000_s1039"/>
        <o:r id="V:Rule30" type="connector" idref="#_x0000_s1051"/>
        <o:r id="V:Rule31" type="connector" idref="#_x0000_s1037"/>
        <o:r id="V:Rule32" type="connector" idref="#_x0000_s1058"/>
        <o:r id="V:Rule33" type="connector" idref="#_x0000_s1033"/>
        <o:r id="V:Rule34" type="connector" idref="#_x0000_s1057"/>
        <o:r id="V:Rule35" type="connector" idref="#_x0000_s1062"/>
        <o:r id="V:Rule36" type="connector" idref="#_x0000_s1066"/>
        <o:r id="V:Rule37" type="connector" idref="#_x0000_s1041"/>
        <o:r id="V:Rule38" type="connector" idref="#_x0000_s1063"/>
        <o:r id="V:Rule39" type="connector" idref="#_x0000_s1040"/>
        <o:r id="V:Rule40" type="connector" idref="#_x0000_s1034"/>
        <o:r id="V:Rule41" type="connector" idref="#_x0000_s1065"/>
        <o:r id="V:Rule42" type="connector" idref="#_x0000_s1067"/>
        <o:r id="V:Rule43" type="connector" idref="#_x0000_s1060"/>
        <o:r id="V:Rule44" type="connector" idref="#_x0000_s1056"/>
        <o:r id="V:Rule45" type="connector" idref="#_x0000_s1029"/>
        <o:r id="V:Rule46" type="connector" idref="#_x0000_s1028"/>
        <o:r id="V:Rule47" type="connector" idref="#_x0000_s1064"/>
        <o:r id="V:Rule48" type="connector" idref="#_x0000_s1036"/>
        <o:r id="V:Rule49" type="connector" idref="#_x0000_s1027"/>
        <o:r id="V:Rule50" type="connector" idref="#_x0000_s1035"/>
        <o:r id="V:Rule51" type="connector" idref="#_x0000_s1031"/>
        <o:r id="V:Rule5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A5"/>
    <w:pPr>
      <w:spacing w:after="120"/>
    </w:pPr>
    <w:rPr>
      <w:sz w:val="24"/>
      <w:szCs w:val="24"/>
    </w:rPr>
  </w:style>
  <w:style w:type="paragraph" w:styleId="Heading1">
    <w:name w:val="heading 1"/>
    <w:basedOn w:val="Normal"/>
    <w:next w:val="Normal"/>
    <w:link w:val="Heading1Char"/>
    <w:qFormat/>
    <w:rsid w:val="004B48A5"/>
    <w:pPr>
      <w:keepNext/>
      <w:keepLines/>
      <w:suppressAutoHyphens/>
      <w:spacing w:before="120"/>
      <w:ind w:left="288" w:right="288"/>
      <w:jc w:val="center"/>
      <w:outlineLvl w:val="0"/>
    </w:pPr>
    <w:rPr>
      <w:rFonts w:ascii="Times New Roman Bold" w:eastAsia="Times New Roman" w:hAnsi="Times New Roman Bold"/>
      <w:b/>
      <w:caps/>
      <w:sz w:val="32"/>
      <w:szCs w:val="20"/>
    </w:rPr>
  </w:style>
  <w:style w:type="paragraph" w:styleId="Heading2">
    <w:name w:val="heading 2"/>
    <w:basedOn w:val="Normal"/>
    <w:next w:val="Normal"/>
    <w:link w:val="Heading2Char"/>
    <w:qFormat/>
    <w:rsid w:val="004B48A5"/>
    <w:pPr>
      <w:keepNext/>
      <w:suppressAutoHyphens/>
      <w:spacing w:before="120"/>
      <w:jc w:val="left"/>
      <w:outlineLvl w:val="1"/>
    </w:pPr>
    <w:rPr>
      <w:rFonts w:ascii="Times New Roman Bold" w:eastAsia="Times New Roman" w:hAnsi="Times New Roman Bold"/>
      <w:b/>
      <w:smallCaps/>
      <w:sz w:val="30"/>
      <w:szCs w:val="20"/>
    </w:rPr>
  </w:style>
  <w:style w:type="paragraph" w:styleId="Heading3">
    <w:name w:val="heading 3"/>
    <w:basedOn w:val="Normal"/>
    <w:next w:val="Normal"/>
    <w:link w:val="Heading3Char"/>
    <w:qFormat/>
    <w:rsid w:val="004B48A5"/>
    <w:pPr>
      <w:keepNext/>
      <w:suppressAutoHyphens/>
      <w:jc w:val="left"/>
      <w:outlineLvl w:val="2"/>
    </w:pPr>
    <w:rPr>
      <w:rFonts w:eastAsia="Times New Roman"/>
      <w:b/>
      <w:sz w:val="26"/>
      <w:szCs w:val="20"/>
    </w:rPr>
  </w:style>
  <w:style w:type="paragraph" w:styleId="Heading4">
    <w:name w:val="heading 4"/>
    <w:basedOn w:val="Normal"/>
    <w:next w:val="Normal"/>
    <w:link w:val="Heading4Char"/>
    <w:qFormat/>
    <w:rsid w:val="004B48A5"/>
    <w:pPr>
      <w:keepNext/>
      <w:jc w:val="center"/>
      <w:outlineLvl w:val="3"/>
    </w:pPr>
    <w:rPr>
      <w:rFonts w:ascii="Times New Roman Bold" w:eastAsia="Times New Roman" w:hAnsi="Times New Roman Bold"/>
      <w:b/>
      <w:bCs/>
      <w:i/>
      <w:szCs w:val="28"/>
    </w:rPr>
  </w:style>
  <w:style w:type="paragraph" w:styleId="Heading5">
    <w:name w:val="heading 5"/>
    <w:basedOn w:val="Normal"/>
    <w:next w:val="Normal"/>
    <w:link w:val="Heading5Char"/>
    <w:autoRedefine/>
    <w:qFormat/>
    <w:rsid w:val="004B48A5"/>
    <w:pPr>
      <w:keepNext/>
      <w:spacing w:before="60"/>
      <w:outlineLvl w:val="4"/>
    </w:pPr>
    <w:rPr>
      <w:rFonts w:ascii="Times New Roman Bold" w:eastAsia="Times New Roman" w:hAnsi="Times New Roman Bold"/>
      <w:b/>
      <w:bCs/>
      <w:iCs/>
      <w:szCs w:val="26"/>
    </w:rPr>
  </w:style>
  <w:style w:type="paragraph" w:styleId="Heading6">
    <w:name w:val="heading 6"/>
    <w:basedOn w:val="Normal"/>
    <w:next w:val="Normal"/>
    <w:link w:val="Heading6Char"/>
    <w:qFormat/>
    <w:rsid w:val="004B48A5"/>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4B48A5"/>
    <w:pPr>
      <w:spacing w:before="240" w:after="60"/>
      <w:outlineLvl w:val="6"/>
    </w:pPr>
    <w:rPr>
      <w:rFonts w:eastAsia="Times New Roman"/>
    </w:rPr>
  </w:style>
  <w:style w:type="paragraph" w:styleId="Heading8">
    <w:name w:val="heading 8"/>
    <w:basedOn w:val="Normal"/>
    <w:next w:val="Normal"/>
    <w:link w:val="Heading8Char"/>
    <w:qFormat/>
    <w:rsid w:val="004B48A5"/>
    <w:pPr>
      <w:spacing w:before="240" w:after="60"/>
      <w:outlineLvl w:val="7"/>
    </w:pPr>
    <w:rPr>
      <w:rFonts w:eastAsia="Times New Roman"/>
      <w:i/>
      <w:iCs/>
    </w:rPr>
  </w:style>
  <w:style w:type="paragraph" w:styleId="Heading9">
    <w:name w:val="heading 9"/>
    <w:basedOn w:val="Normal"/>
    <w:next w:val="Normal"/>
    <w:link w:val="Heading9Char"/>
    <w:qFormat/>
    <w:rsid w:val="004B48A5"/>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8A5"/>
    <w:rPr>
      <w:rFonts w:ascii="Times New Roman Bold" w:eastAsia="Times New Roman" w:hAnsi="Times New Roman Bold"/>
      <w:b/>
      <w:caps/>
      <w:sz w:val="32"/>
    </w:rPr>
  </w:style>
  <w:style w:type="character" w:customStyle="1" w:styleId="Heading2Char">
    <w:name w:val="Heading 2 Char"/>
    <w:basedOn w:val="DefaultParagraphFont"/>
    <w:link w:val="Heading2"/>
    <w:rsid w:val="004B48A5"/>
    <w:rPr>
      <w:rFonts w:ascii="Times New Roman Bold" w:eastAsia="Times New Roman" w:hAnsi="Times New Roman Bold"/>
      <w:b/>
      <w:smallCaps/>
      <w:sz w:val="30"/>
    </w:rPr>
  </w:style>
  <w:style w:type="character" w:customStyle="1" w:styleId="Heading3Char">
    <w:name w:val="Heading 3 Char"/>
    <w:basedOn w:val="DefaultParagraphFont"/>
    <w:link w:val="Heading3"/>
    <w:rsid w:val="004B48A5"/>
    <w:rPr>
      <w:rFonts w:eastAsia="Times New Roman"/>
      <w:b/>
      <w:sz w:val="26"/>
    </w:rPr>
  </w:style>
  <w:style w:type="character" w:customStyle="1" w:styleId="Heading4Char">
    <w:name w:val="Heading 4 Char"/>
    <w:basedOn w:val="DefaultParagraphFont"/>
    <w:link w:val="Heading4"/>
    <w:rsid w:val="004B48A5"/>
    <w:rPr>
      <w:rFonts w:ascii="Times New Roman Bold" w:eastAsia="Times New Roman" w:hAnsi="Times New Roman Bold"/>
      <w:b/>
      <w:bCs/>
      <w:i/>
      <w:sz w:val="24"/>
      <w:szCs w:val="28"/>
    </w:rPr>
  </w:style>
  <w:style w:type="character" w:customStyle="1" w:styleId="Heading5Char">
    <w:name w:val="Heading 5 Char"/>
    <w:basedOn w:val="DefaultParagraphFont"/>
    <w:link w:val="Heading5"/>
    <w:rsid w:val="004B48A5"/>
    <w:rPr>
      <w:rFonts w:ascii="Times New Roman Bold" w:eastAsia="Times New Roman" w:hAnsi="Times New Roman Bold"/>
      <w:b/>
      <w:bCs/>
      <w:iCs/>
      <w:sz w:val="24"/>
      <w:szCs w:val="26"/>
    </w:rPr>
  </w:style>
  <w:style w:type="character" w:customStyle="1" w:styleId="Heading6Char">
    <w:name w:val="Heading 6 Char"/>
    <w:basedOn w:val="DefaultParagraphFont"/>
    <w:link w:val="Heading6"/>
    <w:rsid w:val="004B48A5"/>
    <w:rPr>
      <w:rFonts w:eastAsia="Times New Roman"/>
      <w:b/>
      <w:bCs/>
      <w:sz w:val="22"/>
      <w:szCs w:val="22"/>
    </w:rPr>
  </w:style>
  <w:style w:type="character" w:customStyle="1" w:styleId="Heading7Char">
    <w:name w:val="Heading 7 Char"/>
    <w:basedOn w:val="DefaultParagraphFont"/>
    <w:link w:val="Heading7"/>
    <w:rsid w:val="004B48A5"/>
    <w:rPr>
      <w:rFonts w:eastAsia="Times New Roman"/>
      <w:sz w:val="24"/>
      <w:szCs w:val="24"/>
    </w:rPr>
  </w:style>
  <w:style w:type="character" w:customStyle="1" w:styleId="Heading8Char">
    <w:name w:val="Heading 8 Char"/>
    <w:basedOn w:val="DefaultParagraphFont"/>
    <w:link w:val="Heading8"/>
    <w:rsid w:val="004B48A5"/>
    <w:rPr>
      <w:rFonts w:eastAsia="Times New Roman"/>
      <w:i/>
      <w:iCs/>
      <w:sz w:val="24"/>
      <w:szCs w:val="24"/>
    </w:rPr>
  </w:style>
  <w:style w:type="character" w:customStyle="1" w:styleId="Heading9Char">
    <w:name w:val="Heading 9 Char"/>
    <w:basedOn w:val="DefaultParagraphFont"/>
    <w:link w:val="Heading9"/>
    <w:rsid w:val="004B48A5"/>
    <w:rPr>
      <w:rFonts w:ascii="Arial" w:eastAsia="Times New Roman" w:hAnsi="Arial" w:cs="Arial"/>
      <w:sz w:val="22"/>
      <w:szCs w:val="22"/>
    </w:rPr>
  </w:style>
  <w:style w:type="paragraph" w:styleId="Caption">
    <w:name w:val="caption"/>
    <w:basedOn w:val="Normal"/>
    <w:next w:val="Normal"/>
    <w:link w:val="CaptionChar"/>
    <w:qFormat/>
    <w:rsid w:val="004B48A5"/>
    <w:pPr>
      <w:keepLines/>
      <w:tabs>
        <w:tab w:val="right" w:pos="9360"/>
      </w:tabs>
      <w:suppressAutoHyphens/>
      <w:ind w:firstLine="288"/>
    </w:pPr>
    <w:rPr>
      <w:rFonts w:eastAsia="Times New Roman"/>
      <w:sz w:val="22"/>
      <w:szCs w:val="20"/>
    </w:rPr>
  </w:style>
  <w:style w:type="character" w:customStyle="1" w:styleId="CaptionChar">
    <w:name w:val="Caption Char"/>
    <w:basedOn w:val="DefaultParagraphFont"/>
    <w:link w:val="Caption"/>
    <w:rsid w:val="004B48A5"/>
    <w:rPr>
      <w:rFonts w:eastAsia="Times New Roman"/>
      <w:sz w:val="22"/>
    </w:rPr>
  </w:style>
  <w:style w:type="paragraph" w:styleId="Title">
    <w:name w:val="Title"/>
    <w:basedOn w:val="Normal"/>
    <w:link w:val="TitleChar"/>
    <w:qFormat/>
    <w:rsid w:val="004B48A5"/>
    <w:pPr>
      <w:suppressAutoHyphens/>
      <w:jc w:val="center"/>
    </w:pPr>
    <w:rPr>
      <w:rFonts w:eastAsia="Times New Roman"/>
      <w:b/>
      <w:sz w:val="20"/>
      <w:szCs w:val="20"/>
    </w:rPr>
  </w:style>
  <w:style w:type="character" w:customStyle="1" w:styleId="TitleChar">
    <w:name w:val="Title Char"/>
    <w:basedOn w:val="DefaultParagraphFont"/>
    <w:link w:val="Title"/>
    <w:rsid w:val="004B48A5"/>
    <w:rPr>
      <w:rFonts w:eastAsia="Times New Roman"/>
      <w:b/>
    </w:rPr>
  </w:style>
  <w:style w:type="paragraph" w:styleId="BalloonText">
    <w:name w:val="Balloon Text"/>
    <w:basedOn w:val="Normal"/>
    <w:link w:val="BalloonTextChar"/>
    <w:uiPriority w:val="99"/>
    <w:semiHidden/>
    <w:unhideWhenUsed/>
    <w:rsid w:val="00CA3E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C2"/>
    <w:rPr>
      <w:rFonts w:ascii="Tahoma" w:hAnsi="Tahoma" w:cs="Tahoma"/>
      <w:sz w:val="16"/>
      <w:szCs w:val="16"/>
    </w:rPr>
  </w:style>
  <w:style w:type="character" w:styleId="PlaceholderText">
    <w:name w:val="Placeholder Text"/>
    <w:basedOn w:val="DefaultParagraphFont"/>
    <w:uiPriority w:val="99"/>
    <w:semiHidden/>
    <w:rsid w:val="006A44F3"/>
    <w:rPr>
      <w:color w:val="808080"/>
    </w:rPr>
  </w:style>
  <w:style w:type="character" w:styleId="Hyperlink">
    <w:name w:val="Hyperlink"/>
    <w:basedOn w:val="DefaultParagraphFont"/>
    <w:uiPriority w:val="99"/>
    <w:semiHidden/>
    <w:unhideWhenUsed/>
    <w:rsid w:val="00D021AA"/>
    <w:rPr>
      <w:color w:val="0000FF"/>
      <w:u w:val="single"/>
    </w:rPr>
  </w:style>
  <w:style w:type="paragraph" w:styleId="Header">
    <w:name w:val="header"/>
    <w:basedOn w:val="Normal"/>
    <w:link w:val="HeaderChar"/>
    <w:uiPriority w:val="99"/>
    <w:semiHidden/>
    <w:unhideWhenUsed/>
    <w:rsid w:val="00611532"/>
    <w:pPr>
      <w:tabs>
        <w:tab w:val="center" w:pos="4680"/>
        <w:tab w:val="right" w:pos="9360"/>
      </w:tabs>
      <w:spacing w:after="0"/>
    </w:pPr>
  </w:style>
  <w:style w:type="character" w:customStyle="1" w:styleId="HeaderChar">
    <w:name w:val="Header Char"/>
    <w:basedOn w:val="DefaultParagraphFont"/>
    <w:link w:val="Header"/>
    <w:uiPriority w:val="99"/>
    <w:semiHidden/>
    <w:rsid w:val="00611532"/>
    <w:rPr>
      <w:sz w:val="24"/>
      <w:szCs w:val="24"/>
    </w:rPr>
  </w:style>
  <w:style w:type="paragraph" w:styleId="Footer">
    <w:name w:val="footer"/>
    <w:basedOn w:val="Normal"/>
    <w:link w:val="FooterChar"/>
    <w:uiPriority w:val="99"/>
    <w:unhideWhenUsed/>
    <w:rsid w:val="00611532"/>
    <w:pPr>
      <w:tabs>
        <w:tab w:val="center" w:pos="4680"/>
        <w:tab w:val="right" w:pos="9360"/>
      </w:tabs>
      <w:spacing w:after="0"/>
    </w:pPr>
  </w:style>
  <w:style w:type="character" w:customStyle="1" w:styleId="FooterChar">
    <w:name w:val="Footer Char"/>
    <w:basedOn w:val="DefaultParagraphFont"/>
    <w:link w:val="Footer"/>
    <w:uiPriority w:val="99"/>
    <w:rsid w:val="00611532"/>
    <w:rPr>
      <w:sz w:val="24"/>
      <w:szCs w:val="24"/>
    </w:rPr>
  </w:style>
  <w:style w:type="paragraph" w:styleId="FootnoteText">
    <w:name w:val="footnote text"/>
    <w:basedOn w:val="Normal"/>
    <w:link w:val="FootnoteTextChar"/>
    <w:uiPriority w:val="99"/>
    <w:semiHidden/>
    <w:unhideWhenUsed/>
    <w:rsid w:val="00355F03"/>
    <w:pPr>
      <w:spacing w:after="0"/>
    </w:pPr>
    <w:rPr>
      <w:sz w:val="20"/>
      <w:szCs w:val="20"/>
    </w:rPr>
  </w:style>
  <w:style w:type="character" w:customStyle="1" w:styleId="FootnoteTextChar">
    <w:name w:val="Footnote Text Char"/>
    <w:basedOn w:val="DefaultParagraphFont"/>
    <w:link w:val="FootnoteText"/>
    <w:uiPriority w:val="99"/>
    <w:semiHidden/>
    <w:rsid w:val="00355F03"/>
  </w:style>
  <w:style w:type="character" w:styleId="FootnoteReference">
    <w:name w:val="footnote reference"/>
    <w:basedOn w:val="DefaultParagraphFont"/>
    <w:uiPriority w:val="99"/>
    <w:semiHidden/>
    <w:unhideWhenUsed/>
    <w:rsid w:val="00355F03"/>
    <w:rPr>
      <w:vertAlign w:val="superscript"/>
    </w:rPr>
  </w:style>
  <w:style w:type="paragraph" w:styleId="ListParagraph">
    <w:name w:val="List Paragraph"/>
    <w:basedOn w:val="Normal"/>
    <w:uiPriority w:val="34"/>
    <w:qFormat/>
    <w:rsid w:val="00404887"/>
    <w:pPr>
      <w:ind w:left="720"/>
      <w:contextualSpacing/>
    </w:pPr>
  </w:style>
  <w:style w:type="character" w:styleId="CommentReference">
    <w:name w:val="annotation reference"/>
    <w:basedOn w:val="DefaultParagraphFont"/>
    <w:uiPriority w:val="99"/>
    <w:semiHidden/>
    <w:unhideWhenUsed/>
    <w:rsid w:val="00255469"/>
    <w:rPr>
      <w:sz w:val="16"/>
      <w:szCs w:val="16"/>
    </w:rPr>
  </w:style>
  <w:style w:type="paragraph" w:styleId="CommentText">
    <w:name w:val="annotation text"/>
    <w:basedOn w:val="Normal"/>
    <w:link w:val="CommentTextChar"/>
    <w:uiPriority w:val="99"/>
    <w:semiHidden/>
    <w:unhideWhenUsed/>
    <w:rsid w:val="00255469"/>
    <w:rPr>
      <w:sz w:val="20"/>
      <w:szCs w:val="20"/>
    </w:rPr>
  </w:style>
  <w:style w:type="character" w:customStyle="1" w:styleId="CommentTextChar">
    <w:name w:val="Comment Text Char"/>
    <w:basedOn w:val="DefaultParagraphFont"/>
    <w:link w:val="CommentText"/>
    <w:uiPriority w:val="99"/>
    <w:semiHidden/>
    <w:rsid w:val="00255469"/>
  </w:style>
  <w:style w:type="paragraph" w:styleId="CommentSubject">
    <w:name w:val="annotation subject"/>
    <w:basedOn w:val="CommentText"/>
    <w:next w:val="CommentText"/>
    <w:link w:val="CommentSubjectChar"/>
    <w:uiPriority w:val="99"/>
    <w:semiHidden/>
    <w:unhideWhenUsed/>
    <w:rsid w:val="00255469"/>
    <w:rPr>
      <w:b/>
      <w:bCs/>
    </w:rPr>
  </w:style>
  <w:style w:type="character" w:customStyle="1" w:styleId="CommentSubjectChar">
    <w:name w:val="Comment Subject Char"/>
    <w:basedOn w:val="CommentTextChar"/>
    <w:link w:val="CommentSubject"/>
    <w:uiPriority w:val="99"/>
    <w:semiHidden/>
    <w:rsid w:val="00255469"/>
    <w:rPr>
      <w:b/>
      <w:bCs/>
    </w:rPr>
  </w:style>
  <w:style w:type="paragraph" w:styleId="Revision">
    <w:name w:val="Revision"/>
    <w:hidden/>
    <w:uiPriority w:val="99"/>
    <w:semiHidden/>
    <w:rsid w:val="00255469"/>
    <w:pPr>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52094133">
      <w:bodyDiv w:val="1"/>
      <w:marLeft w:val="0"/>
      <w:marRight w:val="0"/>
      <w:marTop w:val="0"/>
      <w:marBottom w:val="0"/>
      <w:divBdr>
        <w:top w:val="none" w:sz="0" w:space="0" w:color="auto"/>
        <w:left w:val="none" w:sz="0" w:space="0" w:color="auto"/>
        <w:bottom w:val="none" w:sz="0" w:space="0" w:color="auto"/>
        <w:right w:val="none" w:sz="0" w:space="0" w:color="auto"/>
      </w:divBdr>
    </w:div>
    <w:div w:id="737170687">
      <w:bodyDiv w:val="1"/>
      <w:marLeft w:val="0"/>
      <w:marRight w:val="0"/>
      <w:marTop w:val="0"/>
      <w:marBottom w:val="0"/>
      <w:divBdr>
        <w:top w:val="none" w:sz="0" w:space="0" w:color="auto"/>
        <w:left w:val="none" w:sz="0" w:space="0" w:color="auto"/>
        <w:bottom w:val="none" w:sz="0" w:space="0" w:color="auto"/>
        <w:right w:val="none" w:sz="0" w:space="0" w:color="auto"/>
      </w:divBdr>
    </w:div>
    <w:div w:id="989018507">
      <w:bodyDiv w:val="1"/>
      <w:marLeft w:val="0"/>
      <w:marRight w:val="0"/>
      <w:marTop w:val="0"/>
      <w:marBottom w:val="0"/>
      <w:divBdr>
        <w:top w:val="none" w:sz="0" w:space="0" w:color="auto"/>
        <w:left w:val="none" w:sz="0" w:space="0" w:color="auto"/>
        <w:bottom w:val="none" w:sz="0" w:space="0" w:color="auto"/>
        <w:right w:val="none" w:sz="0" w:space="0" w:color="auto"/>
      </w:divBdr>
    </w:div>
    <w:div w:id="1071925605">
      <w:bodyDiv w:val="1"/>
      <w:marLeft w:val="0"/>
      <w:marRight w:val="0"/>
      <w:marTop w:val="0"/>
      <w:marBottom w:val="0"/>
      <w:divBdr>
        <w:top w:val="none" w:sz="0" w:space="0" w:color="auto"/>
        <w:left w:val="none" w:sz="0" w:space="0" w:color="auto"/>
        <w:bottom w:val="none" w:sz="0" w:space="0" w:color="auto"/>
        <w:right w:val="none" w:sz="0" w:space="0" w:color="auto"/>
      </w:divBdr>
    </w:div>
    <w:div w:id="1210728414">
      <w:bodyDiv w:val="1"/>
      <w:marLeft w:val="0"/>
      <w:marRight w:val="0"/>
      <w:marTop w:val="0"/>
      <w:marBottom w:val="0"/>
      <w:divBdr>
        <w:top w:val="none" w:sz="0" w:space="0" w:color="auto"/>
        <w:left w:val="none" w:sz="0" w:space="0" w:color="auto"/>
        <w:bottom w:val="none" w:sz="0" w:space="0" w:color="auto"/>
        <w:right w:val="none" w:sz="0" w:space="0" w:color="auto"/>
      </w:divBdr>
    </w:div>
    <w:div w:id="1357658153">
      <w:bodyDiv w:val="1"/>
      <w:marLeft w:val="0"/>
      <w:marRight w:val="0"/>
      <w:marTop w:val="0"/>
      <w:marBottom w:val="0"/>
      <w:divBdr>
        <w:top w:val="none" w:sz="0" w:space="0" w:color="auto"/>
        <w:left w:val="none" w:sz="0" w:space="0" w:color="auto"/>
        <w:bottom w:val="none" w:sz="0" w:space="0" w:color="auto"/>
        <w:right w:val="none" w:sz="0" w:space="0" w:color="auto"/>
      </w:divBdr>
    </w:div>
    <w:div w:id="1568373604">
      <w:bodyDiv w:val="1"/>
      <w:marLeft w:val="0"/>
      <w:marRight w:val="0"/>
      <w:marTop w:val="0"/>
      <w:marBottom w:val="0"/>
      <w:divBdr>
        <w:top w:val="none" w:sz="0" w:space="0" w:color="auto"/>
        <w:left w:val="none" w:sz="0" w:space="0" w:color="auto"/>
        <w:bottom w:val="none" w:sz="0" w:space="0" w:color="auto"/>
        <w:right w:val="none" w:sz="0" w:space="0" w:color="auto"/>
      </w:divBdr>
    </w:div>
    <w:div w:id="1706248462">
      <w:bodyDiv w:val="1"/>
      <w:marLeft w:val="0"/>
      <w:marRight w:val="0"/>
      <w:marTop w:val="0"/>
      <w:marBottom w:val="0"/>
      <w:divBdr>
        <w:top w:val="none" w:sz="0" w:space="0" w:color="auto"/>
        <w:left w:val="none" w:sz="0" w:space="0" w:color="auto"/>
        <w:bottom w:val="none" w:sz="0" w:space="0" w:color="auto"/>
        <w:right w:val="none" w:sz="0" w:space="0" w:color="auto"/>
      </w:divBdr>
    </w:div>
    <w:div w:id="17414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E3260-FCB8-4620-9E9F-CE468282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ADF&amp;G</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53</cp:revision>
  <cp:lastPrinted>2013-04-09T19:16:00Z</cp:lastPrinted>
  <dcterms:created xsi:type="dcterms:W3CDTF">2013-04-08T17:36:00Z</dcterms:created>
  <dcterms:modified xsi:type="dcterms:W3CDTF">2013-04-18T18:29:00Z</dcterms:modified>
</cp:coreProperties>
</file>