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5.xml" ContentType="application/vnd.openxmlformats-officedocument.drawingml.chartshapes+xml"/>
  <Override PartName="/word/charts/chart14.xml" ContentType="application/vnd.openxmlformats-officedocument.drawingml.chart+xml"/>
  <Override PartName="/word/drawings/drawing6.xml" ContentType="application/vnd.openxmlformats-officedocument.drawingml.chartshapes+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7.xml" ContentType="application/vnd.openxmlformats-officedocument.drawingml.chartshapes+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F0D" w:rsidRPr="00770F75" w:rsidRDefault="00D50F0D" w:rsidP="00D50F0D">
      <w:pPr>
        <w:rPr>
          <w:sz w:val="28"/>
          <w:szCs w:val="28"/>
        </w:rPr>
      </w:pPr>
      <w:bookmarkStart w:id="0" w:name="_GoBack"/>
      <w:bookmarkEnd w:id="0"/>
      <w:r w:rsidRPr="00770F75">
        <w:rPr>
          <w:sz w:val="28"/>
          <w:szCs w:val="28"/>
        </w:rPr>
        <w:t>Aleutian Islands Golden King Crab (</w:t>
      </w:r>
      <w:r w:rsidRPr="00770F75">
        <w:rPr>
          <w:i/>
          <w:sz w:val="28"/>
          <w:szCs w:val="28"/>
        </w:rPr>
        <w:t>Lithodes aequispinus</w:t>
      </w:r>
      <w:r w:rsidRPr="00770F75">
        <w:rPr>
          <w:sz w:val="28"/>
          <w:szCs w:val="28"/>
        </w:rPr>
        <w:t xml:space="preserve">) Model-Based Stock Assessment  </w:t>
      </w:r>
    </w:p>
    <w:p w:rsidR="00BA71F0" w:rsidRDefault="00BA71F0" w:rsidP="00BA71F0">
      <w:pPr>
        <w:spacing w:line="360" w:lineRule="auto"/>
      </w:pPr>
    </w:p>
    <w:p w:rsidR="00BA71F0" w:rsidRPr="00770F75" w:rsidRDefault="00BA71F0" w:rsidP="00BA71F0">
      <w:pPr>
        <w:spacing w:line="360" w:lineRule="auto"/>
        <w:rPr>
          <w:sz w:val="24"/>
          <w:szCs w:val="24"/>
        </w:rPr>
      </w:pPr>
      <w:r w:rsidRPr="00770F75">
        <w:rPr>
          <w:sz w:val="24"/>
          <w:szCs w:val="24"/>
        </w:rPr>
        <w:t xml:space="preserve">For the May 2014 Crab Plan Team Meeting </w:t>
      </w:r>
    </w:p>
    <w:p w:rsidR="00D50F0D" w:rsidRDefault="00D50F0D" w:rsidP="00D50F0D">
      <w:pPr>
        <w:spacing w:line="360" w:lineRule="auto"/>
      </w:pPr>
    </w:p>
    <w:p w:rsidR="00D50F0D" w:rsidRPr="00770F75" w:rsidRDefault="00D50F0D" w:rsidP="00D50F0D">
      <w:pPr>
        <w:spacing w:line="360" w:lineRule="auto"/>
        <w:rPr>
          <w:sz w:val="24"/>
          <w:szCs w:val="24"/>
        </w:rPr>
      </w:pPr>
      <w:r w:rsidRPr="00770F75">
        <w:rPr>
          <w:sz w:val="24"/>
          <w:szCs w:val="24"/>
        </w:rPr>
        <w:t xml:space="preserve">Prepared by: </w:t>
      </w:r>
    </w:p>
    <w:p w:rsidR="00D50F0D" w:rsidRPr="001F083A" w:rsidRDefault="00D50F0D" w:rsidP="00D50F0D">
      <w:pPr>
        <w:spacing w:line="360" w:lineRule="auto"/>
        <w:jc w:val="both"/>
        <w:outlineLvl w:val="0"/>
      </w:pPr>
      <w:r w:rsidRPr="00770F75">
        <w:rPr>
          <w:sz w:val="24"/>
          <w:szCs w:val="24"/>
        </w:rPr>
        <w:t>M.S.M. Siddeek</w:t>
      </w:r>
      <w:r w:rsidRPr="00770F75">
        <w:rPr>
          <w:sz w:val="24"/>
          <w:szCs w:val="24"/>
          <w:vertAlign w:val="superscript"/>
        </w:rPr>
        <w:t>1</w:t>
      </w:r>
      <w:r w:rsidRPr="00770F75">
        <w:rPr>
          <w:sz w:val="24"/>
          <w:szCs w:val="24"/>
        </w:rPr>
        <w:t>, J. Zheng</w:t>
      </w:r>
      <w:r w:rsidRPr="00770F75">
        <w:rPr>
          <w:sz w:val="24"/>
          <w:szCs w:val="24"/>
          <w:vertAlign w:val="superscript"/>
        </w:rPr>
        <w:t>1</w:t>
      </w:r>
      <w:r w:rsidRPr="00770F75">
        <w:rPr>
          <w:sz w:val="24"/>
          <w:szCs w:val="24"/>
        </w:rPr>
        <w:t>, and D. Pengilly</w:t>
      </w:r>
      <w:r w:rsidRPr="00770F75">
        <w:rPr>
          <w:sz w:val="24"/>
          <w:szCs w:val="24"/>
          <w:vertAlign w:val="superscript"/>
        </w:rPr>
        <w:t>2</w:t>
      </w:r>
    </w:p>
    <w:p w:rsidR="00D50F0D" w:rsidRPr="00770F75" w:rsidRDefault="00D50F0D" w:rsidP="00770F75">
      <w:pPr>
        <w:pStyle w:val="NoSpacing"/>
        <w:ind w:left="180" w:hanging="180"/>
        <w:rPr>
          <w:sz w:val="18"/>
          <w:szCs w:val="18"/>
        </w:rPr>
      </w:pPr>
      <w:r w:rsidRPr="00770F75">
        <w:rPr>
          <w:sz w:val="18"/>
          <w:szCs w:val="18"/>
          <w:vertAlign w:val="superscript"/>
        </w:rPr>
        <w:t>1</w:t>
      </w:r>
      <w:r w:rsidRPr="00770F75">
        <w:rPr>
          <w:sz w:val="18"/>
          <w:szCs w:val="18"/>
        </w:rPr>
        <w:t xml:space="preserve"> </w:t>
      </w:r>
      <w:r w:rsidR="00BA71F0" w:rsidRPr="00770F75">
        <w:rPr>
          <w:sz w:val="18"/>
          <w:szCs w:val="18"/>
        </w:rPr>
        <w:t xml:space="preserve">Alaska Department of Fish and Game , </w:t>
      </w:r>
      <w:r w:rsidRPr="00770F75">
        <w:rPr>
          <w:sz w:val="18"/>
          <w:szCs w:val="18"/>
        </w:rPr>
        <w:t>Division of Commercial Fisheries</w:t>
      </w:r>
      <w:r w:rsidR="00BA71F0" w:rsidRPr="00770F75">
        <w:rPr>
          <w:sz w:val="18"/>
          <w:szCs w:val="18"/>
        </w:rPr>
        <w:t xml:space="preserve">, </w:t>
      </w:r>
      <w:r w:rsidRPr="00770F75">
        <w:rPr>
          <w:sz w:val="18"/>
          <w:szCs w:val="18"/>
        </w:rPr>
        <w:t>P.O. Box 115526, Juneau, Alaska 99811</w:t>
      </w:r>
    </w:p>
    <w:p w:rsidR="00D50F0D" w:rsidRDefault="00D50F0D" w:rsidP="00770F75">
      <w:pPr>
        <w:pStyle w:val="NoSpacing"/>
        <w:ind w:left="180" w:hanging="180"/>
      </w:pPr>
      <w:r w:rsidRPr="00770F75">
        <w:rPr>
          <w:sz w:val="18"/>
          <w:szCs w:val="18"/>
          <w:vertAlign w:val="superscript"/>
        </w:rPr>
        <w:t>2</w:t>
      </w:r>
      <w:r w:rsidRPr="00770F75">
        <w:rPr>
          <w:sz w:val="18"/>
          <w:szCs w:val="18"/>
        </w:rPr>
        <w:t xml:space="preserve"> </w:t>
      </w:r>
      <w:r w:rsidR="00BA71F0" w:rsidRPr="00770F75">
        <w:rPr>
          <w:sz w:val="18"/>
          <w:szCs w:val="18"/>
        </w:rPr>
        <w:t xml:space="preserve">Alaska Department of Fish and Game, </w:t>
      </w:r>
      <w:r w:rsidRPr="00770F75">
        <w:rPr>
          <w:sz w:val="18"/>
          <w:szCs w:val="18"/>
        </w:rPr>
        <w:t>Division of Commercial Fisheries</w:t>
      </w:r>
      <w:r w:rsidR="00BA71F0" w:rsidRPr="00770F75">
        <w:rPr>
          <w:sz w:val="18"/>
          <w:szCs w:val="18"/>
        </w:rPr>
        <w:t xml:space="preserve">, </w:t>
      </w:r>
      <w:r w:rsidR="00F610ED" w:rsidRPr="00770F75">
        <w:rPr>
          <w:sz w:val="18"/>
          <w:szCs w:val="18"/>
        </w:rPr>
        <w:t>351 Research Court, Kodiak, AK 99615</w:t>
      </w:r>
    </w:p>
    <w:p w:rsidR="00D50F0D" w:rsidRDefault="00D50F0D" w:rsidP="00770F75">
      <w:pPr>
        <w:pStyle w:val="Heading2"/>
        <w:keepLines/>
        <w:spacing w:before="200" w:after="0"/>
        <w:ind w:left="720" w:hanging="720"/>
        <w:jc w:val="both"/>
        <w:rPr>
          <w:szCs w:val="24"/>
        </w:rPr>
      </w:pPr>
      <w:r w:rsidRPr="00D50F0D">
        <w:rPr>
          <w:szCs w:val="24"/>
        </w:rPr>
        <w:t>Preamble</w:t>
      </w:r>
    </w:p>
    <w:p w:rsidR="00A91320" w:rsidRPr="00A91320" w:rsidRDefault="00A91320" w:rsidP="00770F75"/>
    <w:p w:rsidR="00D50F0D" w:rsidRPr="006F0B75" w:rsidRDefault="00D50F0D" w:rsidP="00770F75">
      <w:pPr>
        <w:pStyle w:val="GKC"/>
        <w:spacing w:line="276" w:lineRule="auto"/>
        <w:ind w:left="360"/>
      </w:pPr>
      <w:r w:rsidRPr="003B5CEC">
        <w:t>This document provides a model-based assessment of the Aleutian Islands east of 174</w:t>
      </w:r>
      <w:r w:rsidR="00974B7D" w:rsidRPr="007E6E5A">
        <w:t xml:space="preserve"> </w:t>
      </w:r>
      <w:r w:rsidRPr="006F0B75">
        <w:sym w:font="Symbol" w:char="F0B0"/>
      </w:r>
      <w:r w:rsidRPr="006F0B75">
        <w:t>W longitude (EAG) and west of 174</w:t>
      </w:r>
      <w:r w:rsidR="00974B7D" w:rsidRPr="006F0B75">
        <w:t xml:space="preserve"> </w:t>
      </w:r>
      <w:r w:rsidRPr="006F0B75">
        <w:sym w:font="Symbol" w:char="F0B0"/>
      </w:r>
      <w:r w:rsidRPr="006F0B75">
        <w:t>W (WAG) golden king crab stock segments. Data from an extended pot fishery (1985/86–201</w:t>
      </w:r>
      <w:r w:rsidR="00A97CB4">
        <w:t>2</w:t>
      </w:r>
      <w:r w:rsidRPr="006F0B75">
        <w:t>/1</w:t>
      </w:r>
      <w:r w:rsidR="00A97CB4">
        <w:t>3</w:t>
      </w:r>
      <w:r w:rsidRPr="006F0B75">
        <w:t>), observer sample (1990/91–201</w:t>
      </w:r>
      <w:r w:rsidR="00A97CB4">
        <w:t>2</w:t>
      </w:r>
      <w:r w:rsidRPr="006F0B75">
        <w:t>/1</w:t>
      </w:r>
      <w:r w:rsidR="00A97CB4">
        <w:t xml:space="preserve">3), </w:t>
      </w:r>
      <w:r w:rsidRPr="006F0B75">
        <w:t>and groundfish fishery bycatch (1995/96–201</w:t>
      </w:r>
      <w:r w:rsidR="00A97CB4">
        <w:t>2</w:t>
      </w:r>
      <w:r w:rsidRPr="006F0B75">
        <w:t>/1</w:t>
      </w:r>
      <w:r w:rsidR="00A97CB4">
        <w:t>3</w:t>
      </w:r>
      <w:r w:rsidRPr="006F0B75">
        <w:t xml:space="preserve">) were used to derive overfishing levels (OFL) and allowable biological catch (ABC) using a Tier 4 approach (NPFMC 2007). Standardized </w:t>
      </w:r>
      <w:r w:rsidR="00A97CB4">
        <w:t xml:space="preserve">legal size crab </w:t>
      </w:r>
      <w:r w:rsidRPr="006F0B75">
        <w:t xml:space="preserve">catch per unit effort (CPUE) indices </w:t>
      </w:r>
      <w:r w:rsidR="00A97CB4">
        <w:t xml:space="preserve">for the period 1995/96-2012/13 </w:t>
      </w:r>
      <w:r w:rsidRPr="006F0B75">
        <w:t>were used in the model fit. The model is yet to be approved.</w:t>
      </w:r>
    </w:p>
    <w:p w:rsidR="00D50F0D" w:rsidRPr="00D50F0D" w:rsidRDefault="00D50F0D" w:rsidP="00770F75">
      <w:pPr>
        <w:pStyle w:val="Heading2"/>
        <w:keepLines/>
        <w:spacing w:before="200" w:after="0"/>
        <w:ind w:left="720" w:hanging="720"/>
        <w:rPr>
          <w:szCs w:val="24"/>
        </w:rPr>
      </w:pPr>
      <w:r w:rsidRPr="00D50F0D">
        <w:rPr>
          <w:szCs w:val="24"/>
        </w:rPr>
        <w:t>Executive Summary</w:t>
      </w:r>
    </w:p>
    <w:p w:rsidR="00D50F0D" w:rsidRPr="00943D64" w:rsidRDefault="00D50F0D" w:rsidP="00ED1112">
      <w:pPr>
        <w:pStyle w:val="Heading2"/>
        <w:keepLines/>
        <w:numPr>
          <w:ilvl w:val="0"/>
          <w:numId w:val="13"/>
        </w:numPr>
        <w:spacing w:before="200" w:after="0"/>
        <w:rPr>
          <w:rFonts w:asciiTheme="majorHAnsi" w:eastAsiaTheme="majorEastAsia" w:hAnsiTheme="majorHAnsi" w:cstheme="majorBidi"/>
          <w:bCs/>
          <w:color w:val="000000" w:themeColor="text1"/>
          <w:sz w:val="24"/>
          <w:szCs w:val="26"/>
        </w:rPr>
      </w:pPr>
      <w:r w:rsidRPr="00943D64">
        <w:rPr>
          <w:rFonts w:asciiTheme="majorHAnsi" w:eastAsiaTheme="majorEastAsia" w:hAnsiTheme="majorHAnsi" w:cstheme="majorBidi"/>
          <w:bCs/>
          <w:color w:val="000000" w:themeColor="text1"/>
          <w:sz w:val="24"/>
          <w:szCs w:val="26"/>
        </w:rPr>
        <w:t>Stock</w:t>
      </w:r>
    </w:p>
    <w:p w:rsidR="00D50F0D" w:rsidRPr="00D24FDD" w:rsidRDefault="00D50F0D" w:rsidP="00770F75">
      <w:pPr>
        <w:pStyle w:val="GKC"/>
        <w:spacing w:line="276" w:lineRule="auto"/>
        <w:ind w:left="360"/>
        <w:rPr>
          <w:sz w:val="28"/>
          <w:szCs w:val="28"/>
        </w:rPr>
      </w:pPr>
      <w:r w:rsidRPr="00D24FDD">
        <w:t>Golden king crab,</w:t>
      </w:r>
      <w:r w:rsidRPr="00D24FDD">
        <w:rPr>
          <w:sz w:val="28"/>
          <w:szCs w:val="28"/>
        </w:rPr>
        <w:t xml:space="preserve"> </w:t>
      </w:r>
      <w:r w:rsidRPr="00D24FDD">
        <w:rPr>
          <w:i/>
        </w:rPr>
        <w:t>Lithodes aequispinus</w:t>
      </w:r>
      <w:r>
        <w:rPr>
          <w:i/>
        </w:rPr>
        <w:t>,</w:t>
      </w:r>
      <w:r>
        <w:t xml:space="preserve"> </w:t>
      </w:r>
      <w:r w:rsidRPr="00D24FDD">
        <w:t>east of 174</w:t>
      </w:r>
      <w:r>
        <w:t xml:space="preserve"> </w:t>
      </w:r>
      <w:r w:rsidRPr="00943D64">
        <w:t>°</w:t>
      </w:r>
      <w:r w:rsidRPr="00D24FDD">
        <w:rPr>
          <w:szCs w:val="22"/>
        </w:rPr>
        <w:t>W</w:t>
      </w:r>
      <w:r>
        <w:t xml:space="preserve"> longitude (EAG) and west of </w:t>
      </w:r>
      <w:r w:rsidRPr="00D24FDD">
        <w:t>174</w:t>
      </w:r>
      <w:r>
        <w:t xml:space="preserve"> </w:t>
      </w:r>
      <w:r w:rsidRPr="00D24FDD">
        <w:t>°</w:t>
      </w:r>
      <w:r w:rsidRPr="00D24FDD">
        <w:rPr>
          <w:szCs w:val="22"/>
        </w:rPr>
        <w:t>W</w:t>
      </w:r>
      <w:r>
        <w:t xml:space="preserve"> longitude (WAG).</w:t>
      </w:r>
    </w:p>
    <w:p w:rsidR="00D50F0D" w:rsidRPr="00943D64" w:rsidRDefault="00D50F0D" w:rsidP="00ED1112">
      <w:pPr>
        <w:pStyle w:val="Heading2"/>
        <w:keepLines/>
        <w:numPr>
          <w:ilvl w:val="0"/>
          <w:numId w:val="13"/>
        </w:numPr>
        <w:spacing w:before="200" w:after="0"/>
        <w:rPr>
          <w:rFonts w:asciiTheme="majorHAnsi" w:eastAsiaTheme="majorEastAsia" w:hAnsiTheme="majorHAnsi" w:cstheme="majorBidi"/>
          <w:bCs/>
          <w:color w:val="000000" w:themeColor="text1"/>
          <w:sz w:val="24"/>
          <w:szCs w:val="26"/>
        </w:rPr>
      </w:pPr>
      <w:r w:rsidRPr="00943D64">
        <w:rPr>
          <w:rFonts w:asciiTheme="majorHAnsi" w:eastAsiaTheme="majorEastAsia" w:hAnsiTheme="majorHAnsi" w:cstheme="majorBidi"/>
          <w:bCs/>
          <w:color w:val="000000" w:themeColor="text1"/>
          <w:sz w:val="24"/>
          <w:szCs w:val="26"/>
        </w:rPr>
        <w:t>Catches</w:t>
      </w:r>
    </w:p>
    <w:p w:rsidR="00D50F0D" w:rsidRDefault="00BA71F0" w:rsidP="00770F75">
      <w:pPr>
        <w:pStyle w:val="BodyText"/>
        <w:spacing w:line="276" w:lineRule="auto"/>
        <w:ind w:left="360"/>
        <w:jc w:val="both"/>
        <w:rPr>
          <w:sz w:val="24"/>
          <w:szCs w:val="24"/>
        </w:rPr>
      </w:pPr>
      <w:r>
        <w:rPr>
          <w:sz w:val="24"/>
          <w:szCs w:val="24"/>
        </w:rPr>
        <w:t xml:space="preserve">The </w:t>
      </w:r>
      <w:r w:rsidR="00D50F0D">
        <w:rPr>
          <w:sz w:val="24"/>
          <w:szCs w:val="24"/>
        </w:rPr>
        <w:t>Ale</w:t>
      </w:r>
      <w:r w:rsidR="00D50F0D" w:rsidRPr="001F083A">
        <w:rPr>
          <w:sz w:val="24"/>
          <w:szCs w:val="24"/>
        </w:rPr>
        <w:t xml:space="preserve">utian Islands golden king crab </w:t>
      </w:r>
      <w:r w:rsidR="00D50F0D">
        <w:rPr>
          <w:sz w:val="24"/>
          <w:szCs w:val="24"/>
        </w:rPr>
        <w:t xml:space="preserve">commercial fishery developed in the early 1980s; the harvest </w:t>
      </w:r>
      <w:r w:rsidR="00D50F0D" w:rsidRPr="006F0B75">
        <w:rPr>
          <w:rStyle w:val="GKCChar"/>
        </w:rPr>
        <w:t xml:space="preserve">peaked in 1986/87 </w:t>
      </w:r>
      <w:r>
        <w:rPr>
          <w:rStyle w:val="GKCChar"/>
        </w:rPr>
        <w:t xml:space="preserve">at </w:t>
      </w:r>
      <w:r w:rsidR="00D50F0D" w:rsidRPr="006F0B75">
        <w:rPr>
          <w:rStyle w:val="GKCChar"/>
        </w:rPr>
        <w:t>5.9 and 8.8 million pounds</w:t>
      </w:r>
      <w:r>
        <w:rPr>
          <w:rStyle w:val="GKCChar"/>
        </w:rPr>
        <w:t>, respectively,</w:t>
      </w:r>
      <w:r w:rsidR="00D50F0D" w:rsidRPr="006F0B75">
        <w:rPr>
          <w:rStyle w:val="GKCChar"/>
        </w:rPr>
        <w:t xml:space="preserve"> for EAG and WAG</w:t>
      </w:r>
      <w:r>
        <w:rPr>
          <w:rStyle w:val="GKCChar"/>
        </w:rPr>
        <w:t>.</w:t>
      </w:r>
      <w:r w:rsidR="00D50F0D" w:rsidRPr="006F0B75">
        <w:rPr>
          <w:rStyle w:val="GKCChar"/>
        </w:rPr>
        <w:t xml:space="preserve"> </w:t>
      </w:r>
      <w:r>
        <w:rPr>
          <w:rStyle w:val="GKCChar"/>
        </w:rPr>
        <w:t>Catches</w:t>
      </w:r>
      <w:r w:rsidRPr="006F0B75">
        <w:rPr>
          <w:rStyle w:val="GKCChar"/>
        </w:rPr>
        <w:t xml:space="preserve"> </w:t>
      </w:r>
      <w:r w:rsidR="00D50F0D" w:rsidRPr="006F0B75">
        <w:rPr>
          <w:rStyle w:val="GKCChar"/>
        </w:rPr>
        <w:t>ha</w:t>
      </w:r>
      <w:r>
        <w:rPr>
          <w:rStyle w:val="GKCChar"/>
        </w:rPr>
        <w:t>ve</w:t>
      </w:r>
      <w:r w:rsidR="00D50F0D" w:rsidRPr="006F0B75">
        <w:rPr>
          <w:rStyle w:val="GKCChar"/>
        </w:rPr>
        <w:t xml:space="preserve"> been steady since 1996/97 following implementation of total allowable catches (TACs) of 3.0</w:t>
      </w:r>
      <w:r>
        <w:rPr>
          <w:rStyle w:val="GKCChar"/>
        </w:rPr>
        <w:t xml:space="preserve"> (EAG)</w:t>
      </w:r>
      <w:r w:rsidR="00D50F0D" w:rsidRPr="006F0B75">
        <w:rPr>
          <w:rStyle w:val="GKCChar"/>
        </w:rPr>
        <w:t xml:space="preserve"> and 2.7</w:t>
      </w:r>
      <w:r>
        <w:rPr>
          <w:rStyle w:val="GKCChar"/>
        </w:rPr>
        <w:t xml:space="preserve"> (WAG)</w:t>
      </w:r>
      <w:r w:rsidR="00D50F0D" w:rsidRPr="006F0B75">
        <w:rPr>
          <w:rStyle w:val="GKCChar"/>
        </w:rPr>
        <w:t xml:space="preserve"> million pounds</w:t>
      </w:r>
      <w:r w:rsidR="0086200F">
        <w:rPr>
          <w:rStyle w:val="GKCChar"/>
        </w:rPr>
        <w:t>.</w:t>
      </w:r>
      <w:r w:rsidR="00D50F0D" w:rsidRPr="006F0B75">
        <w:rPr>
          <w:rStyle w:val="GKCChar"/>
        </w:rPr>
        <w:t xml:space="preserve"> The TACs were increased to 3.15 and 2.835 million pounds for the two respective</w:t>
      </w:r>
      <w:r w:rsidR="00D50F0D">
        <w:rPr>
          <w:sz w:val="24"/>
          <w:szCs w:val="24"/>
        </w:rPr>
        <w:t xml:space="preserve"> regions for the 2008/09 fishery following an Alaska Board of Fisheries (BOF) decision. These levels are below the limit TACs determined under Tier 5 criteria (considering 1991–1995 mean catch as the limit catch) under the new crab management plan.</w:t>
      </w:r>
      <w:r w:rsidR="00D50F0D" w:rsidRPr="005962A9" w:rsidDel="00D26BE8">
        <w:rPr>
          <w:sz w:val="24"/>
          <w:szCs w:val="24"/>
        </w:rPr>
        <w:t xml:space="preserve"> </w:t>
      </w:r>
      <w:r w:rsidR="00D50F0D" w:rsidRPr="005962A9">
        <w:rPr>
          <w:sz w:val="24"/>
          <w:szCs w:val="24"/>
        </w:rPr>
        <w:t xml:space="preserve">TACs were further increased </w:t>
      </w:r>
      <w:r w:rsidR="003266BA" w:rsidRPr="005962A9">
        <w:rPr>
          <w:sz w:val="24"/>
          <w:szCs w:val="24"/>
        </w:rPr>
        <w:t xml:space="preserve">by another BOF decision </w:t>
      </w:r>
      <w:r w:rsidR="00D50F0D" w:rsidRPr="005962A9">
        <w:rPr>
          <w:sz w:val="24"/>
          <w:szCs w:val="24"/>
        </w:rPr>
        <w:t xml:space="preserve">to </w:t>
      </w:r>
      <w:r w:rsidR="005962A9" w:rsidRPr="005962A9">
        <w:rPr>
          <w:sz w:val="24"/>
          <w:szCs w:val="24"/>
        </w:rPr>
        <w:t xml:space="preserve">3.31 million pounds for EAG </w:t>
      </w:r>
      <w:r w:rsidR="00D50F0D" w:rsidRPr="005962A9">
        <w:rPr>
          <w:sz w:val="24"/>
          <w:szCs w:val="24"/>
        </w:rPr>
        <w:t xml:space="preserve">and </w:t>
      </w:r>
      <w:r w:rsidR="005962A9" w:rsidRPr="005962A9">
        <w:rPr>
          <w:sz w:val="24"/>
          <w:szCs w:val="24"/>
        </w:rPr>
        <w:t>2.98 million pounds for WAG for the 2012/13</w:t>
      </w:r>
      <w:r w:rsidR="003266BA" w:rsidRPr="005962A9">
        <w:rPr>
          <w:sz w:val="24"/>
          <w:szCs w:val="24"/>
        </w:rPr>
        <w:t xml:space="preserve"> fishery</w:t>
      </w:r>
      <w:r w:rsidR="00D50F0D" w:rsidRPr="005962A9">
        <w:rPr>
          <w:sz w:val="24"/>
          <w:szCs w:val="24"/>
        </w:rPr>
        <w:t>.</w:t>
      </w:r>
      <w:r w:rsidR="00D50F0D">
        <w:rPr>
          <w:sz w:val="24"/>
          <w:szCs w:val="24"/>
        </w:rPr>
        <w:t xml:space="preserve"> The fishery has harvested close to TAC levels since 1996/97. </w:t>
      </w:r>
    </w:p>
    <w:p w:rsidR="00D50F0D" w:rsidRPr="00943D64" w:rsidRDefault="00D50F0D" w:rsidP="00ED1112">
      <w:pPr>
        <w:pStyle w:val="Heading2"/>
        <w:keepLines/>
        <w:numPr>
          <w:ilvl w:val="0"/>
          <w:numId w:val="13"/>
        </w:numPr>
        <w:spacing w:before="200" w:after="0"/>
        <w:rPr>
          <w:rFonts w:asciiTheme="majorHAnsi" w:eastAsiaTheme="majorEastAsia" w:hAnsiTheme="majorHAnsi" w:cstheme="majorBidi"/>
          <w:bCs/>
          <w:color w:val="000000" w:themeColor="text1"/>
          <w:sz w:val="24"/>
          <w:szCs w:val="26"/>
        </w:rPr>
      </w:pPr>
      <w:r w:rsidRPr="00943D64">
        <w:rPr>
          <w:rFonts w:asciiTheme="majorHAnsi" w:eastAsiaTheme="majorEastAsia" w:hAnsiTheme="majorHAnsi" w:cstheme="majorBidi"/>
          <w:bCs/>
          <w:color w:val="000000" w:themeColor="text1"/>
          <w:sz w:val="24"/>
          <w:szCs w:val="26"/>
        </w:rPr>
        <w:t>Stock biomass</w:t>
      </w:r>
    </w:p>
    <w:p w:rsidR="00D50F0D" w:rsidRDefault="00D50F0D" w:rsidP="00770F75">
      <w:pPr>
        <w:pStyle w:val="BodyText"/>
        <w:spacing w:line="276" w:lineRule="auto"/>
        <w:ind w:left="360"/>
        <w:jc w:val="both"/>
        <w:rPr>
          <w:sz w:val="24"/>
          <w:szCs w:val="24"/>
        </w:rPr>
      </w:pPr>
      <w:r>
        <w:rPr>
          <w:sz w:val="24"/>
          <w:szCs w:val="24"/>
        </w:rPr>
        <w:t xml:space="preserve">Estimated mature male biomass (MMB) has decreased </w:t>
      </w:r>
      <w:r w:rsidR="00DD6883">
        <w:rPr>
          <w:sz w:val="24"/>
          <w:szCs w:val="24"/>
        </w:rPr>
        <w:t>following peak levels during the early</w:t>
      </w:r>
      <w:r>
        <w:rPr>
          <w:sz w:val="24"/>
          <w:szCs w:val="24"/>
        </w:rPr>
        <w:t xml:space="preserve"> years</w:t>
      </w:r>
      <w:r w:rsidR="00DD6883">
        <w:rPr>
          <w:sz w:val="24"/>
          <w:szCs w:val="24"/>
        </w:rPr>
        <w:t xml:space="preserve"> of the directed fishery</w:t>
      </w:r>
      <w:r>
        <w:rPr>
          <w:sz w:val="24"/>
          <w:szCs w:val="24"/>
        </w:rPr>
        <w:t xml:space="preserve"> and then</w:t>
      </w:r>
      <w:r w:rsidR="00BE16D1">
        <w:rPr>
          <w:sz w:val="24"/>
          <w:szCs w:val="24"/>
        </w:rPr>
        <w:t xml:space="preserve"> </w:t>
      </w:r>
      <w:r>
        <w:rPr>
          <w:sz w:val="24"/>
          <w:szCs w:val="24"/>
        </w:rPr>
        <w:t>increased</w:t>
      </w:r>
      <w:r w:rsidR="00BE16D1">
        <w:rPr>
          <w:sz w:val="24"/>
          <w:szCs w:val="24"/>
        </w:rPr>
        <w:t xml:space="preserve"> and stabilized in recent years </w:t>
      </w:r>
      <w:r>
        <w:rPr>
          <w:sz w:val="24"/>
          <w:szCs w:val="24"/>
        </w:rPr>
        <w:t xml:space="preserve">for both EAG and WAG. </w:t>
      </w:r>
      <w:r w:rsidR="00CD4F08">
        <w:rPr>
          <w:sz w:val="24"/>
          <w:szCs w:val="24"/>
        </w:rPr>
        <w:t>There wa</w:t>
      </w:r>
      <w:r w:rsidR="00BE16D1">
        <w:rPr>
          <w:sz w:val="24"/>
          <w:szCs w:val="24"/>
        </w:rPr>
        <w:t>s a tendency to decrease</w:t>
      </w:r>
      <w:r w:rsidR="00CD4F08">
        <w:rPr>
          <w:sz w:val="24"/>
          <w:szCs w:val="24"/>
        </w:rPr>
        <w:t xml:space="preserve"> during the last two years especially in EAG. </w:t>
      </w:r>
      <w:r>
        <w:rPr>
          <w:sz w:val="24"/>
          <w:szCs w:val="24"/>
        </w:rPr>
        <w:lastRenderedPageBreak/>
        <w:t xml:space="preserve">The </w:t>
      </w:r>
      <w:r w:rsidR="00DD6883">
        <w:rPr>
          <w:sz w:val="24"/>
          <w:szCs w:val="24"/>
        </w:rPr>
        <w:t>lowest levels of MMB</w:t>
      </w:r>
      <w:r>
        <w:rPr>
          <w:sz w:val="24"/>
          <w:szCs w:val="24"/>
        </w:rPr>
        <w:t xml:space="preserve"> for EAG were </w:t>
      </w:r>
      <w:r w:rsidR="00DD6883">
        <w:rPr>
          <w:sz w:val="24"/>
          <w:szCs w:val="24"/>
        </w:rPr>
        <w:t>observed</w:t>
      </w:r>
      <w:r>
        <w:rPr>
          <w:sz w:val="24"/>
          <w:szCs w:val="24"/>
        </w:rPr>
        <w:t xml:space="preserve"> in</w:t>
      </w:r>
      <w:r w:rsidR="00DD6883">
        <w:rPr>
          <w:sz w:val="24"/>
          <w:szCs w:val="24"/>
        </w:rPr>
        <w:t xml:space="preserve"> </w:t>
      </w:r>
      <w:r w:rsidR="0086200F">
        <w:rPr>
          <w:sz w:val="24"/>
          <w:szCs w:val="24"/>
        </w:rPr>
        <w:t xml:space="preserve">1995 </w:t>
      </w:r>
      <w:r w:rsidR="00CD4F08">
        <w:rPr>
          <w:sz w:val="24"/>
          <w:szCs w:val="24"/>
        </w:rPr>
        <w:t>–</w:t>
      </w:r>
      <w:r w:rsidR="0086200F">
        <w:rPr>
          <w:sz w:val="24"/>
          <w:szCs w:val="24"/>
        </w:rPr>
        <w:t xml:space="preserve">1997 </w:t>
      </w:r>
      <w:r w:rsidR="00CD4F08">
        <w:rPr>
          <w:sz w:val="24"/>
          <w:szCs w:val="24"/>
        </w:rPr>
        <w:t xml:space="preserve">and </w:t>
      </w:r>
      <w:r>
        <w:rPr>
          <w:sz w:val="24"/>
          <w:szCs w:val="24"/>
        </w:rPr>
        <w:t xml:space="preserve">after which MMB systematically increased. The </w:t>
      </w:r>
      <w:r w:rsidR="00CD4F08">
        <w:rPr>
          <w:sz w:val="24"/>
          <w:szCs w:val="24"/>
        </w:rPr>
        <w:t xml:space="preserve">pattern was similar for WAG with the lowest </w:t>
      </w:r>
      <w:r w:rsidR="00AE1FEF">
        <w:rPr>
          <w:sz w:val="24"/>
          <w:szCs w:val="24"/>
        </w:rPr>
        <w:t xml:space="preserve">levels of </w:t>
      </w:r>
      <w:r w:rsidR="00CD4F08">
        <w:rPr>
          <w:sz w:val="24"/>
          <w:szCs w:val="24"/>
        </w:rPr>
        <w:t xml:space="preserve">MMB in </w:t>
      </w:r>
      <w:r w:rsidR="00AE1FEF">
        <w:rPr>
          <w:sz w:val="24"/>
          <w:szCs w:val="24"/>
        </w:rPr>
        <w:t>1991 –1992</w:t>
      </w:r>
      <w:r>
        <w:rPr>
          <w:sz w:val="24"/>
          <w:szCs w:val="24"/>
        </w:rPr>
        <w:t xml:space="preserve">.  Stock trends </w:t>
      </w:r>
      <w:r w:rsidR="00CD4F08">
        <w:rPr>
          <w:sz w:val="24"/>
          <w:szCs w:val="24"/>
        </w:rPr>
        <w:t>reflected the</w:t>
      </w:r>
      <w:r>
        <w:rPr>
          <w:sz w:val="24"/>
          <w:szCs w:val="24"/>
        </w:rPr>
        <w:t xml:space="preserve"> fishery </w:t>
      </w:r>
      <w:r w:rsidR="00CD4F08">
        <w:rPr>
          <w:sz w:val="24"/>
          <w:szCs w:val="24"/>
        </w:rPr>
        <w:t xml:space="preserve">standardized </w:t>
      </w:r>
      <w:r>
        <w:rPr>
          <w:sz w:val="24"/>
          <w:szCs w:val="24"/>
        </w:rPr>
        <w:t>CPUE trends in both regions.</w:t>
      </w:r>
    </w:p>
    <w:p w:rsidR="00D50F0D" w:rsidRPr="00943D64" w:rsidRDefault="00D50F0D" w:rsidP="00ED1112">
      <w:pPr>
        <w:pStyle w:val="Heading2"/>
        <w:keepLines/>
        <w:numPr>
          <w:ilvl w:val="0"/>
          <w:numId w:val="13"/>
        </w:numPr>
        <w:spacing w:before="200" w:after="0"/>
        <w:rPr>
          <w:rFonts w:asciiTheme="majorHAnsi" w:eastAsiaTheme="majorEastAsia" w:hAnsiTheme="majorHAnsi" w:cstheme="majorBidi"/>
          <w:bCs/>
          <w:color w:val="000000" w:themeColor="text1"/>
          <w:sz w:val="24"/>
          <w:szCs w:val="26"/>
        </w:rPr>
      </w:pPr>
      <w:r w:rsidRPr="00943D64">
        <w:rPr>
          <w:rFonts w:asciiTheme="majorHAnsi" w:eastAsiaTheme="majorEastAsia" w:hAnsiTheme="majorHAnsi" w:cstheme="majorBidi"/>
          <w:bCs/>
          <w:color w:val="000000" w:themeColor="text1"/>
          <w:sz w:val="24"/>
          <w:szCs w:val="26"/>
        </w:rPr>
        <w:t>Recruitment</w:t>
      </w:r>
    </w:p>
    <w:p w:rsidR="00D50F0D" w:rsidRDefault="00D50F0D" w:rsidP="00770F75">
      <w:pPr>
        <w:pStyle w:val="BodyText"/>
        <w:spacing w:line="276" w:lineRule="auto"/>
        <w:ind w:left="360"/>
        <w:jc w:val="both"/>
        <w:rPr>
          <w:sz w:val="24"/>
          <w:szCs w:val="24"/>
        </w:rPr>
      </w:pPr>
      <w:r>
        <w:rPr>
          <w:sz w:val="24"/>
          <w:szCs w:val="24"/>
        </w:rPr>
        <w:t>The number of recruits to the model size group has shown fluctuating trends</w:t>
      </w:r>
      <w:r w:rsidRPr="00EC0611">
        <w:rPr>
          <w:sz w:val="24"/>
          <w:szCs w:val="24"/>
        </w:rPr>
        <w:t xml:space="preserve"> </w:t>
      </w:r>
      <w:r>
        <w:rPr>
          <w:sz w:val="24"/>
          <w:szCs w:val="24"/>
        </w:rPr>
        <w:t xml:space="preserve">for both EAG and WAG. For EAG, model recruitment was highest in </w:t>
      </w:r>
      <w:r w:rsidR="007017A3">
        <w:rPr>
          <w:sz w:val="24"/>
          <w:szCs w:val="24"/>
        </w:rPr>
        <w:t xml:space="preserve">1991, and lowest in </w:t>
      </w:r>
      <w:r w:rsidR="006923CF">
        <w:rPr>
          <w:sz w:val="24"/>
          <w:szCs w:val="24"/>
        </w:rPr>
        <w:t xml:space="preserve">2011 </w:t>
      </w:r>
      <w:r>
        <w:rPr>
          <w:sz w:val="24"/>
          <w:szCs w:val="24"/>
        </w:rPr>
        <w:t>while for WAG, model</w:t>
      </w:r>
      <w:r w:rsidR="007017A3">
        <w:rPr>
          <w:sz w:val="24"/>
          <w:szCs w:val="24"/>
        </w:rPr>
        <w:t xml:space="preserve"> recruitment was highest in </w:t>
      </w:r>
      <w:r w:rsidR="006923CF">
        <w:rPr>
          <w:sz w:val="24"/>
          <w:szCs w:val="24"/>
        </w:rPr>
        <w:t xml:space="preserve">1986 </w:t>
      </w:r>
      <w:r w:rsidR="002D5A9F">
        <w:rPr>
          <w:sz w:val="24"/>
          <w:szCs w:val="24"/>
        </w:rPr>
        <w:t xml:space="preserve">and 1987 </w:t>
      </w:r>
      <w:r w:rsidR="0083342B">
        <w:rPr>
          <w:sz w:val="24"/>
          <w:szCs w:val="24"/>
        </w:rPr>
        <w:t xml:space="preserve">and lowest in </w:t>
      </w:r>
      <w:r w:rsidR="006923CF">
        <w:rPr>
          <w:sz w:val="24"/>
          <w:szCs w:val="24"/>
        </w:rPr>
        <w:t>1991 –1992</w:t>
      </w:r>
      <w:r w:rsidR="001B0384">
        <w:rPr>
          <w:sz w:val="24"/>
          <w:szCs w:val="24"/>
        </w:rPr>
        <w:t xml:space="preserve"> for different scenarios</w:t>
      </w:r>
      <w:r>
        <w:rPr>
          <w:sz w:val="24"/>
          <w:szCs w:val="24"/>
        </w:rPr>
        <w:t>.</w:t>
      </w:r>
    </w:p>
    <w:p w:rsidR="00D50F0D" w:rsidRPr="00943D64" w:rsidRDefault="00D50F0D" w:rsidP="00ED1112">
      <w:pPr>
        <w:pStyle w:val="Heading2"/>
        <w:keepLines/>
        <w:numPr>
          <w:ilvl w:val="0"/>
          <w:numId w:val="13"/>
        </w:numPr>
        <w:spacing w:before="200" w:after="0"/>
        <w:rPr>
          <w:rFonts w:asciiTheme="majorHAnsi" w:eastAsiaTheme="majorEastAsia" w:hAnsiTheme="majorHAnsi" w:cstheme="majorBidi"/>
          <w:bCs/>
          <w:color w:val="000000" w:themeColor="text1"/>
          <w:sz w:val="24"/>
          <w:szCs w:val="26"/>
        </w:rPr>
      </w:pPr>
      <w:r w:rsidRPr="00943D64">
        <w:rPr>
          <w:rFonts w:asciiTheme="majorHAnsi" w:eastAsiaTheme="majorEastAsia" w:hAnsiTheme="majorHAnsi" w:cstheme="majorBidi"/>
          <w:bCs/>
          <w:color w:val="000000" w:themeColor="text1"/>
          <w:sz w:val="24"/>
          <w:szCs w:val="26"/>
        </w:rPr>
        <w:t>Management performance</w:t>
      </w:r>
    </w:p>
    <w:p w:rsidR="00D50F0D" w:rsidRDefault="00D50F0D" w:rsidP="00770F75">
      <w:pPr>
        <w:pStyle w:val="BodyText"/>
        <w:spacing w:line="276" w:lineRule="auto"/>
        <w:ind w:left="360"/>
        <w:jc w:val="both"/>
        <w:rPr>
          <w:sz w:val="24"/>
          <w:szCs w:val="24"/>
        </w:rPr>
      </w:pPr>
      <w:r>
        <w:rPr>
          <w:sz w:val="24"/>
          <w:szCs w:val="24"/>
        </w:rPr>
        <w:t>The model has not yet been used for making any management decisions.</w:t>
      </w:r>
    </w:p>
    <w:p w:rsidR="00D50F0D" w:rsidRPr="00943D64" w:rsidRDefault="00D50F0D" w:rsidP="00ED1112">
      <w:pPr>
        <w:pStyle w:val="Heading2"/>
        <w:keepLines/>
        <w:numPr>
          <w:ilvl w:val="0"/>
          <w:numId w:val="13"/>
        </w:numPr>
        <w:spacing w:before="200" w:after="0"/>
        <w:rPr>
          <w:rFonts w:asciiTheme="majorHAnsi" w:eastAsiaTheme="majorEastAsia" w:hAnsiTheme="majorHAnsi" w:cstheme="majorBidi"/>
          <w:bCs/>
          <w:color w:val="000000" w:themeColor="text1"/>
          <w:sz w:val="24"/>
          <w:szCs w:val="26"/>
        </w:rPr>
      </w:pPr>
      <w:r w:rsidRPr="00943D64">
        <w:rPr>
          <w:rFonts w:asciiTheme="majorHAnsi" w:eastAsiaTheme="majorEastAsia" w:hAnsiTheme="majorHAnsi" w:cstheme="majorBidi"/>
          <w:bCs/>
          <w:color w:val="000000" w:themeColor="text1"/>
          <w:sz w:val="24"/>
          <w:szCs w:val="26"/>
        </w:rPr>
        <w:t>Basis for the OFL</w:t>
      </w:r>
    </w:p>
    <w:p w:rsidR="00DD6883" w:rsidRDefault="00D50F0D" w:rsidP="00770F75">
      <w:pPr>
        <w:pStyle w:val="BodyText"/>
        <w:spacing w:line="276" w:lineRule="auto"/>
        <w:ind w:left="360"/>
        <w:jc w:val="both"/>
        <w:rPr>
          <w:sz w:val="24"/>
          <w:szCs w:val="24"/>
        </w:rPr>
      </w:pPr>
      <w:r>
        <w:rPr>
          <w:sz w:val="24"/>
          <w:szCs w:val="24"/>
        </w:rPr>
        <w:t>The length-based model developed for Tier 4 analysis estimates MMB each year for the period February 15, 1986 through February 15, 201</w:t>
      </w:r>
      <w:r w:rsidR="0083342B">
        <w:rPr>
          <w:sz w:val="24"/>
          <w:szCs w:val="24"/>
        </w:rPr>
        <w:t>3</w:t>
      </w:r>
      <w:r>
        <w:rPr>
          <w:sz w:val="24"/>
          <w:szCs w:val="24"/>
        </w:rPr>
        <w:t xml:space="preserve"> and projects to February 15, 201</w:t>
      </w:r>
      <w:r w:rsidR="0083342B">
        <w:rPr>
          <w:sz w:val="24"/>
          <w:szCs w:val="24"/>
        </w:rPr>
        <w:t>4</w:t>
      </w:r>
      <w:r>
        <w:rPr>
          <w:sz w:val="24"/>
          <w:szCs w:val="24"/>
        </w:rPr>
        <w:t xml:space="preserve"> for OFL and ABC determination. This model proposes the following OFL and ABCs based on using the 1986–201</w:t>
      </w:r>
      <w:r w:rsidR="0083342B">
        <w:rPr>
          <w:sz w:val="24"/>
          <w:szCs w:val="24"/>
        </w:rPr>
        <w:t>3</w:t>
      </w:r>
      <w:r>
        <w:rPr>
          <w:sz w:val="24"/>
          <w:szCs w:val="24"/>
        </w:rPr>
        <w:t xml:space="preserve"> mean MMB as the reference biomass</w:t>
      </w:r>
      <w:r w:rsidR="00DD6883">
        <w:rPr>
          <w:sz w:val="24"/>
          <w:szCs w:val="24"/>
        </w:rPr>
        <w:t xml:space="preserve"> (</w:t>
      </w:r>
      <w:r>
        <w:rPr>
          <w:sz w:val="24"/>
          <w:szCs w:val="24"/>
        </w:rPr>
        <w:t>B</w:t>
      </w:r>
      <w:r w:rsidRPr="00943D64">
        <w:rPr>
          <w:sz w:val="24"/>
          <w:szCs w:val="24"/>
          <w:vertAlign w:val="subscript"/>
        </w:rPr>
        <w:t>ref</w:t>
      </w:r>
      <w:r w:rsidR="00DD6883">
        <w:rPr>
          <w:sz w:val="24"/>
          <w:szCs w:val="24"/>
        </w:rPr>
        <w:t xml:space="preserve">) </w:t>
      </w:r>
      <w:r>
        <w:rPr>
          <w:sz w:val="24"/>
          <w:szCs w:val="24"/>
        </w:rPr>
        <w:t xml:space="preserve">and a projected </w:t>
      </w:r>
      <w:r w:rsidR="00DD6883">
        <w:rPr>
          <w:sz w:val="24"/>
          <w:szCs w:val="24"/>
        </w:rPr>
        <w:t xml:space="preserve">MMB on </w:t>
      </w:r>
      <w:r>
        <w:rPr>
          <w:sz w:val="24"/>
          <w:szCs w:val="24"/>
        </w:rPr>
        <w:t>Feb 15, 201</w:t>
      </w:r>
      <w:r w:rsidR="0083342B">
        <w:rPr>
          <w:sz w:val="24"/>
          <w:szCs w:val="24"/>
        </w:rPr>
        <w:t>4</w:t>
      </w:r>
      <w:r>
        <w:rPr>
          <w:sz w:val="24"/>
          <w:szCs w:val="24"/>
        </w:rPr>
        <w:t xml:space="preserve">. The total OFL and ABC estimates are provided for </w:t>
      </w:r>
      <w:r w:rsidR="005167B8">
        <w:rPr>
          <w:sz w:val="24"/>
          <w:szCs w:val="24"/>
        </w:rPr>
        <w:t xml:space="preserve">two </w:t>
      </w:r>
      <w:r>
        <w:rPr>
          <w:sz w:val="24"/>
          <w:szCs w:val="24"/>
        </w:rPr>
        <w:t>scenarios denoted by 1</w:t>
      </w:r>
      <w:r w:rsidR="005167B8">
        <w:rPr>
          <w:sz w:val="24"/>
          <w:szCs w:val="24"/>
        </w:rPr>
        <w:t xml:space="preserve">) and </w:t>
      </w:r>
      <w:r>
        <w:rPr>
          <w:sz w:val="24"/>
          <w:szCs w:val="24"/>
        </w:rPr>
        <w:t>2</w:t>
      </w:r>
      <w:r w:rsidR="005167B8">
        <w:rPr>
          <w:sz w:val="24"/>
          <w:szCs w:val="24"/>
        </w:rPr>
        <w:t>)</w:t>
      </w:r>
      <w:r>
        <w:rPr>
          <w:sz w:val="24"/>
          <w:szCs w:val="24"/>
        </w:rPr>
        <w:t>.</w:t>
      </w:r>
    </w:p>
    <w:p w:rsidR="00DD6883" w:rsidRDefault="00DD6883">
      <w:pPr>
        <w:rPr>
          <w:sz w:val="24"/>
          <w:szCs w:val="24"/>
        </w:rPr>
      </w:pPr>
    </w:p>
    <w:p w:rsidR="00D50F0D" w:rsidRDefault="00D50F0D" w:rsidP="00D50F0D">
      <w:pPr>
        <w:pStyle w:val="BodyText"/>
        <w:spacing w:line="360" w:lineRule="auto"/>
        <w:jc w:val="both"/>
        <w:rPr>
          <w:sz w:val="24"/>
          <w:szCs w:val="24"/>
        </w:rPr>
      </w:pPr>
      <w:r>
        <w:rPr>
          <w:sz w:val="24"/>
          <w:szCs w:val="24"/>
        </w:rPr>
        <w:t>EAG:</w:t>
      </w:r>
    </w:p>
    <w:p w:rsidR="00D50F0D" w:rsidRDefault="00D50F0D" w:rsidP="00401057">
      <w:pPr>
        <w:pStyle w:val="BodyText"/>
        <w:spacing w:line="360" w:lineRule="auto"/>
        <w:jc w:val="both"/>
        <w:rPr>
          <w:sz w:val="24"/>
          <w:szCs w:val="24"/>
        </w:rPr>
      </w:pPr>
      <w:r>
        <w:rPr>
          <w:sz w:val="24"/>
          <w:szCs w:val="24"/>
        </w:rPr>
        <w:t>Biomass in million pounds</w:t>
      </w:r>
    </w:p>
    <w:tbl>
      <w:tblPr>
        <w:tblStyle w:val="TableGrid"/>
        <w:tblW w:w="9468"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630"/>
        <w:gridCol w:w="810"/>
        <w:gridCol w:w="945"/>
        <w:gridCol w:w="1485"/>
        <w:gridCol w:w="630"/>
        <w:gridCol w:w="1170"/>
        <w:gridCol w:w="630"/>
        <w:gridCol w:w="900"/>
        <w:gridCol w:w="1080"/>
      </w:tblGrid>
      <w:tr w:rsidR="004E0B13" w:rsidTr="00AE1A81">
        <w:tc>
          <w:tcPr>
            <w:tcW w:w="1188" w:type="dxa"/>
            <w:tcBorders>
              <w:top w:val="single" w:sz="4" w:space="0" w:color="auto"/>
              <w:bottom w:val="single" w:sz="4" w:space="0" w:color="auto"/>
            </w:tcBorders>
            <w:vAlign w:val="bottom"/>
          </w:tcPr>
          <w:p w:rsidR="004E0B13" w:rsidRPr="00F472F8" w:rsidRDefault="004E0B13" w:rsidP="00AE1A81">
            <w:pPr>
              <w:pStyle w:val="BodyText"/>
              <w:spacing w:line="360" w:lineRule="auto"/>
              <w:jc w:val="center"/>
              <w:rPr>
                <w:b/>
                <w:sz w:val="20"/>
              </w:rPr>
            </w:pPr>
            <w:r>
              <w:rPr>
                <w:b/>
                <w:sz w:val="20"/>
              </w:rPr>
              <w:t>Season</w:t>
            </w:r>
          </w:p>
        </w:tc>
        <w:tc>
          <w:tcPr>
            <w:tcW w:w="630" w:type="dxa"/>
            <w:tcBorders>
              <w:top w:val="single" w:sz="4" w:space="0" w:color="auto"/>
              <w:bottom w:val="single" w:sz="4" w:space="0" w:color="auto"/>
            </w:tcBorders>
            <w:vAlign w:val="bottom"/>
          </w:tcPr>
          <w:p w:rsidR="004E0B13" w:rsidRPr="00F472F8" w:rsidRDefault="004E0B13" w:rsidP="00AE1A81">
            <w:pPr>
              <w:pStyle w:val="BodyText"/>
              <w:spacing w:line="360" w:lineRule="auto"/>
              <w:jc w:val="center"/>
              <w:rPr>
                <w:b/>
                <w:sz w:val="20"/>
              </w:rPr>
            </w:pPr>
            <w:r w:rsidRPr="00F472F8">
              <w:rPr>
                <w:b/>
                <w:sz w:val="20"/>
              </w:rPr>
              <w:t>Tier</w:t>
            </w:r>
          </w:p>
        </w:tc>
        <w:tc>
          <w:tcPr>
            <w:tcW w:w="810" w:type="dxa"/>
            <w:tcBorders>
              <w:top w:val="single" w:sz="4" w:space="0" w:color="auto"/>
              <w:bottom w:val="single" w:sz="4" w:space="0" w:color="auto"/>
            </w:tcBorders>
            <w:vAlign w:val="bottom"/>
          </w:tcPr>
          <w:p w:rsidR="004E0B13" w:rsidRPr="00F472F8" w:rsidRDefault="004E0B13" w:rsidP="00AE1A81">
            <w:pPr>
              <w:pStyle w:val="BodyText"/>
              <w:spacing w:line="360" w:lineRule="auto"/>
              <w:jc w:val="center"/>
              <w:rPr>
                <w:b/>
                <w:sz w:val="20"/>
                <w:vertAlign w:val="subscript"/>
              </w:rPr>
            </w:pPr>
            <w:r w:rsidRPr="00F472F8">
              <w:rPr>
                <w:b/>
                <w:sz w:val="20"/>
              </w:rPr>
              <w:t>B</w:t>
            </w:r>
            <w:r w:rsidRPr="00F472F8">
              <w:rPr>
                <w:b/>
                <w:sz w:val="20"/>
                <w:vertAlign w:val="subscript"/>
              </w:rPr>
              <w:t>ref</w:t>
            </w:r>
          </w:p>
        </w:tc>
        <w:tc>
          <w:tcPr>
            <w:tcW w:w="945" w:type="dxa"/>
            <w:tcBorders>
              <w:top w:val="single" w:sz="4" w:space="0" w:color="auto"/>
              <w:bottom w:val="single" w:sz="4" w:space="0" w:color="auto"/>
            </w:tcBorders>
            <w:vAlign w:val="bottom"/>
          </w:tcPr>
          <w:p w:rsidR="004E0B13" w:rsidRPr="00F472F8" w:rsidRDefault="004E0B13" w:rsidP="00AE1A81">
            <w:pPr>
              <w:pStyle w:val="BodyText"/>
              <w:spacing w:line="360" w:lineRule="auto"/>
              <w:jc w:val="center"/>
              <w:rPr>
                <w:b/>
                <w:sz w:val="20"/>
              </w:rPr>
            </w:pPr>
            <w:r w:rsidRPr="00F472F8">
              <w:rPr>
                <w:b/>
                <w:sz w:val="20"/>
              </w:rPr>
              <w:t>Current MMB</w:t>
            </w:r>
          </w:p>
        </w:tc>
        <w:tc>
          <w:tcPr>
            <w:tcW w:w="1485" w:type="dxa"/>
            <w:tcBorders>
              <w:top w:val="single" w:sz="4" w:space="0" w:color="auto"/>
              <w:bottom w:val="single" w:sz="4" w:space="0" w:color="auto"/>
            </w:tcBorders>
            <w:vAlign w:val="bottom"/>
          </w:tcPr>
          <w:p w:rsidR="004E0B13" w:rsidRPr="00F472F8" w:rsidRDefault="004E0B13" w:rsidP="00AE1A81">
            <w:pPr>
              <w:pStyle w:val="BodyText"/>
              <w:spacing w:line="360" w:lineRule="auto"/>
              <w:jc w:val="center"/>
              <w:rPr>
                <w:b/>
                <w:sz w:val="20"/>
                <w:vertAlign w:val="subscript"/>
              </w:rPr>
            </w:pPr>
            <w:r w:rsidRPr="00F472F8">
              <w:rPr>
                <w:b/>
                <w:sz w:val="20"/>
              </w:rPr>
              <w:t>MMB/MMB</w:t>
            </w:r>
            <w:r w:rsidRPr="00F472F8">
              <w:rPr>
                <w:b/>
                <w:sz w:val="20"/>
                <w:vertAlign w:val="subscript"/>
              </w:rPr>
              <w:t>ref</w:t>
            </w:r>
          </w:p>
        </w:tc>
        <w:tc>
          <w:tcPr>
            <w:tcW w:w="630" w:type="dxa"/>
            <w:tcBorders>
              <w:top w:val="single" w:sz="4" w:space="0" w:color="auto"/>
              <w:bottom w:val="single" w:sz="4" w:space="0" w:color="auto"/>
            </w:tcBorders>
            <w:vAlign w:val="bottom"/>
          </w:tcPr>
          <w:p w:rsidR="004E0B13" w:rsidRPr="00F472F8" w:rsidRDefault="004E0B13" w:rsidP="00AE1A81">
            <w:pPr>
              <w:pStyle w:val="BodyText"/>
              <w:spacing w:line="360" w:lineRule="auto"/>
              <w:jc w:val="center"/>
              <w:rPr>
                <w:b/>
                <w:sz w:val="20"/>
                <w:vertAlign w:val="subscript"/>
              </w:rPr>
            </w:pPr>
            <w:r w:rsidRPr="00F472F8">
              <w:rPr>
                <w:b/>
                <w:sz w:val="20"/>
              </w:rPr>
              <w:t>F</w:t>
            </w:r>
            <w:r w:rsidRPr="00F472F8">
              <w:rPr>
                <w:b/>
                <w:sz w:val="20"/>
                <w:vertAlign w:val="subscript"/>
              </w:rPr>
              <w:t>OFL</w:t>
            </w:r>
          </w:p>
        </w:tc>
        <w:tc>
          <w:tcPr>
            <w:tcW w:w="1170" w:type="dxa"/>
            <w:tcBorders>
              <w:top w:val="single" w:sz="4" w:space="0" w:color="auto"/>
              <w:bottom w:val="single" w:sz="4" w:space="0" w:color="auto"/>
            </w:tcBorders>
            <w:vAlign w:val="bottom"/>
          </w:tcPr>
          <w:p w:rsidR="004E0B13" w:rsidRPr="00F472F8" w:rsidRDefault="004E0B13" w:rsidP="00AE1A81">
            <w:pPr>
              <w:pStyle w:val="BodyText"/>
              <w:spacing w:line="360" w:lineRule="auto"/>
              <w:jc w:val="center"/>
              <w:rPr>
                <w:b/>
                <w:sz w:val="20"/>
              </w:rPr>
            </w:pPr>
            <w:r w:rsidRPr="00F472F8">
              <w:rPr>
                <w:b/>
                <w:sz w:val="20"/>
              </w:rPr>
              <w:t>Years to define B</w:t>
            </w:r>
            <w:r w:rsidRPr="00F472F8">
              <w:rPr>
                <w:b/>
                <w:sz w:val="20"/>
                <w:vertAlign w:val="subscript"/>
              </w:rPr>
              <w:t>ref</w:t>
            </w:r>
          </w:p>
        </w:tc>
        <w:tc>
          <w:tcPr>
            <w:tcW w:w="630" w:type="dxa"/>
            <w:tcBorders>
              <w:top w:val="single" w:sz="4" w:space="0" w:color="auto"/>
              <w:bottom w:val="single" w:sz="4" w:space="0" w:color="auto"/>
            </w:tcBorders>
            <w:vAlign w:val="bottom"/>
          </w:tcPr>
          <w:p w:rsidR="004E0B13" w:rsidRPr="00F472F8" w:rsidRDefault="004E0B13" w:rsidP="00AE1A81">
            <w:pPr>
              <w:pStyle w:val="BodyText"/>
              <w:spacing w:line="360" w:lineRule="auto"/>
              <w:jc w:val="center"/>
              <w:rPr>
                <w:b/>
                <w:sz w:val="20"/>
              </w:rPr>
            </w:pPr>
            <w:r w:rsidRPr="00F472F8">
              <w:rPr>
                <w:b/>
                <w:sz w:val="20"/>
              </w:rPr>
              <w:t>M</w:t>
            </w:r>
          </w:p>
        </w:tc>
        <w:tc>
          <w:tcPr>
            <w:tcW w:w="900" w:type="dxa"/>
            <w:tcBorders>
              <w:top w:val="single" w:sz="4" w:space="0" w:color="auto"/>
              <w:bottom w:val="single" w:sz="4" w:space="0" w:color="auto"/>
            </w:tcBorders>
            <w:vAlign w:val="bottom"/>
          </w:tcPr>
          <w:p w:rsidR="004E0B13" w:rsidRPr="00F472F8" w:rsidRDefault="004E0B13" w:rsidP="00AE1A81">
            <w:pPr>
              <w:pStyle w:val="BodyText"/>
              <w:spacing w:line="360" w:lineRule="auto"/>
              <w:jc w:val="center"/>
              <w:rPr>
                <w:b/>
                <w:sz w:val="20"/>
              </w:rPr>
            </w:pPr>
            <w:r w:rsidRPr="00F472F8">
              <w:rPr>
                <w:b/>
                <w:sz w:val="20"/>
              </w:rPr>
              <w:t>OFL</w:t>
            </w:r>
          </w:p>
        </w:tc>
        <w:tc>
          <w:tcPr>
            <w:tcW w:w="1080" w:type="dxa"/>
            <w:tcBorders>
              <w:top w:val="single" w:sz="4" w:space="0" w:color="auto"/>
              <w:bottom w:val="single" w:sz="4" w:space="0" w:color="auto"/>
            </w:tcBorders>
            <w:vAlign w:val="bottom"/>
          </w:tcPr>
          <w:p w:rsidR="004E0B13" w:rsidRPr="00F472F8" w:rsidRDefault="004E0B13" w:rsidP="00AE1A81">
            <w:pPr>
              <w:pStyle w:val="BodyText"/>
              <w:spacing w:line="360" w:lineRule="auto"/>
              <w:jc w:val="center"/>
              <w:rPr>
                <w:b/>
                <w:sz w:val="20"/>
              </w:rPr>
            </w:pPr>
            <w:r w:rsidRPr="00F472F8">
              <w:rPr>
                <w:b/>
                <w:sz w:val="20"/>
              </w:rPr>
              <w:t>ABC</w:t>
            </w:r>
          </w:p>
          <w:p w:rsidR="004E0B13" w:rsidRPr="00F472F8" w:rsidRDefault="004E0B13" w:rsidP="00AE1A81">
            <w:pPr>
              <w:pStyle w:val="BodyText"/>
              <w:spacing w:line="360" w:lineRule="auto"/>
              <w:jc w:val="center"/>
              <w:rPr>
                <w:b/>
                <w:sz w:val="20"/>
              </w:rPr>
            </w:pPr>
            <w:r w:rsidRPr="00F472F8">
              <w:rPr>
                <w:b/>
                <w:sz w:val="20"/>
              </w:rPr>
              <w:t>(P*=0.49)</w:t>
            </w:r>
          </w:p>
        </w:tc>
      </w:tr>
      <w:tr w:rsidR="004E0B13" w:rsidRPr="0030431F" w:rsidTr="00770F75">
        <w:tc>
          <w:tcPr>
            <w:tcW w:w="1188" w:type="dxa"/>
            <w:tcBorders>
              <w:top w:val="single" w:sz="4" w:space="0" w:color="auto"/>
            </w:tcBorders>
            <w:vAlign w:val="center"/>
          </w:tcPr>
          <w:p w:rsidR="004E0B13" w:rsidRPr="0030431F" w:rsidRDefault="004E0B13" w:rsidP="00770F75">
            <w:pPr>
              <w:pStyle w:val="BodyText"/>
              <w:spacing w:line="360" w:lineRule="auto"/>
              <w:jc w:val="center"/>
              <w:rPr>
                <w:sz w:val="20"/>
              </w:rPr>
            </w:pPr>
            <w:r w:rsidRPr="0030431F">
              <w:rPr>
                <w:sz w:val="20"/>
              </w:rPr>
              <w:t>1) 201</w:t>
            </w:r>
            <w:r>
              <w:rPr>
                <w:sz w:val="20"/>
              </w:rPr>
              <w:t>4</w:t>
            </w:r>
            <w:r w:rsidRPr="0030431F">
              <w:rPr>
                <w:sz w:val="20"/>
              </w:rPr>
              <w:t>/1</w:t>
            </w:r>
            <w:r>
              <w:rPr>
                <w:sz w:val="20"/>
              </w:rPr>
              <w:t>5</w:t>
            </w:r>
          </w:p>
        </w:tc>
        <w:tc>
          <w:tcPr>
            <w:tcW w:w="630" w:type="dxa"/>
            <w:tcBorders>
              <w:top w:val="single" w:sz="4" w:space="0" w:color="auto"/>
            </w:tcBorders>
            <w:vAlign w:val="center"/>
          </w:tcPr>
          <w:p w:rsidR="004E0B13" w:rsidRPr="0030431F" w:rsidRDefault="004E0B13" w:rsidP="00770F75">
            <w:pPr>
              <w:pStyle w:val="BodyText"/>
              <w:spacing w:line="360" w:lineRule="auto"/>
              <w:jc w:val="center"/>
              <w:rPr>
                <w:sz w:val="20"/>
              </w:rPr>
            </w:pPr>
            <w:r w:rsidRPr="00604BAC">
              <w:rPr>
                <w:sz w:val="20"/>
              </w:rPr>
              <w:t>4a</w:t>
            </w:r>
          </w:p>
        </w:tc>
        <w:tc>
          <w:tcPr>
            <w:tcW w:w="810" w:type="dxa"/>
            <w:tcBorders>
              <w:top w:val="single" w:sz="4" w:space="0" w:color="auto"/>
            </w:tcBorders>
            <w:vAlign w:val="center"/>
          </w:tcPr>
          <w:p w:rsidR="004E0B13" w:rsidRPr="0030431F" w:rsidRDefault="00E2279B" w:rsidP="00770F75">
            <w:pPr>
              <w:pStyle w:val="BodyText"/>
              <w:spacing w:line="360" w:lineRule="auto"/>
              <w:jc w:val="center"/>
              <w:rPr>
                <w:sz w:val="20"/>
              </w:rPr>
            </w:pPr>
            <w:r>
              <w:rPr>
                <w:sz w:val="20"/>
              </w:rPr>
              <w:t>9.041</w:t>
            </w:r>
          </w:p>
        </w:tc>
        <w:tc>
          <w:tcPr>
            <w:tcW w:w="945" w:type="dxa"/>
            <w:tcBorders>
              <w:top w:val="single" w:sz="4" w:space="0" w:color="auto"/>
            </w:tcBorders>
            <w:vAlign w:val="center"/>
          </w:tcPr>
          <w:p w:rsidR="004E0B13" w:rsidRPr="0030431F" w:rsidRDefault="00E2279B" w:rsidP="00770F75">
            <w:pPr>
              <w:pStyle w:val="BodyText"/>
              <w:spacing w:line="360" w:lineRule="auto"/>
              <w:jc w:val="center"/>
              <w:rPr>
                <w:sz w:val="20"/>
              </w:rPr>
            </w:pPr>
            <w:r>
              <w:rPr>
                <w:sz w:val="20"/>
              </w:rPr>
              <w:t>11.330</w:t>
            </w:r>
          </w:p>
        </w:tc>
        <w:tc>
          <w:tcPr>
            <w:tcW w:w="1485" w:type="dxa"/>
            <w:tcBorders>
              <w:top w:val="single" w:sz="4" w:space="0" w:color="auto"/>
            </w:tcBorders>
            <w:vAlign w:val="center"/>
          </w:tcPr>
          <w:p w:rsidR="004E0B13" w:rsidRPr="006407C6" w:rsidRDefault="004E0B13" w:rsidP="003467D4">
            <w:pPr>
              <w:pStyle w:val="BodyText"/>
              <w:spacing w:line="360" w:lineRule="auto"/>
              <w:jc w:val="center"/>
              <w:rPr>
                <w:sz w:val="20"/>
              </w:rPr>
            </w:pPr>
            <w:r w:rsidRPr="006407C6">
              <w:rPr>
                <w:sz w:val="20"/>
              </w:rPr>
              <w:t>1.</w:t>
            </w:r>
            <w:r w:rsidR="003467D4" w:rsidRPr="006407C6">
              <w:rPr>
                <w:sz w:val="20"/>
              </w:rPr>
              <w:t>2</w:t>
            </w:r>
            <w:r w:rsidR="003467D4">
              <w:rPr>
                <w:sz w:val="20"/>
              </w:rPr>
              <w:t>5</w:t>
            </w:r>
          </w:p>
        </w:tc>
        <w:tc>
          <w:tcPr>
            <w:tcW w:w="630" w:type="dxa"/>
            <w:tcBorders>
              <w:top w:val="single" w:sz="4" w:space="0" w:color="auto"/>
            </w:tcBorders>
            <w:vAlign w:val="center"/>
          </w:tcPr>
          <w:p w:rsidR="004E0B13" w:rsidRPr="006E13C2" w:rsidRDefault="004E0B13" w:rsidP="00770F75">
            <w:pPr>
              <w:pStyle w:val="BodyText"/>
              <w:spacing w:line="360" w:lineRule="auto"/>
              <w:jc w:val="center"/>
              <w:rPr>
                <w:sz w:val="20"/>
              </w:rPr>
            </w:pPr>
            <w:r w:rsidRPr="006E13C2">
              <w:rPr>
                <w:sz w:val="20"/>
              </w:rPr>
              <w:t>0.18</w:t>
            </w:r>
          </w:p>
        </w:tc>
        <w:tc>
          <w:tcPr>
            <w:tcW w:w="1170" w:type="dxa"/>
            <w:tcBorders>
              <w:top w:val="single" w:sz="4" w:space="0" w:color="auto"/>
            </w:tcBorders>
            <w:vAlign w:val="center"/>
          </w:tcPr>
          <w:p w:rsidR="004E0B13" w:rsidRPr="006E13C2" w:rsidRDefault="004E0B13" w:rsidP="00770F75">
            <w:pPr>
              <w:pStyle w:val="BodyText"/>
              <w:spacing w:line="360" w:lineRule="auto"/>
              <w:jc w:val="center"/>
              <w:rPr>
                <w:sz w:val="20"/>
              </w:rPr>
            </w:pPr>
            <w:r w:rsidRPr="006E13C2">
              <w:rPr>
                <w:sz w:val="20"/>
              </w:rPr>
              <w:t>1986–2013</w:t>
            </w:r>
          </w:p>
        </w:tc>
        <w:tc>
          <w:tcPr>
            <w:tcW w:w="630" w:type="dxa"/>
            <w:tcBorders>
              <w:top w:val="single" w:sz="4" w:space="0" w:color="auto"/>
            </w:tcBorders>
            <w:vAlign w:val="center"/>
          </w:tcPr>
          <w:p w:rsidR="004E0B13" w:rsidRPr="006E13C2" w:rsidRDefault="004E0B13" w:rsidP="00770F75">
            <w:pPr>
              <w:pStyle w:val="BodyText"/>
              <w:spacing w:line="360" w:lineRule="auto"/>
              <w:jc w:val="center"/>
              <w:rPr>
                <w:sz w:val="20"/>
              </w:rPr>
            </w:pPr>
            <w:r w:rsidRPr="006E13C2">
              <w:rPr>
                <w:sz w:val="20"/>
              </w:rPr>
              <w:t>0.18</w:t>
            </w:r>
          </w:p>
        </w:tc>
        <w:tc>
          <w:tcPr>
            <w:tcW w:w="900" w:type="dxa"/>
            <w:tcBorders>
              <w:top w:val="single" w:sz="4" w:space="0" w:color="auto"/>
            </w:tcBorders>
            <w:vAlign w:val="center"/>
          </w:tcPr>
          <w:p w:rsidR="004E0B13" w:rsidRPr="0030431F" w:rsidRDefault="003467D4" w:rsidP="00770F75">
            <w:pPr>
              <w:pStyle w:val="BodyText"/>
              <w:spacing w:line="360" w:lineRule="auto"/>
              <w:jc w:val="center"/>
              <w:rPr>
                <w:sz w:val="20"/>
              </w:rPr>
            </w:pPr>
            <w:r>
              <w:rPr>
                <w:sz w:val="20"/>
              </w:rPr>
              <w:t>1.826</w:t>
            </w:r>
          </w:p>
        </w:tc>
        <w:tc>
          <w:tcPr>
            <w:tcW w:w="1080" w:type="dxa"/>
            <w:tcBorders>
              <w:top w:val="single" w:sz="4" w:space="0" w:color="auto"/>
            </w:tcBorders>
            <w:vAlign w:val="center"/>
          </w:tcPr>
          <w:p w:rsidR="004E0B13" w:rsidRPr="0030431F" w:rsidRDefault="003467D4" w:rsidP="00770F75">
            <w:pPr>
              <w:pStyle w:val="BodyText"/>
              <w:spacing w:line="360" w:lineRule="auto"/>
              <w:jc w:val="center"/>
              <w:rPr>
                <w:sz w:val="20"/>
              </w:rPr>
            </w:pPr>
            <w:r>
              <w:rPr>
                <w:sz w:val="20"/>
              </w:rPr>
              <w:t>1.814</w:t>
            </w:r>
          </w:p>
        </w:tc>
      </w:tr>
      <w:tr w:rsidR="004E0B13" w:rsidRPr="0030431F" w:rsidTr="00770F75">
        <w:tc>
          <w:tcPr>
            <w:tcW w:w="1188" w:type="dxa"/>
            <w:vAlign w:val="center"/>
          </w:tcPr>
          <w:p w:rsidR="004E0B13" w:rsidRPr="0030431F" w:rsidRDefault="004E0B13" w:rsidP="00770F75">
            <w:pPr>
              <w:pStyle w:val="BodyText"/>
              <w:spacing w:line="360" w:lineRule="auto"/>
              <w:jc w:val="center"/>
              <w:rPr>
                <w:sz w:val="20"/>
              </w:rPr>
            </w:pPr>
            <w:r w:rsidRPr="0030431F">
              <w:rPr>
                <w:sz w:val="20"/>
              </w:rPr>
              <w:t xml:space="preserve">2) </w:t>
            </w:r>
            <w:r>
              <w:rPr>
                <w:sz w:val="20"/>
              </w:rPr>
              <w:t>2014</w:t>
            </w:r>
            <w:r w:rsidRPr="0030431F">
              <w:rPr>
                <w:sz w:val="20"/>
              </w:rPr>
              <w:t>/1</w:t>
            </w:r>
            <w:r>
              <w:rPr>
                <w:sz w:val="20"/>
              </w:rPr>
              <w:t>5</w:t>
            </w:r>
          </w:p>
        </w:tc>
        <w:tc>
          <w:tcPr>
            <w:tcW w:w="630" w:type="dxa"/>
            <w:vAlign w:val="center"/>
          </w:tcPr>
          <w:p w:rsidR="004E0B13" w:rsidRPr="0030431F" w:rsidRDefault="004E0B13" w:rsidP="00770F75">
            <w:pPr>
              <w:pStyle w:val="BodyText"/>
              <w:spacing w:line="360" w:lineRule="auto"/>
              <w:jc w:val="center"/>
              <w:rPr>
                <w:sz w:val="20"/>
              </w:rPr>
            </w:pPr>
            <w:r w:rsidRPr="00604BAC">
              <w:rPr>
                <w:sz w:val="20"/>
              </w:rPr>
              <w:t>4a</w:t>
            </w:r>
          </w:p>
        </w:tc>
        <w:tc>
          <w:tcPr>
            <w:tcW w:w="810" w:type="dxa"/>
            <w:vAlign w:val="center"/>
          </w:tcPr>
          <w:p w:rsidR="004E0B13" w:rsidRPr="0030431F" w:rsidRDefault="00E2279B" w:rsidP="00770F75">
            <w:pPr>
              <w:pStyle w:val="BodyText"/>
              <w:spacing w:line="360" w:lineRule="auto"/>
              <w:jc w:val="center"/>
              <w:rPr>
                <w:sz w:val="20"/>
              </w:rPr>
            </w:pPr>
            <w:r>
              <w:rPr>
                <w:sz w:val="20"/>
              </w:rPr>
              <w:t>7.448</w:t>
            </w:r>
          </w:p>
        </w:tc>
        <w:tc>
          <w:tcPr>
            <w:tcW w:w="945" w:type="dxa"/>
            <w:vAlign w:val="center"/>
          </w:tcPr>
          <w:p w:rsidR="004E0B13" w:rsidRPr="0030431F" w:rsidRDefault="00E2279B" w:rsidP="00770F75">
            <w:pPr>
              <w:pStyle w:val="BodyText"/>
              <w:spacing w:line="360" w:lineRule="auto"/>
              <w:jc w:val="center"/>
              <w:rPr>
                <w:sz w:val="20"/>
              </w:rPr>
            </w:pPr>
            <w:r>
              <w:rPr>
                <w:sz w:val="20"/>
              </w:rPr>
              <w:t>9.771</w:t>
            </w:r>
          </w:p>
        </w:tc>
        <w:tc>
          <w:tcPr>
            <w:tcW w:w="1485" w:type="dxa"/>
            <w:vAlign w:val="center"/>
          </w:tcPr>
          <w:p w:rsidR="004E0B13" w:rsidRPr="0030431F" w:rsidRDefault="004E0B13" w:rsidP="00E2279B">
            <w:pPr>
              <w:pStyle w:val="BodyText"/>
              <w:spacing w:line="360" w:lineRule="auto"/>
              <w:jc w:val="center"/>
              <w:rPr>
                <w:sz w:val="20"/>
              </w:rPr>
            </w:pPr>
            <w:r>
              <w:rPr>
                <w:sz w:val="20"/>
              </w:rPr>
              <w:t>1.</w:t>
            </w:r>
            <w:r w:rsidR="00E2279B">
              <w:rPr>
                <w:sz w:val="20"/>
              </w:rPr>
              <w:t>31</w:t>
            </w:r>
          </w:p>
        </w:tc>
        <w:tc>
          <w:tcPr>
            <w:tcW w:w="630" w:type="dxa"/>
            <w:vAlign w:val="center"/>
          </w:tcPr>
          <w:p w:rsidR="004E0B13" w:rsidRPr="006E13C2" w:rsidRDefault="004E0B13" w:rsidP="00770F75">
            <w:pPr>
              <w:pStyle w:val="BodyText"/>
              <w:spacing w:line="360" w:lineRule="auto"/>
              <w:jc w:val="center"/>
              <w:rPr>
                <w:sz w:val="20"/>
              </w:rPr>
            </w:pPr>
            <w:r w:rsidRPr="006E13C2">
              <w:rPr>
                <w:sz w:val="20"/>
              </w:rPr>
              <w:t>0.18</w:t>
            </w:r>
          </w:p>
        </w:tc>
        <w:tc>
          <w:tcPr>
            <w:tcW w:w="1170" w:type="dxa"/>
            <w:vAlign w:val="center"/>
          </w:tcPr>
          <w:p w:rsidR="004E0B13" w:rsidRPr="006E13C2" w:rsidRDefault="004E0B13" w:rsidP="00770F75">
            <w:pPr>
              <w:pStyle w:val="BodyText"/>
              <w:spacing w:line="360" w:lineRule="auto"/>
              <w:jc w:val="center"/>
              <w:rPr>
                <w:sz w:val="20"/>
              </w:rPr>
            </w:pPr>
            <w:r w:rsidRPr="006E13C2">
              <w:rPr>
                <w:sz w:val="20"/>
              </w:rPr>
              <w:t>1986–2013</w:t>
            </w:r>
          </w:p>
        </w:tc>
        <w:tc>
          <w:tcPr>
            <w:tcW w:w="630" w:type="dxa"/>
            <w:vAlign w:val="center"/>
          </w:tcPr>
          <w:p w:rsidR="004E0B13" w:rsidRPr="006E13C2" w:rsidRDefault="004E0B13" w:rsidP="00770F75">
            <w:pPr>
              <w:pStyle w:val="BodyText"/>
              <w:spacing w:line="360" w:lineRule="auto"/>
              <w:jc w:val="center"/>
              <w:rPr>
                <w:sz w:val="20"/>
              </w:rPr>
            </w:pPr>
            <w:r w:rsidRPr="006E13C2">
              <w:rPr>
                <w:sz w:val="20"/>
              </w:rPr>
              <w:t>0.18</w:t>
            </w:r>
          </w:p>
        </w:tc>
        <w:tc>
          <w:tcPr>
            <w:tcW w:w="900" w:type="dxa"/>
            <w:vAlign w:val="center"/>
          </w:tcPr>
          <w:p w:rsidR="004E0B13" w:rsidRPr="0030431F" w:rsidRDefault="00E2279B" w:rsidP="00770F75">
            <w:pPr>
              <w:pStyle w:val="BodyText"/>
              <w:spacing w:line="360" w:lineRule="auto"/>
              <w:jc w:val="center"/>
              <w:rPr>
                <w:sz w:val="20"/>
              </w:rPr>
            </w:pPr>
            <w:r>
              <w:rPr>
                <w:sz w:val="20"/>
              </w:rPr>
              <w:t>1.648</w:t>
            </w:r>
          </w:p>
        </w:tc>
        <w:tc>
          <w:tcPr>
            <w:tcW w:w="1080" w:type="dxa"/>
            <w:vAlign w:val="center"/>
          </w:tcPr>
          <w:p w:rsidR="004E0B13" w:rsidRPr="0030431F" w:rsidRDefault="00E2279B" w:rsidP="00770F75">
            <w:pPr>
              <w:pStyle w:val="BodyText"/>
              <w:spacing w:line="360" w:lineRule="auto"/>
              <w:jc w:val="center"/>
              <w:rPr>
                <w:sz w:val="20"/>
              </w:rPr>
            </w:pPr>
            <w:r>
              <w:rPr>
                <w:sz w:val="20"/>
              </w:rPr>
              <w:t>1.639</w:t>
            </w:r>
          </w:p>
        </w:tc>
      </w:tr>
    </w:tbl>
    <w:p w:rsidR="00D50F0D" w:rsidRDefault="00D50F0D" w:rsidP="00D50F0D">
      <w:pPr>
        <w:pStyle w:val="BodyText"/>
        <w:spacing w:line="360" w:lineRule="auto"/>
        <w:jc w:val="both"/>
        <w:rPr>
          <w:sz w:val="24"/>
          <w:szCs w:val="24"/>
        </w:rPr>
      </w:pPr>
    </w:p>
    <w:p w:rsidR="00D50F0D" w:rsidRDefault="00D50F0D" w:rsidP="00D50F0D">
      <w:pPr>
        <w:pStyle w:val="BodyText"/>
        <w:spacing w:line="360" w:lineRule="auto"/>
        <w:jc w:val="both"/>
        <w:rPr>
          <w:sz w:val="24"/>
          <w:szCs w:val="24"/>
        </w:rPr>
      </w:pPr>
      <w:r>
        <w:rPr>
          <w:sz w:val="24"/>
          <w:szCs w:val="24"/>
        </w:rPr>
        <w:t>Biomass in 1000 t</w:t>
      </w:r>
      <w:r w:rsidR="00B52373">
        <w:rPr>
          <w:sz w:val="24"/>
          <w:szCs w:val="24"/>
        </w:rPr>
        <w:t xml:space="preserve"> </w:t>
      </w:r>
      <w:r w:rsidR="00D01DFF">
        <w:rPr>
          <w:sz w:val="24"/>
          <w:szCs w:val="24"/>
        </w:rPr>
        <w:t xml:space="preserve">, </w:t>
      </w:r>
      <w:r w:rsidR="00B52373">
        <w:rPr>
          <w:sz w:val="24"/>
          <w:szCs w:val="24"/>
        </w:rPr>
        <w:t xml:space="preserve">and total OFL </w:t>
      </w:r>
      <w:r w:rsidR="00D01DFF">
        <w:rPr>
          <w:sz w:val="24"/>
          <w:szCs w:val="24"/>
        </w:rPr>
        <w:t>and ABC are</w:t>
      </w:r>
      <w:r w:rsidR="00B52373">
        <w:rPr>
          <w:sz w:val="24"/>
          <w:szCs w:val="24"/>
        </w:rPr>
        <w:t xml:space="preserve"> in t.</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8"/>
        <w:gridCol w:w="630"/>
        <w:gridCol w:w="720"/>
        <w:gridCol w:w="918"/>
        <w:gridCol w:w="1458"/>
        <w:gridCol w:w="639"/>
        <w:gridCol w:w="1161"/>
        <w:gridCol w:w="702"/>
        <w:gridCol w:w="1062"/>
        <w:gridCol w:w="1080"/>
      </w:tblGrid>
      <w:tr w:rsidR="00B52373" w:rsidRPr="001C6404" w:rsidTr="000D223A">
        <w:tc>
          <w:tcPr>
            <w:tcW w:w="1098"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Pr>
                <w:b/>
                <w:sz w:val="20"/>
              </w:rPr>
              <w:t>Season</w:t>
            </w:r>
          </w:p>
        </w:tc>
        <w:tc>
          <w:tcPr>
            <w:tcW w:w="63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Tier</w:t>
            </w:r>
          </w:p>
        </w:tc>
        <w:tc>
          <w:tcPr>
            <w:tcW w:w="72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vertAlign w:val="subscript"/>
              </w:rPr>
            </w:pPr>
            <w:r w:rsidRPr="00C52938">
              <w:rPr>
                <w:b/>
                <w:sz w:val="20"/>
              </w:rPr>
              <w:t>B</w:t>
            </w:r>
            <w:r w:rsidRPr="00C52938">
              <w:rPr>
                <w:b/>
                <w:sz w:val="20"/>
                <w:vertAlign w:val="subscript"/>
              </w:rPr>
              <w:t>ref</w:t>
            </w:r>
          </w:p>
        </w:tc>
        <w:tc>
          <w:tcPr>
            <w:tcW w:w="918"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Current MMB</w:t>
            </w:r>
          </w:p>
        </w:tc>
        <w:tc>
          <w:tcPr>
            <w:tcW w:w="1458"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vertAlign w:val="subscript"/>
              </w:rPr>
            </w:pPr>
            <w:r w:rsidRPr="00C52938">
              <w:rPr>
                <w:b/>
                <w:sz w:val="20"/>
              </w:rPr>
              <w:t>MMB/MMB</w:t>
            </w:r>
            <w:r w:rsidRPr="00C52938">
              <w:rPr>
                <w:b/>
                <w:sz w:val="20"/>
                <w:vertAlign w:val="subscript"/>
              </w:rPr>
              <w:t>ref</w:t>
            </w:r>
          </w:p>
        </w:tc>
        <w:tc>
          <w:tcPr>
            <w:tcW w:w="639"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vertAlign w:val="subscript"/>
              </w:rPr>
            </w:pPr>
            <w:r w:rsidRPr="00C52938">
              <w:rPr>
                <w:b/>
                <w:sz w:val="20"/>
              </w:rPr>
              <w:t>F</w:t>
            </w:r>
            <w:r w:rsidRPr="00C52938">
              <w:rPr>
                <w:b/>
                <w:sz w:val="20"/>
                <w:vertAlign w:val="subscript"/>
              </w:rPr>
              <w:t>OFL</w:t>
            </w:r>
          </w:p>
        </w:tc>
        <w:tc>
          <w:tcPr>
            <w:tcW w:w="1161"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Years to define B</w:t>
            </w:r>
            <w:r w:rsidRPr="00C52938">
              <w:rPr>
                <w:b/>
                <w:sz w:val="20"/>
                <w:vertAlign w:val="subscript"/>
              </w:rPr>
              <w:t>ref</w:t>
            </w:r>
          </w:p>
        </w:tc>
        <w:tc>
          <w:tcPr>
            <w:tcW w:w="702"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M</w:t>
            </w:r>
          </w:p>
        </w:tc>
        <w:tc>
          <w:tcPr>
            <w:tcW w:w="1062"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OFL</w:t>
            </w:r>
          </w:p>
        </w:tc>
        <w:tc>
          <w:tcPr>
            <w:tcW w:w="108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ABC</w:t>
            </w:r>
          </w:p>
          <w:p w:rsidR="004E0B13" w:rsidRPr="00C52938" w:rsidRDefault="004E0B13" w:rsidP="00AE1A81">
            <w:pPr>
              <w:pStyle w:val="BodyText"/>
              <w:spacing w:line="360" w:lineRule="auto"/>
              <w:jc w:val="center"/>
              <w:rPr>
                <w:b/>
                <w:sz w:val="20"/>
              </w:rPr>
            </w:pPr>
            <w:r w:rsidRPr="00C52938">
              <w:rPr>
                <w:b/>
                <w:sz w:val="20"/>
              </w:rPr>
              <w:t>(P*=0.49)</w:t>
            </w:r>
          </w:p>
        </w:tc>
      </w:tr>
      <w:tr w:rsidR="00B52373" w:rsidRPr="0030431F" w:rsidTr="00770F75">
        <w:tc>
          <w:tcPr>
            <w:tcW w:w="1098" w:type="dxa"/>
            <w:tcBorders>
              <w:top w:val="single" w:sz="4" w:space="0" w:color="auto"/>
            </w:tcBorders>
            <w:vAlign w:val="center"/>
          </w:tcPr>
          <w:p w:rsidR="004E0B13" w:rsidRPr="0030431F" w:rsidRDefault="004E0B13" w:rsidP="00770F75">
            <w:pPr>
              <w:pStyle w:val="BodyText"/>
              <w:spacing w:line="360" w:lineRule="auto"/>
              <w:jc w:val="center"/>
              <w:rPr>
                <w:sz w:val="20"/>
              </w:rPr>
            </w:pPr>
            <w:r w:rsidRPr="0030431F">
              <w:rPr>
                <w:sz w:val="20"/>
              </w:rPr>
              <w:t>1) 201</w:t>
            </w:r>
            <w:r>
              <w:rPr>
                <w:sz w:val="20"/>
              </w:rPr>
              <w:t>4</w:t>
            </w:r>
            <w:r w:rsidRPr="0030431F">
              <w:rPr>
                <w:sz w:val="20"/>
              </w:rPr>
              <w:t>/1</w:t>
            </w:r>
            <w:r>
              <w:rPr>
                <w:sz w:val="20"/>
              </w:rPr>
              <w:t>5</w:t>
            </w:r>
          </w:p>
        </w:tc>
        <w:tc>
          <w:tcPr>
            <w:tcW w:w="630" w:type="dxa"/>
            <w:tcBorders>
              <w:top w:val="single" w:sz="4" w:space="0" w:color="auto"/>
            </w:tcBorders>
            <w:vAlign w:val="center"/>
          </w:tcPr>
          <w:p w:rsidR="004E0B13" w:rsidRPr="0030431F" w:rsidRDefault="004E0B13" w:rsidP="00770F75">
            <w:pPr>
              <w:pStyle w:val="BodyText"/>
              <w:spacing w:line="360" w:lineRule="auto"/>
              <w:jc w:val="center"/>
              <w:rPr>
                <w:sz w:val="20"/>
              </w:rPr>
            </w:pPr>
            <w:r w:rsidRPr="00604BAC">
              <w:rPr>
                <w:sz w:val="20"/>
              </w:rPr>
              <w:t>4a</w:t>
            </w:r>
          </w:p>
        </w:tc>
        <w:tc>
          <w:tcPr>
            <w:tcW w:w="720" w:type="dxa"/>
            <w:tcBorders>
              <w:top w:val="single" w:sz="4" w:space="0" w:color="auto"/>
            </w:tcBorders>
            <w:vAlign w:val="center"/>
          </w:tcPr>
          <w:p w:rsidR="004E0B13" w:rsidRPr="0030431F" w:rsidRDefault="003467D4" w:rsidP="00770F75">
            <w:pPr>
              <w:pStyle w:val="BodyText"/>
              <w:spacing w:line="360" w:lineRule="auto"/>
              <w:jc w:val="center"/>
              <w:rPr>
                <w:sz w:val="20"/>
              </w:rPr>
            </w:pPr>
            <w:r>
              <w:rPr>
                <w:sz w:val="20"/>
              </w:rPr>
              <w:t>4.101</w:t>
            </w:r>
          </w:p>
        </w:tc>
        <w:tc>
          <w:tcPr>
            <w:tcW w:w="918" w:type="dxa"/>
            <w:tcBorders>
              <w:top w:val="single" w:sz="4" w:space="0" w:color="auto"/>
            </w:tcBorders>
            <w:vAlign w:val="center"/>
          </w:tcPr>
          <w:p w:rsidR="004E0B13" w:rsidRPr="0030431F" w:rsidRDefault="003467D4" w:rsidP="00770F75">
            <w:pPr>
              <w:pStyle w:val="BodyText"/>
              <w:spacing w:line="360" w:lineRule="auto"/>
              <w:jc w:val="center"/>
              <w:rPr>
                <w:sz w:val="20"/>
              </w:rPr>
            </w:pPr>
            <w:r>
              <w:rPr>
                <w:sz w:val="20"/>
              </w:rPr>
              <w:t>5.139</w:t>
            </w:r>
          </w:p>
        </w:tc>
        <w:tc>
          <w:tcPr>
            <w:tcW w:w="1458" w:type="dxa"/>
            <w:tcBorders>
              <w:top w:val="single" w:sz="4" w:space="0" w:color="auto"/>
            </w:tcBorders>
            <w:vAlign w:val="center"/>
          </w:tcPr>
          <w:p w:rsidR="004E0B13" w:rsidRPr="004C4A67" w:rsidRDefault="004E0B13" w:rsidP="003467D4">
            <w:pPr>
              <w:pStyle w:val="BodyText"/>
              <w:spacing w:line="360" w:lineRule="auto"/>
              <w:jc w:val="center"/>
              <w:rPr>
                <w:sz w:val="20"/>
              </w:rPr>
            </w:pPr>
            <w:r w:rsidRPr="004C4A67">
              <w:rPr>
                <w:sz w:val="20"/>
              </w:rPr>
              <w:t>1.</w:t>
            </w:r>
            <w:r w:rsidR="003467D4" w:rsidRPr="004C4A67">
              <w:rPr>
                <w:sz w:val="20"/>
              </w:rPr>
              <w:t>2</w:t>
            </w:r>
            <w:r w:rsidR="003467D4">
              <w:rPr>
                <w:sz w:val="20"/>
              </w:rPr>
              <w:t>5</w:t>
            </w:r>
          </w:p>
        </w:tc>
        <w:tc>
          <w:tcPr>
            <w:tcW w:w="639" w:type="dxa"/>
            <w:tcBorders>
              <w:top w:val="single" w:sz="4" w:space="0" w:color="auto"/>
            </w:tcBorders>
            <w:vAlign w:val="center"/>
          </w:tcPr>
          <w:p w:rsidR="004E0B13" w:rsidRPr="006E13C2" w:rsidRDefault="004E0B13" w:rsidP="00770F75">
            <w:pPr>
              <w:pStyle w:val="BodyText"/>
              <w:spacing w:line="360" w:lineRule="auto"/>
              <w:jc w:val="center"/>
              <w:rPr>
                <w:sz w:val="20"/>
              </w:rPr>
            </w:pPr>
            <w:r w:rsidRPr="006E13C2">
              <w:rPr>
                <w:sz w:val="20"/>
              </w:rPr>
              <w:t>0.18</w:t>
            </w:r>
          </w:p>
        </w:tc>
        <w:tc>
          <w:tcPr>
            <w:tcW w:w="1161" w:type="dxa"/>
            <w:tcBorders>
              <w:top w:val="single" w:sz="4" w:space="0" w:color="auto"/>
            </w:tcBorders>
            <w:vAlign w:val="center"/>
          </w:tcPr>
          <w:p w:rsidR="004E0B13" w:rsidRPr="006E13C2" w:rsidRDefault="004E0B13" w:rsidP="00770F75">
            <w:pPr>
              <w:pStyle w:val="BodyText"/>
              <w:spacing w:line="360" w:lineRule="auto"/>
              <w:jc w:val="center"/>
              <w:rPr>
                <w:sz w:val="20"/>
              </w:rPr>
            </w:pPr>
            <w:r w:rsidRPr="006E13C2">
              <w:rPr>
                <w:sz w:val="20"/>
              </w:rPr>
              <w:t>1986–2013</w:t>
            </w:r>
          </w:p>
        </w:tc>
        <w:tc>
          <w:tcPr>
            <w:tcW w:w="702" w:type="dxa"/>
            <w:tcBorders>
              <w:top w:val="single" w:sz="4" w:space="0" w:color="auto"/>
            </w:tcBorders>
            <w:vAlign w:val="center"/>
          </w:tcPr>
          <w:p w:rsidR="004E0B13" w:rsidRPr="006E13C2" w:rsidRDefault="004E0B13" w:rsidP="00770F75">
            <w:pPr>
              <w:pStyle w:val="BodyText"/>
              <w:spacing w:line="360" w:lineRule="auto"/>
              <w:jc w:val="center"/>
              <w:rPr>
                <w:sz w:val="20"/>
              </w:rPr>
            </w:pPr>
            <w:r w:rsidRPr="006E13C2">
              <w:rPr>
                <w:sz w:val="20"/>
              </w:rPr>
              <w:t>0.18</w:t>
            </w:r>
          </w:p>
        </w:tc>
        <w:tc>
          <w:tcPr>
            <w:tcW w:w="1062" w:type="dxa"/>
            <w:tcBorders>
              <w:top w:val="single" w:sz="4" w:space="0" w:color="auto"/>
            </w:tcBorders>
            <w:vAlign w:val="center"/>
          </w:tcPr>
          <w:p w:rsidR="004E0B13" w:rsidRPr="0030431F" w:rsidRDefault="003467D4" w:rsidP="00770F75">
            <w:pPr>
              <w:pStyle w:val="BodyText"/>
              <w:spacing w:line="360" w:lineRule="auto"/>
              <w:jc w:val="center"/>
              <w:rPr>
                <w:sz w:val="20"/>
              </w:rPr>
            </w:pPr>
            <w:r>
              <w:rPr>
                <w:sz w:val="20"/>
              </w:rPr>
              <w:t>828.098</w:t>
            </w:r>
          </w:p>
        </w:tc>
        <w:tc>
          <w:tcPr>
            <w:tcW w:w="1080" w:type="dxa"/>
            <w:tcBorders>
              <w:top w:val="single" w:sz="4" w:space="0" w:color="auto"/>
            </w:tcBorders>
            <w:vAlign w:val="center"/>
          </w:tcPr>
          <w:p w:rsidR="004E0B13" w:rsidRPr="0030431F" w:rsidRDefault="003467D4" w:rsidP="00770F75">
            <w:pPr>
              <w:pStyle w:val="BodyText"/>
              <w:spacing w:line="360" w:lineRule="auto"/>
              <w:jc w:val="center"/>
              <w:rPr>
                <w:sz w:val="20"/>
              </w:rPr>
            </w:pPr>
            <w:r>
              <w:rPr>
                <w:sz w:val="20"/>
              </w:rPr>
              <w:t>823.006</w:t>
            </w:r>
          </w:p>
        </w:tc>
      </w:tr>
      <w:tr w:rsidR="00B52373" w:rsidRPr="0030431F" w:rsidTr="00770F75">
        <w:tc>
          <w:tcPr>
            <w:tcW w:w="1098" w:type="dxa"/>
            <w:vAlign w:val="center"/>
          </w:tcPr>
          <w:p w:rsidR="004E0B13" w:rsidRPr="0030431F" w:rsidRDefault="004E0B13" w:rsidP="00770F75">
            <w:pPr>
              <w:pStyle w:val="BodyText"/>
              <w:spacing w:line="360" w:lineRule="auto"/>
              <w:jc w:val="center"/>
              <w:rPr>
                <w:sz w:val="20"/>
              </w:rPr>
            </w:pPr>
            <w:r w:rsidRPr="0030431F">
              <w:rPr>
                <w:sz w:val="20"/>
              </w:rPr>
              <w:t xml:space="preserve">2) </w:t>
            </w:r>
            <w:r>
              <w:rPr>
                <w:sz w:val="20"/>
              </w:rPr>
              <w:t>2014</w:t>
            </w:r>
            <w:r w:rsidRPr="0030431F">
              <w:rPr>
                <w:sz w:val="20"/>
              </w:rPr>
              <w:t>/1</w:t>
            </w:r>
            <w:r>
              <w:rPr>
                <w:sz w:val="20"/>
              </w:rPr>
              <w:t>5</w:t>
            </w:r>
          </w:p>
        </w:tc>
        <w:tc>
          <w:tcPr>
            <w:tcW w:w="630" w:type="dxa"/>
            <w:vAlign w:val="center"/>
          </w:tcPr>
          <w:p w:rsidR="004E0B13" w:rsidRPr="0030431F" w:rsidRDefault="004E0B13" w:rsidP="00770F75">
            <w:pPr>
              <w:pStyle w:val="BodyText"/>
              <w:spacing w:line="360" w:lineRule="auto"/>
              <w:jc w:val="center"/>
              <w:rPr>
                <w:sz w:val="20"/>
              </w:rPr>
            </w:pPr>
            <w:r w:rsidRPr="00604BAC">
              <w:rPr>
                <w:sz w:val="20"/>
              </w:rPr>
              <w:t>4a</w:t>
            </w:r>
          </w:p>
        </w:tc>
        <w:tc>
          <w:tcPr>
            <w:tcW w:w="720" w:type="dxa"/>
            <w:vAlign w:val="center"/>
          </w:tcPr>
          <w:p w:rsidR="004E0B13" w:rsidRPr="0030431F" w:rsidRDefault="00E2279B" w:rsidP="00770F75">
            <w:pPr>
              <w:pStyle w:val="BodyText"/>
              <w:spacing w:line="360" w:lineRule="auto"/>
              <w:jc w:val="center"/>
              <w:rPr>
                <w:sz w:val="20"/>
              </w:rPr>
            </w:pPr>
            <w:r>
              <w:rPr>
                <w:sz w:val="20"/>
              </w:rPr>
              <w:t>3.379</w:t>
            </w:r>
          </w:p>
        </w:tc>
        <w:tc>
          <w:tcPr>
            <w:tcW w:w="918" w:type="dxa"/>
            <w:vAlign w:val="center"/>
          </w:tcPr>
          <w:p w:rsidR="004E0B13" w:rsidRPr="0030431F" w:rsidRDefault="00E2279B" w:rsidP="00770F75">
            <w:pPr>
              <w:pStyle w:val="BodyText"/>
              <w:spacing w:line="360" w:lineRule="auto"/>
              <w:jc w:val="center"/>
              <w:rPr>
                <w:sz w:val="20"/>
              </w:rPr>
            </w:pPr>
            <w:r>
              <w:rPr>
                <w:sz w:val="20"/>
              </w:rPr>
              <w:t>4.432</w:t>
            </w:r>
          </w:p>
        </w:tc>
        <w:tc>
          <w:tcPr>
            <w:tcW w:w="1458" w:type="dxa"/>
            <w:vAlign w:val="center"/>
          </w:tcPr>
          <w:p w:rsidR="004E0B13" w:rsidRPr="0030431F" w:rsidRDefault="004E0B13" w:rsidP="00E2279B">
            <w:pPr>
              <w:pStyle w:val="BodyText"/>
              <w:spacing w:line="360" w:lineRule="auto"/>
              <w:jc w:val="center"/>
              <w:rPr>
                <w:sz w:val="20"/>
              </w:rPr>
            </w:pPr>
            <w:r>
              <w:rPr>
                <w:sz w:val="20"/>
              </w:rPr>
              <w:t>1.</w:t>
            </w:r>
            <w:r w:rsidR="00E2279B">
              <w:rPr>
                <w:sz w:val="20"/>
              </w:rPr>
              <w:t>31</w:t>
            </w:r>
          </w:p>
        </w:tc>
        <w:tc>
          <w:tcPr>
            <w:tcW w:w="639" w:type="dxa"/>
            <w:vAlign w:val="center"/>
          </w:tcPr>
          <w:p w:rsidR="004E0B13" w:rsidRPr="006E13C2" w:rsidRDefault="004E0B13" w:rsidP="00770F75">
            <w:pPr>
              <w:pStyle w:val="BodyText"/>
              <w:spacing w:line="360" w:lineRule="auto"/>
              <w:jc w:val="center"/>
              <w:rPr>
                <w:sz w:val="20"/>
              </w:rPr>
            </w:pPr>
            <w:r w:rsidRPr="006E13C2">
              <w:rPr>
                <w:sz w:val="20"/>
              </w:rPr>
              <w:t>0.18</w:t>
            </w:r>
          </w:p>
        </w:tc>
        <w:tc>
          <w:tcPr>
            <w:tcW w:w="1161" w:type="dxa"/>
            <w:vAlign w:val="center"/>
          </w:tcPr>
          <w:p w:rsidR="004E0B13" w:rsidRPr="006E13C2" w:rsidRDefault="004E0B13" w:rsidP="00770F75">
            <w:pPr>
              <w:pStyle w:val="BodyText"/>
              <w:spacing w:line="360" w:lineRule="auto"/>
              <w:jc w:val="center"/>
              <w:rPr>
                <w:sz w:val="20"/>
              </w:rPr>
            </w:pPr>
            <w:r w:rsidRPr="006E13C2">
              <w:rPr>
                <w:sz w:val="20"/>
              </w:rPr>
              <w:t>1986–2013</w:t>
            </w:r>
          </w:p>
        </w:tc>
        <w:tc>
          <w:tcPr>
            <w:tcW w:w="702" w:type="dxa"/>
            <w:vAlign w:val="center"/>
          </w:tcPr>
          <w:p w:rsidR="004E0B13" w:rsidRPr="006E13C2" w:rsidRDefault="004E0B13" w:rsidP="00770F75">
            <w:pPr>
              <w:pStyle w:val="BodyText"/>
              <w:spacing w:line="360" w:lineRule="auto"/>
              <w:jc w:val="center"/>
              <w:rPr>
                <w:sz w:val="20"/>
              </w:rPr>
            </w:pPr>
            <w:r w:rsidRPr="006E13C2">
              <w:rPr>
                <w:sz w:val="20"/>
              </w:rPr>
              <w:t>0.18</w:t>
            </w:r>
          </w:p>
        </w:tc>
        <w:tc>
          <w:tcPr>
            <w:tcW w:w="1062" w:type="dxa"/>
            <w:vAlign w:val="center"/>
          </w:tcPr>
          <w:p w:rsidR="004E0B13" w:rsidRPr="0030431F" w:rsidRDefault="00E2279B" w:rsidP="00770F75">
            <w:pPr>
              <w:pStyle w:val="BodyText"/>
              <w:spacing w:line="360" w:lineRule="auto"/>
              <w:jc w:val="center"/>
              <w:rPr>
                <w:sz w:val="20"/>
              </w:rPr>
            </w:pPr>
            <w:r>
              <w:rPr>
                <w:sz w:val="20"/>
              </w:rPr>
              <w:t>747.311</w:t>
            </w:r>
          </w:p>
        </w:tc>
        <w:tc>
          <w:tcPr>
            <w:tcW w:w="1080" w:type="dxa"/>
            <w:vAlign w:val="center"/>
          </w:tcPr>
          <w:p w:rsidR="004E0B13" w:rsidRPr="0030431F" w:rsidRDefault="00E2279B" w:rsidP="00770F75">
            <w:pPr>
              <w:jc w:val="center"/>
            </w:pPr>
            <w:r>
              <w:t>743.246</w:t>
            </w:r>
          </w:p>
        </w:tc>
      </w:tr>
    </w:tbl>
    <w:p w:rsidR="00D50F0D" w:rsidRDefault="00D50F0D" w:rsidP="00D50F0D">
      <w:pPr>
        <w:pStyle w:val="BodyText"/>
        <w:spacing w:line="360" w:lineRule="auto"/>
        <w:jc w:val="both"/>
        <w:rPr>
          <w:sz w:val="24"/>
          <w:szCs w:val="24"/>
        </w:rPr>
      </w:pPr>
    </w:p>
    <w:p w:rsidR="00271FDF" w:rsidRDefault="00271FDF" w:rsidP="00D50F0D">
      <w:pPr>
        <w:pStyle w:val="BodyText"/>
        <w:spacing w:line="360" w:lineRule="auto"/>
        <w:jc w:val="both"/>
        <w:rPr>
          <w:sz w:val="24"/>
          <w:szCs w:val="24"/>
        </w:rPr>
      </w:pPr>
    </w:p>
    <w:p w:rsidR="00271FDF" w:rsidRDefault="00271FDF" w:rsidP="00D50F0D">
      <w:pPr>
        <w:pStyle w:val="BodyText"/>
        <w:spacing w:line="360" w:lineRule="auto"/>
        <w:jc w:val="both"/>
        <w:rPr>
          <w:sz w:val="24"/>
          <w:szCs w:val="24"/>
        </w:rPr>
      </w:pPr>
    </w:p>
    <w:p w:rsidR="00271FDF" w:rsidRDefault="00271FDF" w:rsidP="00D50F0D">
      <w:pPr>
        <w:pStyle w:val="BodyText"/>
        <w:spacing w:line="360" w:lineRule="auto"/>
        <w:jc w:val="both"/>
        <w:rPr>
          <w:sz w:val="24"/>
          <w:szCs w:val="24"/>
        </w:rPr>
      </w:pPr>
    </w:p>
    <w:p w:rsidR="00271FDF" w:rsidRDefault="00271FDF" w:rsidP="00D50F0D">
      <w:pPr>
        <w:pStyle w:val="BodyText"/>
        <w:spacing w:line="360" w:lineRule="auto"/>
        <w:jc w:val="both"/>
        <w:rPr>
          <w:sz w:val="24"/>
          <w:szCs w:val="24"/>
        </w:rPr>
      </w:pPr>
    </w:p>
    <w:p w:rsidR="00D50F0D" w:rsidRDefault="00D50F0D" w:rsidP="00D50F0D">
      <w:pPr>
        <w:pStyle w:val="BodyText"/>
        <w:spacing w:line="360" w:lineRule="auto"/>
        <w:jc w:val="both"/>
        <w:rPr>
          <w:sz w:val="24"/>
          <w:szCs w:val="24"/>
        </w:rPr>
      </w:pPr>
      <w:r>
        <w:rPr>
          <w:sz w:val="24"/>
          <w:szCs w:val="24"/>
        </w:rPr>
        <w:lastRenderedPageBreak/>
        <w:t>WAG:</w:t>
      </w:r>
    </w:p>
    <w:p w:rsidR="00D50F0D" w:rsidRDefault="00D50F0D" w:rsidP="00D50F0D">
      <w:pPr>
        <w:pStyle w:val="BodyText"/>
        <w:spacing w:line="360" w:lineRule="auto"/>
        <w:jc w:val="both"/>
        <w:rPr>
          <w:sz w:val="24"/>
          <w:szCs w:val="24"/>
        </w:rPr>
      </w:pPr>
      <w:r>
        <w:rPr>
          <w:sz w:val="24"/>
          <w:szCs w:val="24"/>
        </w:rPr>
        <w:t>Biomass in million pounds</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8"/>
        <w:gridCol w:w="630"/>
        <w:gridCol w:w="810"/>
        <w:gridCol w:w="990"/>
        <w:gridCol w:w="1530"/>
        <w:gridCol w:w="630"/>
        <w:gridCol w:w="1170"/>
        <w:gridCol w:w="630"/>
        <w:gridCol w:w="720"/>
        <w:gridCol w:w="1080"/>
      </w:tblGrid>
      <w:tr w:rsidR="004E0B13" w:rsidTr="00AE1A81">
        <w:tc>
          <w:tcPr>
            <w:tcW w:w="1098"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Pr>
                <w:b/>
                <w:sz w:val="20"/>
              </w:rPr>
              <w:t>Season</w:t>
            </w:r>
          </w:p>
        </w:tc>
        <w:tc>
          <w:tcPr>
            <w:tcW w:w="63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Tier</w:t>
            </w:r>
          </w:p>
        </w:tc>
        <w:tc>
          <w:tcPr>
            <w:tcW w:w="81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vertAlign w:val="subscript"/>
              </w:rPr>
            </w:pPr>
            <w:r w:rsidRPr="00C52938">
              <w:rPr>
                <w:b/>
                <w:sz w:val="20"/>
              </w:rPr>
              <w:t>B</w:t>
            </w:r>
            <w:r w:rsidRPr="00C52938">
              <w:rPr>
                <w:b/>
                <w:sz w:val="20"/>
                <w:vertAlign w:val="subscript"/>
              </w:rPr>
              <w:t>ref</w:t>
            </w:r>
          </w:p>
        </w:tc>
        <w:tc>
          <w:tcPr>
            <w:tcW w:w="99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Current MMB</w:t>
            </w:r>
          </w:p>
        </w:tc>
        <w:tc>
          <w:tcPr>
            <w:tcW w:w="153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vertAlign w:val="subscript"/>
              </w:rPr>
            </w:pPr>
            <w:r w:rsidRPr="00C52938">
              <w:rPr>
                <w:b/>
                <w:sz w:val="20"/>
              </w:rPr>
              <w:t>MMB/MMB</w:t>
            </w:r>
            <w:r w:rsidRPr="00C52938">
              <w:rPr>
                <w:b/>
                <w:sz w:val="20"/>
                <w:vertAlign w:val="subscript"/>
              </w:rPr>
              <w:t>ref</w:t>
            </w:r>
          </w:p>
        </w:tc>
        <w:tc>
          <w:tcPr>
            <w:tcW w:w="63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vertAlign w:val="subscript"/>
              </w:rPr>
            </w:pPr>
            <w:r w:rsidRPr="00C52938">
              <w:rPr>
                <w:b/>
                <w:sz w:val="20"/>
              </w:rPr>
              <w:t>F</w:t>
            </w:r>
            <w:r w:rsidRPr="00C52938">
              <w:rPr>
                <w:b/>
                <w:sz w:val="20"/>
                <w:vertAlign w:val="subscript"/>
              </w:rPr>
              <w:t>OFL</w:t>
            </w:r>
          </w:p>
        </w:tc>
        <w:tc>
          <w:tcPr>
            <w:tcW w:w="117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Years to define B</w:t>
            </w:r>
            <w:r w:rsidRPr="00C52938">
              <w:rPr>
                <w:b/>
                <w:sz w:val="20"/>
                <w:vertAlign w:val="subscript"/>
              </w:rPr>
              <w:t>ref</w:t>
            </w:r>
          </w:p>
        </w:tc>
        <w:tc>
          <w:tcPr>
            <w:tcW w:w="63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M</w:t>
            </w:r>
          </w:p>
        </w:tc>
        <w:tc>
          <w:tcPr>
            <w:tcW w:w="72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OFL</w:t>
            </w:r>
          </w:p>
        </w:tc>
        <w:tc>
          <w:tcPr>
            <w:tcW w:w="108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ABC</w:t>
            </w:r>
          </w:p>
          <w:p w:rsidR="004E0B13" w:rsidRPr="00C52938" w:rsidRDefault="004E0B13" w:rsidP="00AE1A81">
            <w:pPr>
              <w:pStyle w:val="BodyText"/>
              <w:spacing w:line="360" w:lineRule="auto"/>
              <w:jc w:val="center"/>
              <w:rPr>
                <w:b/>
                <w:sz w:val="20"/>
              </w:rPr>
            </w:pPr>
            <w:r w:rsidRPr="00C52938">
              <w:rPr>
                <w:b/>
                <w:sz w:val="20"/>
              </w:rPr>
              <w:t>(P*=0.49)</w:t>
            </w:r>
          </w:p>
        </w:tc>
      </w:tr>
      <w:tr w:rsidR="004E0B13" w:rsidRPr="00DA256D" w:rsidTr="00770F75">
        <w:trPr>
          <w:trHeight w:val="386"/>
        </w:trPr>
        <w:tc>
          <w:tcPr>
            <w:tcW w:w="1098" w:type="dxa"/>
            <w:tcBorders>
              <w:top w:val="single" w:sz="4" w:space="0" w:color="auto"/>
            </w:tcBorders>
            <w:vAlign w:val="center"/>
          </w:tcPr>
          <w:p w:rsidR="004E0B13" w:rsidRPr="0030431F" w:rsidRDefault="004E0B13" w:rsidP="00770F75">
            <w:pPr>
              <w:pStyle w:val="BodyText"/>
              <w:spacing w:line="360" w:lineRule="auto"/>
              <w:jc w:val="center"/>
              <w:rPr>
                <w:sz w:val="20"/>
              </w:rPr>
            </w:pPr>
            <w:r w:rsidRPr="0030431F">
              <w:rPr>
                <w:sz w:val="20"/>
              </w:rPr>
              <w:t>1) 201</w:t>
            </w:r>
            <w:r>
              <w:rPr>
                <w:sz w:val="20"/>
              </w:rPr>
              <w:t>4</w:t>
            </w:r>
            <w:r w:rsidRPr="0030431F">
              <w:rPr>
                <w:sz w:val="20"/>
              </w:rPr>
              <w:t>/1</w:t>
            </w:r>
            <w:r>
              <w:rPr>
                <w:sz w:val="20"/>
              </w:rPr>
              <w:t>5</w:t>
            </w:r>
          </w:p>
        </w:tc>
        <w:tc>
          <w:tcPr>
            <w:tcW w:w="630" w:type="dxa"/>
            <w:tcBorders>
              <w:top w:val="single" w:sz="4" w:space="0" w:color="auto"/>
            </w:tcBorders>
            <w:vAlign w:val="center"/>
          </w:tcPr>
          <w:p w:rsidR="004E0B13" w:rsidRPr="00C52938" w:rsidRDefault="004E0B13" w:rsidP="00770F75">
            <w:pPr>
              <w:pStyle w:val="BodyText"/>
              <w:spacing w:line="360" w:lineRule="auto"/>
              <w:jc w:val="center"/>
              <w:rPr>
                <w:sz w:val="20"/>
              </w:rPr>
            </w:pPr>
            <w:r w:rsidRPr="006E13C2">
              <w:rPr>
                <w:sz w:val="20"/>
              </w:rPr>
              <w:t>4a</w:t>
            </w:r>
          </w:p>
        </w:tc>
        <w:tc>
          <w:tcPr>
            <w:tcW w:w="810" w:type="dxa"/>
            <w:tcBorders>
              <w:top w:val="single" w:sz="4" w:space="0" w:color="auto"/>
            </w:tcBorders>
            <w:vAlign w:val="center"/>
          </w:tcPr>
          <w:p w:rsidR="004E0B13" w:rsidRPr="00C52938" w:rsidRDefault="00072F4B" w:rsidP="00770F75">
            <w:pPr>
              <w:pStyle w:val="BodyText"/>
              <w:spacing w:line="360" w:lineRule="auto"/>
              <w:jc w:val="center"/>
              <w:rPr>
                <w:sz w:val="20"/>
              </w:rPr>
            </w:pPr>
            <w:r>
              <w:rPr>
                <w:sz w:val="20"/>
              </w:rPr>
              <w:t>7.954</w:t>
            </w:r>
          </w:p>
        </w:tc>
        <w:tc>
          <w:tcPr>
            <w:tcW w:w="990" w:type="dxa"/>
            <w:tcBorders>
              <w:top w:val="single" w:sz="4" w:space="0" w:color="auto"/>
            </w:tcBorders>
            <w:vAlign w:val="center"/>
          </w:tcPr>
          <w:p w:rsidR="004E0B13" w:rsidRPr="00C52938" w:rsidRDefault="00072F4B" w:rsidP="00770F75">
            <w:pPr>
              <w:pStyle w:val="BodyText"/>
              <w:spacing w:line="360" w:lineRule="auto"/>
              <w:jc w:val="center"/>
              <w:rPr>
                <w:sz w:val="20"/>
              </w:rPr>
            </w:pPr>
            <w:r>
              <w:rPr>
                <w:sz w:val="20"/>
              </w:rPr>
              <w:t>10.723</w:t>
            </w:r>
          </w:p>
        </w:tc>
        <w:tc>
          <w:tcPr>
            <w:tcW w:w="1530" w:type="dxa"/>
            <w:tcBorders>
              <w:top w:val="single" w:sz="4" w:space="0" w:color="auto"/>
            </w:tcBorders>
            <w:vAlign w:val="center"/>
          </w:tcPr>
          <w:p w:rsidR="004E0B13" w:rsidRPr="00C52938" w:rsidRDefault="004E0B13" w:rsidP="00072F4B">
            <w:pPr>
              <w:pStyle w:val="BodyText"/>
              <w:spacing w:line="360" w:lineRule="auto"/>
              <w:jc w:val="center"/>
              <w:rPr>
                <w:sz w:val="20"/>
              </w:rPr>
            </w:pPr>
            <w:r>
              <w:rPr>
                <w:sz w:val="20"/>
              </w:rPr>
              <w:t>1.</w:t>
            </w:r>
            <w:r w:rsidR="00072F4B">
              <w:rPr>
                <w:sz w:val="20"/>
              </w:rPr>
              <w:t>35</w:t>
            </w:r>
          </w:p>
        </w:tc>
        <w:tc>
          <w:tcPr>
            <w:tcW w:w="630" w:type="dxa"/>
            <w:tcBorders>
              <w:top w:val="single" w:sz="4" w:space="0" w:color="auto"/>
            </w:tcBorders>
            <w:vAlign w:val="center"/>
          </w:tcPr>
          <w:p w:rsidR="004E0B13" w:rsidRPr="006E13C2" w:rsidRDefault="004E0B13" w:rsidP="00770F75">
            <w:pPr>
              <w:pStyle w:val="BodyText"/>
              <w:spacing w:line="360" w:lineRule="auto"/>
              <w:jc w:val="center"/>
              <w:rPr>
                <w:sz w:val="20"/>
              </w:rPr>
            </w:pPr>
            <w:r w:rsidRPr="006E13C2">
              <w:rPr>
                <w:sz w:val="20"/>
              </w:rPr>
              <w:t>0.18</w:t>
            </w:r>
          </w:p>
        </w:tc>
        <w:tc>
          <w:tcPr>
            <w:tcW w:w="1170" w:type="dxa"/>
            <w:tcBorders>
              <w:top w:val="single" w:sz="4" w:space="0" w:color="auto"/>
            </w:tcBorders>
            <w:vAlign w:val="center"/>
          </w:tcPr>
          <w:p w:rsidR="004E0B13" w:rsidRPr="006E13C2" w:rsidRDefault="004E0B13" w:rsidP="00770F75">
            <w:pPr>
              <w:pStyle w:val="BodyText"/>
              <w:spacing w:line="360" w:lineRule="auto"/>
              <w:jc w:val="center"/>
              <w:rPr>
                <w:sz w:val="20"/>
              </w:rPr>
            </w:pPr>
            <w:r w:rsidRPr="006E13C2">
              <w:rPr>
                <w:sz w:val="20"/>
              </w:rPr>
              <w:t>1986–2013</w:t>
            </w:r>
          </w:p>
        </w:tc>
        <w:tc>
          <w:tcPr>
            <w:tcW w:w="630" w:type="dxa"/>
            <w:tcBorders>
              <w:top w:val="single" w:sz="4" w:space="0" w:color="auto"/>
            </w:tcBorders>
            <w:vAlign w:val="center"/>
          </w:tcPr>
          <w:p w:rsidR="004E0B13" w:rsidRPr="006E13C2" w:rsidRDefault="004E0B13" w:rsidP="00770F75">
            <w:pPr>
              <w:pStyle w:val="BodyText"/>
              <w:spacing w:line="360" w:lineRule="auto"/>
              <w:jc w:val="center"/>
              <w:rPr>
                <w:sz w:val="20"/>
              </w:rPr>
            </w:pPr>
            <w:r w:rsidRPr="006E13C2">
              <w:rPr>
                <w:sz w:val="20"/>
              </w:rPr>
              <w:t>0.18</w:t>
            </w:r>
          </w:p>
        </w:tc>
        <w:tc>
          <w:tcPr>
            <w:tcW w:w="720" w:type="dxa"/>
            <w:tcBorders>
              <w:top w:val="single" w:sz="4" w:space="0" w:color="auto"/>
            </w:tcBorders>
            <w:vAlign w:val="center"/>
          </w:tcPr>
          <w:p w:rsidR="004E0B13" w:rsidRPr="00C52938" w:rsidRDefault="006C708F" w:rsidP="00770F75">
            <w:pPr>
              <w:pStyle w:val="BodyText"/>
              <w:spacing w:line="360" w:lineRule="auto"/>
              <w:jc w:val="center"/>
              <w:rPr>
                <w:sz w:val="20"/>
              </w:rPr>
            </w:pPr>
            <w:r>
              <w:rPr>
                <w:sz w:val="20"/>
              </w:rPr>
              <w:t>1.671</w:t>
            </w:r>
          </w:p>
        </w:tc>
        <w:tc>
          <w:tcPr>
            <w:tcW w:w="1080" w:type="dxa"/>
            <w:tcBorders>
              <w:top w:val="single" w:sz="4" w:space="0" w:color="auto"/>
            </w:tcBorders>
            <w:vAlign w:val="center"/>
          </w:tcPr>
          <w:p w:rsidR="004E0B13" w:rsidRPr="00C52938" w:rsidRDefault="006C708F" w:rsidP="00770F75">
            <w:pPr>
              <w:pStyle w:val="BodyText"/>
              <w:spacing w:line="360" w:lineRule="auto"/>
              <w:jc w:val="center"/>
              <w:rPr>
                <w:sz w:val="20"/>
              </w:rPr>
            </w:pPr>
            <w:r>
              <w:rPr>
                <w:sz w:val="20"/>
              </w:rPr>
              <w:t>1.663</w:t>
            </w:r>
          </w:p>
        </w:tc>
      </w:tr>
      <w:tr w:rsidR="004E0B13" w:rsidRPr="00DA256D" w:rsidTr="00770F75">
        <w:tc>
          <w:tcPr>
            <w:tcW w:w="1098" w:type="dxa"/>
            <w:vAlign w:val="center"/>
          </w:tcPr>
          <w:p w:rsidR="004E0B13" w:rsidRPr="0030431F" w:rsidRDefault="004E0B13" w:rsidP="00770F75">
            <w:pPr>
              <w:pStyle w:val="BodyText"/>
              <w:spacing w:line="360" w:lineRule="auto"/>
              <w:jc w:val="center"/>
              <w:rPr>
                <w:sz w:val="20"/>
              </w:rPr>
            </w:pPr>
            <w:r w:rsidRPr="0030431F">
              <w:rPr>
                <w:sz w:val="20"/>
              </w:rPr>
              <w:t xml:space="preserve">2) </w:t>
            </w:r>
            <w:r>
              <w:rPr>
                <w:sz w:val="20"/>
              </w:rPr>
              <w:t>2014</w:t>
            </w:r>
            <w:r w:rsidRPr="0030431F">
              <w:rPr>
                <w:sz w:val="20"/>
              </w:rPr>
              <w:t>/1</w:t>
            </w:r>
            <w:r>
              <w:rPr>
                <w:sz w:val="20"/>
              </w:rPr>
              <w:t>5</w:t>
            </w:r>
          </w:p>
        </w:tc>
        <w:tc>
          <w:tcPr>
            <w:tcW w:w="630" w:type="dxa"/>
            <w:vAlign w:val="center"/>
          </w:tcPr>
          <w:p w:rsidR="004E0B13" w:rsidRPr="00C52938" w:rsidRDefault="004E0B13" w:rsidP="00770F75">
            <w:pPr>
              <w:pStyle w:val="BodyText"/>
              <w:spacing w:line="360" w:lineRule="auto"/>
              <w:jc w:val="center"/>
              <w:rPr>
                <w:sz w:val="20"/>
              </w:rPr>
            </w:pPr>
            <w:r w:rsidRPr="006E13C2">
              <w:rPr>
                <w:sz w:val="20"/>
              </w:rPr>
              <w:t>4a</w:t>
            </w:r>
          </w:p>
        </w:tc>
        <w:tc>
          <w:tcPr>
            <w:tcW w:w="810" w:type="dxa"/>
            <w:vAlign w:val="center"/>
          </w:tcPr>
          <w:p w:rsidR="004E0B13" w:rsidRPr="00C52938" w:rsidRDefault="00072F4B" w:rsidP="00770F75">
            <w:pPr>
              <w:pStyle w:val="BodyText"/>
              <w:spacing w:line="360" w:lineRule="auto"/>
              <w:jc w:val="center"/>
              <w:rPr>
                <w:sz w:val="20"/>
              </w:rPr>
            </w:pPr>
            <w:r>
              <w:rPr>
                <w:sz w:val="20"/>
              </w:rPr>
              <w:t>6.863</w:t>
            </w:r>
          </w:p>
        </w:tc>
        <w:tc>
          <w:tcPr>
            <w:tcW w:w="990" w:type="dxa"/>
            <w:vAlign w:val="center"/>
          </w:tcPr>
          <w:p w:rsidR="004E0B13" w:rsidRPr="00C52938" w:rsidRDefault="00072F4B" w:rsidP="00770F75">
            <w:pPr>
              <w:pStyle w:val="BodyText"/>
              <w:spacing w:line="360" w:lineRule="auto"/>
              <w:jc w:val="center"/>
              <w:rPr>
                <w:sz w:val="20"/>
              </w:rPr>
            </w:pPr>
            <w:r>
              <w:rPr>
                <w:sz w:val="20"/>
              </w:rPr>
              <w:t>9.826</w:t>
            </w:r>
          </w:p>
        </w:tc>
        <w:tc>
          <w:tcPr>
            <w:tcW w:w="1530" w:type="dxa"/>
            <w:vAlign w:val="center"/>
          </w:tcPr>
          <w:p w:rsidR="004E0B13" w:rsidRPr="00C52938" w:rsidRDefault="004E0B13" w:rsidP="00072F4B">
            <w:pPr>
              <w:pStyle w:val="BodyText"/>
              <w:spacing w:line="360" w:lineRule="auto"/>
              <w:jc w:val="center"/>
              <w:rPr>
                <w:sz w:val="20"/>
              </w:rPr>
            </w:pPr>
            <w:r>
              <w:rPr>
                <w:sz w:val="20"/>
              </w:rPr>
              <w:t>1.</w:t>
            </w:r>
            <w:r w:rsidR="00072F4B">
              <w:rPr>
                <w:sz w:val="20"/>
              </w:rPr>
              <w:t>43</w:t>
            </w:r>
          </w:p>
        </w:tc>
        <w:tc>
          <w:tcPr>
            <w:tcW w:w="630" w:type="dxa"/>
            <w:vAlign w:val="center"/>
          </w:tcPr>
          <w:p w:rsidR="004E0B13" w:rsidRPr="006E13C2" w:rsidRDefault="004E0B13" w:rsidP="00770F75">
            <w:pPr>
              <w:pStyle w:val="BodyText"/>
              <w:spacing w:line="360" w:lineRule="auto"/>
              <w:jc w:val="center"/>
              <w:rPr>
                <w:sz w:val="20"/>
              </w:rPr>
            </w:pPr>
            <w:r w:rsidRPr="006E13C2">
              <w:rPr>
                <w:sz w:val="20"/>
              </w:rPr>
              <w:t>0.18</w:t>
            </w:r>
          </w:p>
        </w:tc>
        <w:tc>
          <w:tcPr>
            <w:tcW w:w="1170" w:type="dxa"/>
            <w:vAlign w:val="center"/>
          </w:tcPr>
          <w:p w:rsidR="004E0B13" w:rsidRPr="006E13C2" w:rsidRDefault="004E0B13" w:rsidP="00770F75">
            <w:pPr>
              <w:pStyle w:val="BodyText"/>
              <w:spacing w:line="360" w:lineRule="auto"/>
              <w:jc w:val="center"/>
              <w:rPr>
                <w:sz w:val="20"/>
              </w:rPr>
            </w:pPr>
            <w:r w:rsidRPr="006E13C2">
              <w:rPr>
                <w:sz w:val="20"/>
              </w:rPr>
              <w:t>1986–2013</w:t>
            </w:r>
          </w:p>
        </w:tc>
        <w:tc>
          <w:tcPr>
            <w:tcW w:w="630" w:type="dxa"/>
            <w:vAlign w:val="center"/>
          </w:tcPr>
          <w:p w:rsidR="004E0B13" w:rsidRPr="006E13C2" w:rsidRDefault="004E0B13" w:rsidP="00770F75">
            <w:pPr>
              <w:pStyle w:val="BodyText"/>
              <w:spacing w:line="360" w:lineRule="auto"/>
              <w:jc w:val="center"/>
              <w:rPr>
                <w:sz w:val="20"/>
              </w:rPr>
            </w:pPr>
            <w:r w:rsidRPr="006E13C2">
              <w:rPr>
                <w:sz w:val="20"/>
              </w:rPr>
              <w:t>0.18</w:t>
            </w:r>
          </w:p>
        </w:tc>
        <w:tc>
          <w:tcPr>
            <w:tcW w:w="720" w:type="dxa"/>
            <w:vAlign w:val="center"/>
          </w:tcPr>
          <w:p w:rsidR="004E0B13" w:rsidRPr="00785E43" w:rsidRDefault="006C708F" w:rsidP="00770F75">
            <w:pPr>
              <w:pStyle w:val="BodyText"/>
              <w:spacing w:line="360" w:lineRule="auto"/>
              <w:jc w:val="center"/>
              <w:rPr>
                <w:sz w:val="20"/>
              </w:rPr>
            </w:pPr>
            <w:r>
              <w:rPr>
                <w:sz w:val="20"/>
              </w:rPr>
              <w:t>1.613</w:t>
            </w:r>
          </w:p>
        </w:tc>
        <w:tc>
          <w:tcPr>
            <w:tcW w:w="1080" w:type="dxa"/>
            <w:vAlign w:val="center"/>
          </w:tcPr>
          <w:p w:rsidR="004E0B13" w:rsidRPr="00785E43" w:rsidRDefault="006C708F" w:rsidP="00770F75">
            <w:pPr>
              <w:pStyle w:val="BodyText"/>
              <w:spacing w:line="360" w:lineRule="auto"/>
              <w:jc w:val="center"/>
              <w:rPr>
                <w:sz w:val="20"/>
              </w:rPr>
            </w:pPr>
            <w:r>
              <w:rPr>
                <w:sz w:val="20"/>
              </w:rPr>
              <w:t>1.606</w:t>
            </w:r>
          </w:p>
        </w:tc>
      </w:tr>
    </w:tbl>
    <w:p w:rsidR="00D50F0D" w:rsidRDefault="00D50F0D" w:rsidP="00D50F0D">
      <w:pPr>
        <w:pStyle w:val="BodyText"/>
        <w:spacing w:line="360" w:lineRule="auto"/>
        <w:jc w:val="both"/>
        <w:rPr>
          <w:sz w:val="24"/>
          <w:szCs w:val="24"/>
        </w:rPr>
      </w:pPr>
    </w:p>
    <w:p w:rsidR="00D50F0D" w:rsidRDefault="00D50F0D" w:rsidP="00D50F0D">
      <w:pPr>
        <w:pStyle w:val="BodyText"/>
        <w:spacing w:line="360" w:lineRule="auto"/>
        <w:jc w:val="both"/>
        <w:rPr>
          <w:sz w:val="24"/>
          <w:szCs w:val="24"/>
        </w:rPr>
      </w:pPr>
      <w:r>
        <w:rPr>
          <w:sz w:val="24"/>
          <w:szCs w:val="24"/>
        </w:rPr>
        <w:t>Biomass in 1000 t</w:t>
      </w:r>
      <w:r w:rsidR="00D01DFF">
        <w:rPr>
          <w:sz w:val="24"/>
          <w:szCs w:val="24"/>
        </w:rPr>
        <w:t>, and total OFL and ABC are in t.</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8"/>
        <w:gridCol w:w="630"/>
        <w:gridCol w:w="810"/>
        <w:gridCol w:w="990"/>
        <w:gridCol w:w="1530"/>
        <w:gridCol w:w="648"/>
        <w:gridCol w:w="1152"/>
        <w:gridCol w:w="630"/>
        <w:gridCol w:w="990"/>
        <w:gridCol w:w="1080"/>
      </w:tblGrid>
      <w:tr w:rsidR="004E0B13" w:rsidRPr="001C6404" w:rsidTr="00770F75">
        <w:tc>
          <w:tcPr>
            <w:tcW w:w="1098"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Pr>
                <w:b/>
                <w:sz w:val="20"/>
              </w:rPr>
              <w:t>Season</w:t>
            </w:r>
          </w:p>
        </w:tc>
        <w:tc>
          <w:tcPr>
            <w:tcW w:w="63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Tier</w:t>
            </w:r>
          </w:p>
        </w:tc>
        <w:tc>
          <w:tcPr>
            <w:tcW w:w="81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vertAlign w:val="subscript"/>
              </w:rPr>
            </w:pPr>
            <w:r w:rsidRPr="00C52938">
              <w:rPr>
                <w:b/>
                <w:sz w:val="20"/>
              </w:rPr>
              <w:t>B</w:t>
            </w:r>
            <w:r w:rsidRPr="00C52938">
              <w:rPr>
                <w:b/>
                <w:sz w:val="20"/>
                <w:vertAlign w:val="subscript"/>
              </w:rPr>
              <w:t>ref</w:t>
            </w:r>
          </w:p>
        </w:tc>
        <w:tc>
          <w:tcPr>
            <w:tcW w:w="99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Current MMB</w:t>
            </w:r>
          </w:p>
        </w:tc>
        <w:tc>
          <w:tcPr>
            <w:tcW w:w="153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vertAlign w:val="subscript"/>
              </w:rPr>
            </w:pPr>
            <w:r w:rsidRPr="00C52938">
              <w:rPr>
                <w:b/>
                <w:sz w:val="20"/>
              </w:rPr>
              <w:t>MMB/MMB</w:t>
            </w:r>
            <w:r w:rsidRPr="00C52938">
              <w:rPr>
                <w:b/>
                <w:sz w:val="20"/>
                <w:vertAlign w:val="subscript"/>
              </w:rPr>
              <w:t>ref</w:t>
            </w:r>
          </w:p>
        </w:tc>
        <w:tc>
          <w:tcPr>
            <w:tcW w:w="648"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vertAlign w:val="subscript"/>
              </w:rPr>
            </w:pPr>
            <w:r w:rsidRPr="00C52938">
              <w:rPr>
                <w:b/>
                <w:sz w:val="20"/>
              </w:rPr>
              <w:t>F</w:t>
            </w:r>
            <w:r w:rsidRPr="00C52938">
              <w:rPr>
                <w:b/>
                <w:sz w:val="20"/>
                <w:vertAlign w:val="subscript"/>
              </w:rPr>
              <w:t>OFL</w:t>
            </w:r>
          </w:p>
        </w:tc>
        <w:tc>
          <w:tcPr>
            <w:tcW w:w="1152"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Years to define B</w:t>
            </w:r>
            <w:r w:rsidRPr="00C52938">
              <w:rPr>
                <w:b/>
                <w:sz w:val="20"/>
                <w:vertAlign w:val="subscript"/>
              </w:rPr>
              <w:t>ref</w:t>
            </w:r>
          </w:p>
        </w:tc>
        <w:tc>
          <w:tcPr>
            <w:tcW w:w="63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M</w:t>
            </w:r>
          </w:p>
        </w:tc>
        <w:tc>
          <w:tcPr>
            <w:tcW w:w="99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OFL</w:t>
            </w:r>
          </w:p>
        </w:tc>
        <w:tc>
          <w:tcPr>
            <w:tcW w:w="1080" w:type="dxa"/>
            <w:tcBorders>
              <w:top w:val="single" w:sz="4" w:space="0" w:color="auto"/>
              <w:bottom w:val="single" w:sz="4" w:space="0" w:color="auto"/>
            </w:tcBorders>
            <w:vAlign w:val="bottom"/>
          </w:tcPr>
          <w:p w:rsidR="004E0B13" w:rsidRPr="00C52938" w:rsidRDefault="004E0B13" w:rsidP="00AE1A81">
            <w:pPr>
              <w:pStyle w:val="BodyText"/>
              <w:spacing w:line="360" w:lineRule="auto"/>
              <w:jc w:val="center"/>
              <w:rPr>
                <w:b/>
                <w:sz w:val="20"/>
              </w:rPr>
            </w:pPr>
            <w:r w:rsidRPr="00C52938">
              <w:rPr>
                <w:b/>
                <w:sz w:val="20"/>
              </w:rPr>
              <w:t>ABC</w:t>
            </w:r>
          </w:p>
          <w:p w:rsidR="004E0B13" w:rsidRPr="00C52938" w:rsidRDefault="004E0B13" w:rsidP="00AE1A81">
            <w:pPr>
              <w:pStyle w:val="BodyText"/>
              <w:spacing w:line="360" w:lineRule="auto"/>
              <w:jc w:val="center"/>
              <w:rPr>
                <w:b/>
                <w:sz w:val="20"/>
              </w:rPr>
            </w:pPr>
            <w:r w:rsidRPr="00C52938">
              <w:rPr>
                <w:b/>
                <w:sz w:val="20"/>
              </w:rPr>
              <w:t>(P*=0.49)</w:t>
            </w:r>
          </w:p>
        </w:tc>
      </w:tr>
      <w:tr w:rsidR="004E0B13" w:rsidRPr="00DA256D" w:rsidTr="00770F75">
        <w:tc>
          <w:tcPr>
            <w:tcW w:w="1098" w:type="dxa"/>
            <w:tcBorders>
              <w:top w:val="single" w:sz="4" w:space="0" w:color="auto"/>
            </w:tcBorders>
            <w:vAlign w:val="center"/>
          </w:tcPr>
          <w:p w:rsidR="004E0B13" w:rsidRPr="0030431F" w:rsidRDefault="004E0B13" w:rsidP="00770F75">
            <w:pPr>
              <w:pStyle w:val="BodyText"/>
              <w:spacing w:line="360" w:lineRule="auto"/>
              <w:jc w:val="center"/>
              <w:rPr>
                <w:sz w:val="20"/>
              </w:rPr>
            </w:pPr>
            <w:r w:rsidRPr="0030431F">
              <w:rPr>
                <w:sz w:val="20"/>
              </w:rPr>
              <w:t>1) 201</w:t>
            </w:r>
            <w:r>
              <w:rPr>
                <w:sz w:val="20"/>
              </w:rPr>
              <w:t>4</w:t>
            </w:r>
            <w:r w:rsidRPr="0030431F">
              <w:rPr>
                <w:sz w:val="20"/>
              </w:rPr>
              <w:t>/1</w:t>
            </w:r>
            <w:r>
              <w:rPr>
                <w:sz w:val="20"/>
              </w:rPr>
              <w:t>5</w:t>
            </w:r>
          </w:p>
        </w:tc>
        <w:tc>
          <w:tcPr>
            <w:tcW w:w="630" w:type="dxa"/>
            <w:tcBorders>
              <w:top w:val="single" w:sz="4" w:space="0" w:color="auto"/>
            </w:tcBorders>
            <w:vAlign w:val="center"/>
          </w:tcPr>
          <w:p w:rsidR="004E0B13" w:rsidRPr="00C52938" w:rsidRDefault="004E0B13" w:rsidP="00770F75">
            <w:pPr>
              <w:pStyle w:val="BodyText"/>
              <w:spacing w:line="360" w:lineRule="auto"/>
              <w:jc w:val="center"/>
              <w:rPr>
                <w:sz w:val="20"/>
              </w:rPr>
            </w:pPr>
            <w:r w:rsidRPr="006E13C2">
              <w:rPr>
                <w:sz w:val="20"/>
              </w:rPr>
              <w:t>4a</w:t>
            </w:r>
          </w:p>
        </w:tc>
        <w:tc>
          <w:tcPr>
            <w:tcW w:w="810" w:type="dxa"/>
            <w:tcBorders>
              <w:top w:val="single" w:sz="4" w:space="0" w:color="auto"/>
            </w:tcBorders>
            <w:vAlign w:val="center"/>
          </w:tcPr>
          <w:p w:rsidR="004E0B13" w:rsidRPr="00C52938" w:rsidRDefault="00072F4B" w:rsidP="00770F75">
            <w:pPr>
              <w:pStyle w:val="BodyText"/>
              <w:spacing w:line="360" w:lineRule="auto"/>
              <w:jc w:val="center"/>
              <w:rPr>
                <w:sz w:val="20"/>
              </w:rPr>
            </w:pPr>
            <w:r>
              <w:rPr>
                <w:sz w:val="20"/>
              </w:rPr>
              <w:t>3.608</w:t>
            </w:r>
          </w:p>
        </w:tc>
        <w:tc>
          <w:tcPr>
            <w:tcW w:w="990" w:type="dxa"/>
            <w:tcBorders>
              <w:top w:val="single" w:sz="4" w:space="0" w:color="auto"/>
            </w:tcBorders>
            <w:vAlign w:val="center"/>
          </w:tcPr>
          <w:p w:rsidR="004E0B13" w:rsidRPr="00C52938" w:rsidRDefault="00072F4B" w:rsidP="00770F75">
            <w:pPr>
              <w:pStyle w:val="BodyText"/>
              <w:spacing w:line="360" w:lineRule="auto"/>
              <w:jc w:val="center"/>
              <w:rPr>
                <w:sz w:val="20"/>
              </w:rPr>
            </w:pPr>
            <w:r>
              <w:rPr>
                <w:sz w:val="20"/>
              </w:rPr>
              <w:t>4.864</w:t>
            </w:r>
          </w:p>
        </w:tc>
        <w:tc>
          <w:tcPr>
            <w:tcW w:w="1530" w:type="dxa"/>
            <w:tcBorders>
              <w:top w:val="single" w:sz="4" w:space="0" w:color="auto"/>
            </w:tcBorders>
            <w:vAlign w:val="center"/>
          </w:tcPr>
          <w:p w:rsidR="004E0B13" w:rsidRPr="00C52938" w:rsidRDefault="004E0B13" w:rsidP="00072F4B">
            <w:pPr>
              <w:pStyle w:val="BodyText"/>
              <w:spacing w:line="360" w:lineRule="auto"/>
              <w:jc w:val="center"/>
              <w:rPr>
                <w:sz w:val="20"/>
              </w:rPr>
            </w:pPr>
            <w:r>
              <w:rPr>
                <w:sz w:val="20"/>
              </w:rPr>
              <w:t>1.</w:t>
            </w:r>
            <w:r w:rsidR="00072F4B">
              <w:rPr>
                <w:sz w:val="20"/>
              </w:rPr>
              <w:t>35</w:t>
            </w:r>
          </w:p>
        </w:tc>
        <w:tc>
          <w:tcPr>
            <w:tcW w:w="648" w:type="dxa"/>
            <w:tcBorders>
              <w:top w:val="single" w:sz="4" w:space="0" w:color="auto"/>
            </w:tcBorders>
            <w:vAlign w:val="center"/>
          </w:tcPr>
          <w:p w:rsidR="004E0B13" w:rsidRPr="006E13C2" w:rsidRDefault="004E0B13" w:rsidP="00770F75">
            <w:pPr>
              <w:pStyle w:val="BodyText"/>
              <w:spacing w:line="360" w:lineRule="auto"/>
              <w:jc w:val="center"/>
              <w:rPr>
                <w:sz w:val="20"/>
              </w:rPr>
            </w:pPr>
            <w:r w:rsidRPr="006E13C2">
              <w:rPr>
                <w:sz w:val="20"/>
              </w:rPr>
              <w:t>0.18</w:t>
            </w:r>
          </w:p>
        </w:tc>
        <w:tc>
          <w:tcPr>
            <w:tcW w:w="1152" w:type="dxa"/>
            <w:tcBorders>
              <w:top w:val="single" w:sz="4" w:space="0" w:color="auto"/>
            </w:tcBorders>
            <w:vAlign w:val="center"/>
          </w:tcPr>
          <w:p w:rsidR="004E0B13" w:rsidRPr="006E13C2" w:rsidRDefault="004E0B13" w:rsidP="00770F75">
            <w:pPr>
              <w:pStyle w:val="BodyText"/>
              <w:spacing w:line="360" w:lineRule="auto"/>
              <w:jc w:val="center"/>
              <w:rPr>
                <w:sz w:val="20"/>
              </w:rPr>
            </w:pPr>
            <w:r w:rsidRPr="006E13C2">
              <w:rPr>
                <w:sz w:val="20"/>
              </w:rPr>
              <w:t>1986–2013</w:t>
            </w:r>
          </w:p>
        </w:tc>
        <w:tc>
          <w:tcPr>
            <w:tcW w:w="630" w:type="dxa"/>
            <w:tcBorders>
              <w:top w:val="single" w:sz="4" w:space="0" w:color="auto"/>
            </w:tcBorders>
            <w:vAlign w:val="center"/>
          </w:tcPr>
          <w:p w:rsidR="004E0B13" w:rsidRPr="006E13C2" w:rsidRDefault="004E0B13" w:rsidP="00770F75">
            <w:pPr>
              <w:pStyle w:val="BodyText"/>
              <w:spacing w:line="360" w:lineRule="auto"/>
              <w:jc w:val="center"/>
              <w:rPr>
                <w:sz w:val="20"/>
              </w:rPr>
            </w:pPr>
            <w:r w:rsidRPr="006E13C2">
              <w:rPr>
                <w:sz w:val="20"/>
              </w:rPr>
              <w:t>0.18</w:t>
            </w:r>
          </w:p>
        </w:tc>
        <w:tc>
          <w:tcPr>
            <w:tcW w:w="990" w:type="dxa"/>
            <w:tcBorders>
              <w:top w:val="single" w:sz="4" w:space="0" w:color="auto"/>
            </w:tcBorders>
            <w:vAlign w:val="center"/>
          </w:tcPr>
          <w:p w:rsidR="004E0B13" w:rsidRPr="00C52938" w:rsidRDefault="006C708F" w:rsidP="00770F75">
            <w:pPr>
              <w:pStyle w:val="BodyText"/>
              <w:spacing w:line="360" w:lineRule="auto"/>
              <w:jc w:val="center"/>
              <w:rPr>
                <w:sz w:val="20"/>
              </w:rPr>
            </w:pPr>
            <w:r>
              <w:rPr>
                <w:sz w:val="20"/>
              </w:rPr>
              <w:t>758.037</w:t>
            </w:r>
          </w:p>
        </w:tc>
        <w:tc>
          <w:tcPr>
            <w:tcW w:w="1080" w:type="dxa"/>
            <w:tcBorders>
              <w:top w:val="single" w:sz="4" w:space="0" w:color="auto"/>
            </w:tcBorders>
            <w:vAlign w:val="center"/>
          </w:tcPr>
          <w:p w:rsidR="004E0B13" w:rsidRPr="00C52938" w:rsidRDefault="006C708F" w:rsidP="00770F75">
            <w:pPr>
              <w:pStyle w:val="BodyText"/>
              <w:spacing w:line="360" w:lineRule="auto"/>
              <w:jc w:val="center"/>
              <w:rPr>
                <w:sz w:val="20"/>
              </w:rPr>
            </w:pPr>
            <w:r>
              <w:rPr>
                <w:sz w:val="20"/>
              </w:rPr>
              <w:t>754.195</w:t>
            </w:r>
          </w:p>
        </w:tc>
      </w:tr>
      <w:tr w:rsidR="004E0B13" w:rsidRPr="00DA256D" w:rsidTr="00770F75">
        <w:tc>
          <w:tcPr>
            <w:tcW w:w="1098" w:type="dxa"/>
            <w:vAlign w:val="center"/>
          </w:tcPr>
          <w:p w:rsidR="004E0B13" w:rsidRPr="0030431F" w:rsidRDefault="004E0B13" w:rsidP="00770F75">
            <w:pPr>
              <w:pStyle w:val="BodyText"/>
              <w:spacing w:line="360" w:lineRule="auto"/>
              <w:jc w:val="center"/>
              <w:rPr>
                <w:sz w:val="20"/>
              </w:rPr>
            </w:pPr>
            <w:r w:rsidRPr="0030431F">
              <w:rPr>
                <w:sz w:val="20"/>
              </w:rPr>
              <w:t xml:space="preserve">2) </w:t>
            </w:r>
            <w:r>
              <w:rPr>
                <w:sz w:val="20"/>
              </w:rPr>
              <w:t>2014</w:t>
            </w:r>
            <w:r w:rsidRPr="0030431F">
              <w:rPr>
                <w:sz w:val="20"/>
              </w:rPr>
              <w:t>/1</w:t>
            </w:r>
            <w:r>
              <w:rPr>
                <w:sz w:val="20"/>
              </w:rPr>
              <w:t>5</w:t>
            </w:r>
          </w:p>
        </w:tc>
        <w:tc>
          <w:tcPr>
            <w:tcW w:w="630" w:type="dxa"/>
            <w:vAlign w:val="center"/>
          </w:tcPr>
          <w:p w:rsidR="004E0B13" w:rsidRPr="00C52938" w:rsidRDefault="004E0B13" w:rsidP="00770F75">
            <w:pPr>
              <w:pStyle w:val="BodyText"/>
              <w:spacing w:line="360" w:lineRule="auto"/>
              <w:jc w:val="center"/>
              <w:rPr>
                <w:sz w:val="20"/>
              </w:rPr>
            </w:pPr>
            <w:r w:rsidRPr="006E13C2">
              <w:rPr>
                <w:sz w:val="20"/>
              </w:rPr>
              <w:t>4a</w:t>
            </w:r>
          </w:p>
        </w:tc>
        <w:tc>
          <w:tcPr>
            <w:tcW w:w="810" w:type="dxa"/>
            <w:vAlign w:val="center"/>
          </w:tcPr>
          <w:p w:rsidR="004E0B13" w:rsidRPr="00C52938" w:rsidRDefault="004E0B13" w:rsidP="00072F4B">
            <w:pPr>
              <w:pStyle w:val="BodyText"/>
              <w:spacing w:line="360" w:lineRule="auto"/>
              <w:jc w:val="center"/>
              <w:rPr>
                <w:sz w:val="20"/>
              </w:rPr>
            </w:pPr>
            <w:r>
              <w:rPr>
                <w:sz w:val="20"/>
              </w:rPr>
              <w:t>3.</w:t>
            </w:r>
            <w:r w:rsidR="00072F4B">
              <w:rPr>
                <w:sz w:val="20"/>
              </w:rPr>
              <w:t>113</w:t>
            </w:r>
          </w:p>
        </w:tc>
        <w:tc>
          <w:tcPr>
            <w:tcW w:w="990" w:type="dxa"/>
            <w:vAlign w:val="center"/>
          </w:tcPr>
          <w:p w:rsidR="004E0B13" w:rsidRPr="00C52938" w:rsidRDefault="00072F4B" w:rsidP="00770F75">
            <w:pPr>
              <w:pStyle w:val="BodyText"/>
              <w:spacing w:line="360" w:lineRule="auto"/>
              <w:jc w:val="center"/>
              <w:rPr>
                <w:sz w:val="20"/>
              </w:rPr>
            </w:pPr>
            <w:r>
              <w:rPr>
                <w:sz w:val="20"/>
              </w:rPr>
              <w:t>4.457</w:t>
            </w:r>
          </w:p>
        </w:tc>
        <w:tc>
          <w:tcPr>
            <w:tcW w:w="1530" w:type="dxa"/>
            <w:vAlign w:val="center"/>
          </w:tcPr>
          <w:p w:rsidR="004E0B13" w:rsidRPr="00C52938" w:rsidRDefault="004E0B13" w:rsidP="00072F4B">
            <w:pPr>
              <w:pStyle w:val="BodyText"/>
              <w:spacing w:line="360" w:lineRule="auto"/>
              <w:jc w:val="center"/>
              <w:rPr>
                <w:sz w:val="20"/>
              </w:rPr>
            </w:pPr>
            <w:r>
              <w:rPr>
                <w:sz w:val="20"/>
              </w:rPr>
              <w:t>1.</w:t>
            </w:r>
            <w:r w:rsidR="00072F4B">
              <w:rPr>
                <w:sz w:val="20"/>
              </w:rPr>
              <w:t>43</w:t>
            </w:r>
          </w:p>
        </w:tc>
        <w:tc>
          <w:tcPr>
            <w:tcW w:w="648" w:type="dxa"/>
            <w:vAlign w:val="center"/>
          </w:tcPr>
          <w:p w:rsidR="004E0B13" w:rsidRPr="006E13C2" w:rsidRDefault="004E0B13" w:rsidP="00770F75">
            <w:pPr>
              <w:pStyle w:val="BodyText"/>
              <w:spacing w:line="360" w:lineRule="auto"/>
              <w:jc w:val="center"/>
              <w:rPr>
                <w:sz w:val="20"/>
              </w:rPr>
            </w:pPr>
            <w:r w:rsidRPr="006E13C2">
              <w:rPr>
                <w:sz w:val="20"/>
              </w:rPr>
              <w:t>0.18</w:t>
            </w:r>
          </w:p>
        </w:tc>
        <w:tc>
          <w:tcPr>
            <w:tcW w:w="1152" w:type="dxa"/>
            <w:vAlign w:val="center"/>
          </w:tcPr>
          <w:p w:rsidR="004E0B13" w:rsidRPr="006E13C2" w:rsidRDefault="004E0B13" w:rsidP="00770F75">
            <w:pPr>
              <w:pStyle w:val="BodyText"/>
              <w:spacing w:line="360" w:lineRule="auto"/>
              <w:jc w:val="center"/>
              <w:rPr>
                <w:sz w:val="20"/>
              </w:rPr>
            </w:pPr>
            <w:r w:rsidRPr="006E13C2">
              <w:rPr>
                <w:sz w:val="20"/>
              </w:rPr>
              <w:t>1986–2013</w:t>
            </w:r>
          </w:p>
        </w:tc>
        <w:tc>
          <w:tcPr>
            <w:tcW w:w="630" w:type="dxa"/>
            <w:vAlign w:val="center"/>
          </w:tcPr>
          <w:p w:rsidR="004E0B13" w:rsidRPr="006E13C2" w:rsidRDefault="004E0B13" w:rsidP="00770F75">
            <w:pPr>
              <w:pStyle w:val="BodyText"/>
              <w:spacing w:line="360" w:lineRule="auto"/>
              <w:jc w:val="center"/>
              <w:rPr>
                <w:sz w:val="20"/>
              </w:rPr>
            </w:pPr>
            <w:r w:rsidRPr="006E13C2">
              <w:rPr>
                <w:sz w:val="20"/>
              </w:rPr>
              <w:t>0.18</w:t>
            </w:r>
          </w:p>
        </w:tc>
        <w:tc>
          <w:tcPr>
            <w:tcW w:w="990" w:type="dxa"/>
            <w:vAlign w:val="center"/>
          </w:tcPr>
          <w:p w:rsidR="004E0B13" w:rsidRPr="00785E43" w:rsidRDefault="006C708F" w:rsidP="00770F75">
            <w:pPr>
              <w:pStyle w:val="BodyText"/>
              <w:spacing w:line="360" w:lineRule="auto"/>
              <w:jc w:val="center"/>
              <w:rPr>
                <w:sz w:val="20"/>
              </w:rPr>
            </w:pPr>
            <w:r>
              <w:rPr>
                <w:sz w:val="20"/>
              </w:rPr>
              <w:t>731.817</w:t>
            </w:r>
          </w:p>
        </w:tc>
        <w:tc>
          <w:tcPr>
            <w:tcW w:w="1080" w:type="dxa"/>
            <w:vAlign w:val="center"/>
          </w:tcPr>
          <w:p w:rsidR="004E0B13" w:rsidRPr="0085584A" w:rsidRDefault="006C708F" w:rsidP="00770F75">
            <w:pPr>
              <w:pStyle w:val="BodyText"/>
              <w:spacing w:line="360" w:lineRule="auto"/>
              <w:jc w:val="center"/>
              <w:rPr>
                <w:sz w:val="20"/>
                <w:highlight w:val="yellow"/>
              </w:rPr>
            </w:pPr>
            <w:r>
              <w:rPr>
                <w:sz w:val="20"/>
              </w:rPr>
              <w:t>728.415</w:t>
            </w:r>
          </w:p>
        </w:tc>
      </w:tr>
    </w:tbl>
    <w:p w:rsidR="00D50F0D" w:rsidRDefault="00D50F0D" w:rsidP="00D50F0D">
      <w:pPr>
        <w:pStyle w:val="BodyText"/>
        <w:spacing w:line="360" w:lineRule="auto"/>
        <w:jc w:val="both"/>
        <w:rPr>
          <w:sz w:val="24"/>
          <w:szCs w:val="24"/>
        </w:rPr>
      </w:pPr>
    </w:p>
    <w:p w:rsidR="00D50F0D" w:rsidRPr="00770F75" w:rsidRDefault="00D50F0D" w:rsidP="00770F75">
      <w:pPr>
        <w:pStyle w:val="Heading2"/>
        <w:numPr>
          <w:ilvl w:val="0"/>
          <w:numId w:val="13"/>
        </w:numPr>
        <w:rPr>
          <w:rFonts w:asciiTheme="majorHAnsi" w:hAnsiTheme="majorHAnsi"/>
          <w:sz w:val="24"/>
          <w:szCs w:val="24"/>
        </w:rPr>
      </w:pPr>
      <w:r w:rsidRPr="00770F75">
        <w:rPr>
          <w:rFonts w:asciiTheme="majorHAnsi" w:eastAsiaTheme="majorEastAsia" w:hAnsiTheme="majorHAnsi"/>
          <w:sz w:val="24"/>
          <w:szCs w:val="24"/>
        </w:rPr>
        <w:t>Probability density functions of OFL</w:t>
      </w:r>
    </w:p>
    <w:p w:rsidR="00D50F0D" w:rsidRDefault="00D50F0D" w:rsidP="00770F75">
      <w:pPr>
        <w:pStyle w:val="BodyText"/>
        <w:spacing w:line="276" w:lineRule="auto"/>
        <w:ind w:left="360"/>
        <w:jc w:val="both"/>
        <w:rPr>
          <w:sz w:val="24"/>
          <w:szCs w:val="24"/>
        </w:rPr>
      </w:pPr>
      <w:r>
        <w:rPr>
          <w:sz w:val="24"/>
          <w:szCs w:val="24"/>
        </w:rPr>
        <w:t>Assuming a lognormal distribution of total OFL, we determined the cumulative distributions of OFL and selected the median as the OFL.</w:t>
      </w:r>
    </w:p>
    <w:p w:rsidR="00D50F0D" w:rsidRPr="00EF775C" w:rsidRDefault="00D50F0D" w:rsidP="00770F75">
      <w:pPr>
        <w:pStyle w:val="Heading2"/>
        <w:keepLines/>
        <w:numPr>
          <w:ilvl w:val="0"/>
          <w:numId w:val="13"/>
        </w:numPr>
        <w:spacing w:before="200" w:after="0"/>
        <w:rPr>
          <w:rFonts w:asciiTheme="majorHAnsi" w:eastAsiaTheme="majorEastAsia" w:hAnsiTheme="majorHAnsi" w:cstheme="majorBidi"/>
          <w:bCs/>
          <w:color w:val="000000" w:themeColor="text1"/>
          <w:sz w:val="24"/>
          <w:szCs w:val="26"/>
        </w:rPr>
      </w:pPr>
      <w:r w:rsidRPr="00EF775C">
        <w:rPr>
          <w:rFonts w:asciiTheme="majorHAnsi" w:eastAsiaTheme="majorEastAsia" w:hAnsiTheme="majorHAnsi" w:cstheme="majorBidi"/>
          <w:bCs/>
          <w:color w:val="000000" w:themeColor="text1"/>
          <w:sz w:val="24"/>
          <w:szCs w:val="26"/>
        </w:rPr>
        <w:t>The basis for the ABC recommendation</w:t>
      </w:r>
    </w:p>
    <w:p w:rsidR="00D50F0D" w:rsidRDefault="00D50F0D" w:rsidP="00770F75">
      <w:pPr>
        <w:pStyle w:val="BodyText"/>
        <w:spacing w:line="360" w:lineRule="auto"/>
        <w:ind w:left="360"/>
        <w:jc w:val="both"/>
        <w:rPr>
          <w:sz w:val="24"/>
          <w:szCs w:val="24"/>
        </w:rPr>
      </w:pPr>
      <w:r>
        <w:rPr>
          <w:sz w:val="24"/>
          <w:szCs w:val="24"/>
        </w:rPr>
        <w:t>See the ABC section</w:t>
      </w:r>
    </w:p>
    <w:p w:rsidR="00D50F0D" w:rsidRPr="00EF775C" w:rsidRDefault="00EF775C" w:rsidP="00770F75">
      <w:pPr>
        <w:pStyle w:val="Heading2"/>
        <w:keepLines/>
        <w:numPr>
          <w:ilvl w:val="0"/>
          <w:numId w:val="13"/>
        </w:numPr>
        <w:spacing w:before="200" w:after="0"/>
        <w:rPr>
          <w:rFonts w:asciiTheme="majorHAnsi" w:eastAsiaTheme="majorEastAsia" w:hAnsiTheme="majorHAnsi" w:cstheme="majorBidi"/>
          <w:bCs/>
          <w:color w:val="000000" w:themeColor="text1"/>
          <w:sz w:val="24"/>
          <w:szCs w:val="26"/>
        </w:rPr>
      </w:pPr>
      <w:r>
        <w:rPr>
          <w:rFonts w:asciiTheme="majorHAnsi" w:eastAsiaTheme="majorEastAsia" w:hAnsiTheme="majorHAnsi" w:cstheme="majorBidi"/>
          <w:bCs/>
          <w:color w:val="000000" w:themeColor="text1"/>
          <w:sz w:val="24"/>
          <w:szCs w:val="26"/>
        </w:rPr>
        <w:t xml:space="preserve">A </w:t>
      </w:r>
      <w:r w:rsidR="00D50F0D" w:rsidRPr="00EF775C">
        <w:rPr>
          <w:rFonts w:asciiTheme="majorHAnsi" w:eastAsiaTheme="majorEastAsia" w:hAnsiTheme="majorHAnsi" w:cstheme="majorBidi"/>
          <w:bCs/>
          <w:color w:val="000000" w:themeColor="text1"/>
          <w:sz w:val="24"/>
          <w:szCs w:val="26"/>
        </w:rPr>
        <w:t>summary of results of any rebuilding analysis:</w:t>
      </w:r>
    </w:p>
    <w:p w:rsidR="00D50F0D" w:rsidRDefault="00D50F0D" w:rsidP="00770F75">
      <w:pPr>
        <w:pStyle w:val="BodyText"/>
        <w:spacing w:line="360" w:lineRule="auto"/>
        <w:ind w:left="360"/>
        <w:jc w:val="both"/>
        <w:rPr>
          <w:sz w:val="24"/>
          <w:szCs w:val="24"/>
        </w:rPr>
      </w:pPr>
      <w:r>
        <w:rPr>
          <w:sz w:val="24"/>
          <w:szCs w:val="24"/>
        </w:rPr>
        <w:t>Not applicable.</w:t>
      </w:r>
    </w:p>
    <w:p w:rsidR="00D50F0D" w:rsidRPr="00EF775C" w:rsidRDefault="00D50F0D" w:rsidP="00770F75">
      <w:pPr>
        <w:pStyle w:val="Heading2"/>
        <w:keepLines/>
        <w:numPr>
          <w:ilvl w:val="0"/>
          <w:numId w:val="16"/>
        </w:numPr>
        <w:spacing w:before="200" w:after="0"/>
        <w:ind w:left="360"/>
        <w:rPr>
          <w:szCs w:val="24"/>
        </w:rPr>
      </w:pPr>
      <w:r w:rsidRPr="00EF775C">
        <w:rPr>
          <w:szCs w:val="24"/>
        </w:rPr>
        <w:t>Summary of Major Changes</w:t>
      </w:r>
    </w:p>
    <w:p w:rsidR="00D50F0D" w:rsidRPr="00EF775C" w:rsidRDefault="00D50F0D" w:rsidP="00ED1112">
      <w:pPr>
        <w:pStyle w:val="Heading2"/>
        <w:keepLines/>
        <w:numPr>
          <w:ilvl w:val="0"/>
          <w:numId w:val="15"/>
        </w:numPr>
        <w:spacing w:before="200" w:after="0"/>
        <w:rPr>
          <w:rFonts w:asciiTheme="majorHAnsi" w:eastAsiaTheme="majorEastAsia" w:hAnsiTheme="majorHAnsi" w:cstheme="majorBidi"/>
          <w:bCs/>
          <w:color w:val="000000" w:themeColor="text1"/>
          <w:sz w:val="24"/>
          <w:szCs w:val="26"/>
        </w:rPr>
      </w:pPr>
      <w:r w:rsidRPr="00EF775C">
        <w:rPr>
          <w:rFonts w:asciiTheme="majorHAnsi" w:eastAsiaTheme="majorEastAsia" w:hAnsiTheme="majorHAnsi" w:cstheme="majorBidi"/>
          <w:bCs/>
          <w:color w:val="000000" w:themeColor="text1"/>
          <w:sz w:val="24"/>
          <w:szCs w:val="26"/>
        </w:rPr>
        <w:t>Changes (if any) to management of the fishery</w:t>
      </w:r>
    </w:p>
    <w:p w:rsidR="00D50F0D" w:rsidRDefault="00D50F0D" w:rsidP="00770F75">
      <w:pPr>
        <w:ind w:left="360" w:firstLine="180"/>
      </w:pPr>
      <w:r>
        <w:t>None.</w:t>
      </w:r>
    </w:p>
    <w:p w:rsidR="00D50F0D" w:rsidRPr="00EF775C" w:rsidRDefault="00D50F0D" w:rsidP="00ED1112">
      <w:pPr>
        <w:pStyle w:val="Heading2"/>
        <w:keepLines/>
        <w:numPr>
          <w:ilvl w:val="0"/>
          <w:numId w:val="15"/>
        </w:numPr>
        <w:spacing w:before="200" w:after="0"/>
        <w:rPr>
          <w:rFonts w:asciiTheme="majorHAnsi" w:eastAsiaTheme="majorEastAsia" w:hAnsiTheme="majorHAnsi" w:cstheme="majorBidi"/>
          <w:bCs/>
          <w:color w:val="000000" w:themeColor="text1"/>
          <w:sz w:val="24"/>
          <w:szCs w:val="26"/>
        </w:rPr>
      </w:pPr>
      <w:r w:rsidRPr="00EF775C">
        <w:rPr>
          <w:rFonts w:asciiTheme="majorHAnsi" w:eastAsiaTheme="majorEastAsia" w:hAnsiTheme="majorHAnsi" w:cstheme="majorBidi"/>
          <w:bCs/>
          <w:color w:val="000000" w:themeColor="text1"/>
          <w:sz w:val="24"/>
          <w:szCs w:val="26"/>
        </w:rPr>
        <w:t>Changes to input data</w:t>
      </w:r>
    </w:p>
    <w:p w:rsidR="00D50F0D" w:rsidRDefault="00D50F0D" w:rsidP="00ED1112">
      <w:pPr>
        <w:pStyle w:val="ListParagraph"/>
        <w:numPr>
          <w:ilvl w:val="0"/>
          <w:numId w:val="14"/>
        </w:numPr>
        <w:ind w:left="900"/>
      </w:pPr>
      <w:r>
        <w:t>Data update: The 201</w:t>
      </w:r>
      <w:r w:rsidR="00CF48C8">
        <w:t>1</w:t>
      </w:r>
      <w:r>
        <w:t>/1</w:t>
      </w:r>
      <w:r w:rsidR="00CF48C8">
        <w:t>2</w:t>
      </w:r>
      <w:r>
        <w:t xml:space="preserve"> </w:t>
      </w:r>
      <w:r w:rsidR="00CF48C8">
        <w:t xml:space="preserve"> and 2012/13 </w:t>
      </w:r>
      <w:r>
        <w:t>commercia</w:t>
      </w:r>
      <w:r w:rsidR="00CF48C8">
        <w:t>l fishery retained and total</w:t>
      </w:r>
      <w:r>
        <w:t xml:space="preserve"> catch, </w:t>
      </w:r>
      <w:r w:rsidR="00CF48C8">
        <w:t xml:space="preserve">observer nominal total </w:t>
      </w:r>
      <w:r>
        <w:t xml:space="preserve">CPUE </w:t>
      </w:r>
      <w:r w:rsidR="00CF48C8" w:rsidRPr="00CF48C8">
        <w:t>and fishing effort (pot lifts)</w:t>
      </w:r>
      <w:r w:rsidR="00006486">
        <w:t xml:space="preserve"> to calculate total catch</w:t>
      </w:r>
      <w:r w:rsidR="00271FDF">
        <w:t>es</w:t>
      </w:r>
      <w:r w:rsidR="00006486" w:rsidRPr="00006486">
        <w:t xml:space="preserve"> </w:t>
      </w:r>
      <w:r w:rsidR="00006486">
        <w:t>for 1990/91</w:t>
      </w:r>
      <w:r w:rsidR="00006486" w:rsidRPr="00CF48C8">
        <w:t>–2012/13</w:t>
      </w:r>
      <w:r>
        <w:t xml:space="preserve">, and groundfish discarded catch by size are added. The commercial retained size frequency </w:t>
      </w:r>
      <w:r w:rsidR="00006486">
        <w:t xml:space="preserve">and observer sample size frequency </w:t>
      </w:r>
      <w:r>
        <w:t>data are recalculated weighting by</w:t>
      </w:r>
      <w:r w:rsidR="00271FDF">
        <w:t xml:space="preserve"> sampled vessel’s</w:t>
      </w:r>
      <w:r>
        <w:t xml:space="preserve"> catch.</w:t>
      </w:r>
    </w:p>
    <w:p w:rsidR="00D50F0D" w:rsidRDefault="00D50F0D" w:rsidP="00ED1112">
      <w:pPr>
        <w:pStyle w:val="ListParagraph"/>
        <w:numPr>
          <w:ilvl w:val="0"/>
          <w:numId w:val="14"/>
        </w:numPr>
        <w:ind w:left="900"/>
      </w:pPr>
      <w:r w:rsidRPr="00CF0454">
        <w:t xml:space="preserve">New data: </w:t>
      </w:r>
      <w:r w:rsidR="00CA6A3D">
        <w:t>EAG m</w:t>
      </w:r>
      <w:r>
        <w:t xml:space="preserve">ale tag-recapture data by size and time at large for 1991, 1997, 2000, 2003, and 2006 releases are </w:t>
      </w:r>
      <w:r w:rsidR="00CA6A3D">
        <w:t>considered for the WAG model analysis as well</w:t>
      </w:r>
      <w:r>
        <w:t>.</w:t>
      </w:r>
    </w:p>
    <w:p w:rsidR="00D50F0D" w:rsidRDefault="00742A5B" w:rsidP="00ED1112">
      <w:pPr>
        <w:pStyle w:val="ListParagraph"/>
        <w:numPr>
          <w:ilvl w:val="0"/>
          <w:numId w:val="14"/>
        </w:numPr>
        <w:ind w:left="900"/>
      </w:pPr>
      <w:r>
        <w:t>O</w:t>
      </w:r>
      <w:r w:rsidR="00D50F0D">
        <w:t xml:space="preserve">bserver pot </w:t>
      </w:r>
      <w:r w:rsidR="00CA6A3D">
        <w:t xml:space="preserve">sample legal size crab </w:t>
      </w:r>
      <w:r w:rsidR="00D50F0D">
        <w:t>CPUE are standardized by the generalized linear model</w:t>
      </w:r>
      <w:r w:rsidR="00CA6A3D">
        <w:t xml:space="preserve"> with the negative binomial link function, separately for 1995/96</w:t>
      </w:r>
      <w:r w:rsidR="00CA6A3D" w:rsidRPr="00CF48C8">
        <w:t>–</w:t>
      </w:r>
      <w:r w:rsidR="00CA6A3D">
        <w:t>2004/205 and 2005/06</w:t>
      </w:r>
      <w:r w:rsidR="00CA6A3D" w:rsidRPr="00CF48C8">
        <w:t>–</w:t>
      </w:r>
      <w:r w:rsidR="00CA6A3D">
        <w:t>2012/13 periods</w:t>
      </w:r>
      <w:r w:rsidR="00D50F0D">
        <w:t xml:space="preserve"> (</w:t>
      </w:r>
      <w:r w:rsidR="00CA6A3D">
        <w:t>Details in the September 2013 CPT presentation on CPUE standardization</w:t>
      </w:r>
      <w:r w:rsidR="00D50F0D">
        <w:t>).</w:t>
      </w:r>
    </w:p>
    <w:p w:rsidR="00D50F0D" w:rsidRPr="00EF775C" w:rsidRDefault="00D50F0D" w:rsidP="00ED1112">
      <w:pPr>
        <w:pStyle w:val="Heading2"/>
        <w:keepLines/>
        <w:numPr>
          <w:ilvl w:val="0"/>
          <w:numId w:val="15"/>
        </w:numPr>
        <w:spacing w:before="200" w:after="0"/>
        <w:rPr>
          <w:rFonts w:asciiTheme="majorHAnsi" w:eastAsiaTheme="majorEastAsia" w:hAnsiTheme="majorHAnsi" w:cstheme="majorBidi"/>
          <w:bCs/>
          <w:color w:val="000000" w:themeColor="text1"/>
          <w:sz w:val="24"/>
          <w:szCs w:val="26"/>
        </w:rPr>
      </w:pPr>
      <w:r w:rsidRPr="00EF775C">
        <w:rPr>
          <w:rFonts w:asciiTheme="majorHAnsi" w:eastAsiaTheme="majorEastAsia" w:hAnsiTheme="majorHAnsi" w:cstheme="majorBidi"/>
          <w:bCs/>
          <w:color w:val="000000" w:themeColor="text1"/>
          <w:sz w:val="24"/>
          <w:szCs w:val="26"/>
        </w:rPr>
        <w:t>Changes to assessment methodology</w:t>
      </w:r>
    </w:p>
    <w:p w:rsidR="00D50F0D" w:rsidRPr="00CF0454" w:rsidRDefault="00D50F0D" w:rsidP="00770F75">
      <w:pPr>
        <w:ind w:left="540"/>
      </w:pPr>
      <w:r w:rsidRPr="00CF0454">
        <w:t>N</w:t>
      </w:r>
      <w:r>
        <w:t>one. The same model has been</w:t>
      </w:r>
      <w:r w:rsidRPr="00CF0454">
        <w:t xml:space="preserve"> improved.</w:t>
      </w:r>
      <w:r w:rsidR="00622371">
        <w:t xml:space="preserve"> T</w:t>
      </w:r>
      <w:r>
        <w:t xml:space="preserve">he </w:t>
      </w:r>
      <w:r w:rsidR="00622371">
        <w:t xml:space="preserve">WAG </w:t>
      </w:r>
      <w:r>
        <w:t xml:space="preserve">size transition matrix was </w:t>
      </w:r>
      <w:r w:rsidR="00622371">
        <w:t xml:space="preserve">also </w:t>
      </w:r>
      <w:r>
        <w:t xml:space="preserve">estimated using tag-recapture data for </w:t>
      </w:r>
      <w:r w:rsidR="007A57E6">
        <w:t>EAG</w:t>
      </w:r>
      <w:r>
        <w:t>.</w:t>
      </w:r>
    </w:p>
    <w:p w:rsidR="00D50F0D" w:rsidRPr="00EF775C" w:rsidRDefault="00D50F0D" w:rsidP="007C3C7A">
      <w:pPr>
        <w:pStyle w:val="Heading2"/>
        <w:keepLines/>
        <w:numPr>
          <w:ilvl w:val="0"/>
          <w:numId w:val="15"/>
        </w:numPr>
        <w:spacing w:before="200" w:after="0"/>
        <w:rPr>
          <w:rFonts w:asciiTheme="majorHAnsi" w:eastAsiaTheme="majorEastAsia" w:hAnsiTheme="majorHAnsi" w:cstheme="majorBidi"/>
          <w:bCs/>
          <w:color w:val="000000" w:themeColor="text1"/>
          <w:sz w:val="24"/>
          <w:szCs w:val="26"/>
        </w:rPr>
      </w:pPr>
      <w:r w:rsidRPr="00EF775C">
        <w:rPr>
          <w:rFonts w:asciiTheme="majorHAnsi" w:eastAsiaTheme="majorEastAsia" w:hAnsiTheme="majorHAnsi" w:cstheme="majorBidi"/>
          <w:bCs/>
          <w:color w:val="000000" w:themeColor="text1"/>
          <w:sz w:val="24"/>
          <w:szCs w:val="26"/>
        </w:rPr>
        <w:lastRenderedPageBreak/>
        <w:t>Changes to assessment results</w:t>
      </w:r>
    </w:p>
    <w:p w:rsidR="00D50F0D" w:rsidRDefault="00D50F0D" w:rsidP="00770F75">
      <w:pPr>
        <w:ind w:left="540"/>
        <w:rPr>
          <w:szCs w:val="24"/>
        </w:rPr>
      </w:pPr>
      <w:r>
        <w:t>Not applicable because the model has not been used previously.</w:t>
      </w:r>
    </w:p>
    <w:p w:rsidR="00D50F0D" w:rsidRPr="00EF775C" w:rsidRDefault="00EF775C" w:rsidP="00770F75">
      <w:pPr>
        <w:pStyle w:val="Heading2"/>
        <w:keepLines/>
        <w:spacing w:before="200" w:after="0"/>
        <w:ind w:left="360" w:hanging="360"/>
        <w:jc w:val="both"/>
        <w:rPr>
          <w:szCs w:val="24"/>
        </w:rPr>
      </w:pPr>
      <w:r w:rsidRPr="00EF775C">
        <w:rPr>
          <w:szCs w:val="24"/>
        </w:rPr>
        <w:t xml:space="preserve">B. </w:t>
      </w:r>
      <w:r w:rsidR="00D50F0D" w:rsidRPr="00EF775C">
        <w:rPr>
          <w:szCs w:val="24"/>
        </w:rPr>
        <w:t>Response to 2012</w:t>
      </w:r>
      <w:r w:rsidR="00146EE2">
        <w:rPr>
          <w:szCs w:val="24"/>
        </w:rPr>
        <w:t xml:space="preserve"> and 2013</w:t>
      </w:r>
      <w:r w:rsidR="00D50F0D" w:rsidRPr="00EF775C">
        <w:rPr>
          <w:szCs w:val="24"/>
        </w:rPr>
        <w:t xml:space="preserve"> SSC and CPT comments</w:t>
      </w:r>
    </w:p>
    <w:p w:rsidR="00D50F0D" w:rsidRDefault="00D50F0D" w:rsidP="00770F75">
      <w:pPr>
        <w:ind w:left="360"/>
        <w:rPr>
          <w:sz w:val="22"/>
          <w:szCs w:val="22"/>
        </w:rPr>
      </w:pPr>
      <w:r>
        <w:rPr>
          <w:sz w:val="22"/>
          <w:szCs w:val="22"/>
        </w:rPr>
        <w:t>We did not produce any stock assessment reports during the two CPT and SSC meeting cycles during 2012</w:t>
      </w:r>
      <w:r w:rsidR="00146EE2">
        <w:rPr>
          <w:sz w:val="22"/>
          <w:szCs w:val="22"/>
        </w:rPr>
        <w:t xml:space="preserve"> and 2013</w:t>
      </w:r>
      <w:r>
        <w:rPr>
          <w:sz w:val="22"/>
          <w:szCs w:val="22"/>
        </w:rPr>
        <w:t xml:space="preserve">. </w:t>
      </w:r>
      <w:r w:rsidR="00146EE2">
        <w:rPr>
          <w:sz w:val="22"/>
          <w:szCs w:val="22"/>
        </w:rPr>
        <w:t>We focused on CPUE standardization</w:t>
      </w:r>
      <w:r>
        <w:rPr>
          <w:sz w:val="22"/>
          <w:szCs w:val="22"/>
        </w:rPr>
        <w:t>.</w:t>
      </w:r>
      <w:r w:rsidR="00146EE2">
        <w:rPr>
          <w:sz w:val="22"/>
          <w:szCs w:val="22"/>
        </w:rPr>
        <w:t xml:space="preserve"> However, we presented the assessment model at the 2013 model </w:t>
      </w:r>
      <w:r w:rsidR="008A3366">
        <w:rPr>
          <w:sz w:val="22"/>
          <w:szCs w:val="22"/>
        </w:rPr>
        <w:t xml:space="preserve">workshop. So, the following </w:t>
      </w:r>
      <w:r w:rsidR="00146EE2">
        <w:rPr>
          <w:sz w:val="22"/>
          <w:szCs w:val="22"/>
        </w:rPr>
        <w:t xml:space="preserve">responses </w:t>
      </w:r>
      <w:r w:rsidR="008A3366">
        <w:rPr>
          <w:sz w:val="22"/>
          <w:szCs w:val="22"/>
        </w:rPr>
        <w:t xml:space="preserve">are respectively for the </w:t>
      </w:r>
      <w:r w:rsidR="00D643D4">
        <w:rPr>
          <w:sz w:val="22"/>
          <w:szCs w:val="22"/>
        </w:rPr>
        <w:t xml:space="preserve">model workshop comments on CPUE and model, and the </w:t>
      </w:r>
      <w:r w:rsidR="008A3366">
        <w:rPr>
          <w:sz w:val="22"/>
          <w:szCs w:val="22"/>
        </w:rPr>
        <w:t xml:space="preserve">CPUE standardization presentation at the </w:t>
      </w:r>
      <w:r w:rsidR="00F9013A">
        <w:rPr>
          <w:sz w:val="22"/>
          <w:szCs w:val="22"/>
        </w:rPr>
        <w:t xml:space="preserve">May and </w:t>
      </w:r>
      <w:r w:rsidR="008A3366">
        <w:rPr>
          <w:sz w:val="22"/>
          <w:szCs w:val="22"/>
        </w:rPr>
        <w:t>Sep</w:t>
      </w:r>
      <w:r w:rsidR="00D643D4">
        <w:rPr>
          <w:sz w:val="22"/>
          <w:szCs w:val="22"/>
        </w:rPr>
        <w:t>tember 2013 CPT meeting</w:t>
      </w:r>
      <w:r w:rsidR="00F9013A">
        <w:rPr>
          <w:sz w:val="22"/>
          <w:szCs w:val="22"/>
        </w:rPr>
        <w:t>s</w:t>
      </w:r>
      <w:r w:rsidR="00146EE2">
        <w:rPr>
          <w:sz w:val="22"/>
          <w:szCs w:val="22"/>
        </w:rPr>
        <w:t>:</w:t>
      </w:r>
    </w:p>
    <w:p w:rsidR="00ED71A6" w:rsidRDefault="00ED71A6" w:rsidP="00D50F0D">
      <w:pPr>
        <w:rPr>
          <w:sz w:val="22"/>
          <w:szCs w:val="22"/>
        </w:rPr>
      </w:pPr>
    </w:p>
    <w:p w:rsidR="00ED71A6" w:rsidRPr="00ED71A6" w:rsidRDefault="00ED71A6" w:rsidP="00ED71A6">
      <w:pPr>
        <w:pStyle w:val="ListParagraph"/>
        <w:rPr>
          <w:sz w:val="22"/>
          <w:szCs w:val="22"/>
        </w:rPr>
      </w:pPr>
    </w:p>
    <w:p w:rsidR="008A3366" w:rsidRDefault="00D105B3" w:rsidP="00D50F0D">
      <w:pPr>
        <w:rPr>
          <w:sz w:val="24"/>
          <w:szCs w:val="24"/>
        </w:rPr>
      </w:pPr>
      <w:r>
        <w:rPr>
          <w:sz w:val="24"/>
          <w:szCs w:val="24"/>
        </w:rPr>
        <w:t xml:space="preserve">February </w:t>
      </w:r>
      <w:r w:rsidRPr="00D105B3">
        <w:rPr>
          <w:sz w:val="24"/>
          <w:szCs w:val="24"/>
        </w:rPr>
        <w:t>2013 NPFMC modelling workshop</w:t>
      </w:r>
    </w:p>
    <w:p w:rsidR="00D105B3" w:rsidRDefault="00D105B3" w:rsidP="00D50F0D">
      <w:pPr>
        <w:rPr>
          <w:sz w:val="22"/>
          <w:szCs w:val="22"/>
        </w:rPr>
      </w:pPr>
      <w:r>
        <w:rPr>
          <w:sz w:val="22"/>
          <w:szCs w:val="22"/>
        </w:rPr>
        <w:t>The workshop focused on two aspects of the stock assessment: (a) the standardization of CPUE, and (b) the model on which the stock assessment is based.</w:t>
      </w:r>
    </w:p>
    <w:p w:rsidR="00D105B3" w:rsidRDefault="00C21738" w:rsidP="007C3C7A">
      <w:pPr>
        <w:pStyle w:val="ListParagraph"/>
        <w:numPr>
          <w:ilvl w:val="0"/>
          <w:numId w:val="19"/>
        </w:numPr>
        <w:rPr>
          <w:sz w:val="22"/>
          <w:szCs w:val="22"/>
        </w:rPr>
      </w:pPr>
      <w:r>
        <w:rPr>
          <w:sz w:val="22"/>
          <w:szCs w:val="22"/>
        </w:rPr>
        <w:t>T</w:t>
      </w:r>
      <w:r w:rsidR="00D105B3">
        <w:rPr>
          <w:sz w:val="22"/>
          <w:szCs w:val="22"/>
        </w:rPr>
        <w:t>he standardization of CPUE</w:t>
      </w:r>
    </w:p>
    <w:p w:rsidR="00D105B3" w:rsidRDefault="00D105B3" w:rsidP="007C3C7A">
      <w:pPr>
        <w:pStyle w:val="ListParagraph"/>
        <w:numPr>
          <w:ilvl w:val="0"/>
          <w:numId w:val="20"/>
        </w:numPr>
        <w:rPr>
          <w:sz w:val="22"/>
          <w:szCs w:val="22"/>
        </w:rPr>
      </w:pPr>
      <w:r>
        <w:rPr>
          <w:sz w:val="22"/>
          <w:szCs w:val="22"/>
        </w:rPr>
        <w:t>The workshop concluded that soak time affected the catch rate per pot lift and hence should be included in the CPUE standardizations</w:t>
      </w:r>
      <w:r w:rsidR="00B56B6B">
        <w:rPr>
          <w:sz w:val="22"/>
          <w:szCs w:val="22"/>
        </w:rPr>
        <w:t xml:space="preserve"> (see Figure 6)</w:t>
      </w:r>
      <w:r>
        <w:rPr>
          <w:sz w:val="22"/>
          <w:szCs w:val="22"/>
        </w:rPr>
        <w:t>. The commercial CPUE data has no soak time information. Hence only observer data can be used for standardization</w:t>
      </w:r>
      <w:r w:rsidR="00BA7610">
        <w:rPr>
          <w:sz w:val="22"/>
          <w:szCs w:val="22"/>
        </w:rPr>
        <w:t>.</w:t>
      </w:r>
    </w:p>
    <w:p w:rsidR="00BA7610" w:rsidRDefault="00BA7610" w:rsidP="00BA7610">
      <w:pPr>
        <w:pStyle w:val="ListParagraph"/>
        <w:ind w:left="780"/>
        <w:rPr>
          <w:sz w:val="22"/>
          <w:szCs w:val="22"/>
        </w:rPr>
      </w:pPr>
    </w:p>
    <w:p w:rsidR="00D105B3" w:rsidRDefault="00D105B3" w:rsidP="00D105B3">
      <w:pPr>
        <w:pStyle w:val="ListParagraph"/>
        <w:ind w:left="780"/>
        <w:rPr>
          <w:i/>
          <w:sz w:val="22"/>
          <w:szCs w:val="22"/>
        </w:rPr>
      </w:pPr>
      <w:r w:rsidRPr="00BA7610">
        <w:rPr>
          <w:i/>
          <w:sz w:val="22"/>
          <w:szCs w:val="22"/>
        </w:rPr>
        <w:t>Response: We included soak time as a factor whether selected or not selected by the GLM</w:t>
      </w:r>
      <w:r w:rsidR="008D126C" w:rsidRPr="00BA7610">
        <w:rPr>
          <w:i/>
          <w:sz w:val="22"/>
          <w:szCs w:val="22"/>
        </w:rPr>
        <w:t xml:space="preserve"> on observer </w:t>
      </w:r>
      <w:r w:rsidRPr="00BA7610">
        <w:rPr>
          <w:i/>
          <w:sz w:val="22"/>
          <w:szCs w:val="22"/>
        </w:rPr>
        <w:t>data. We restricted the</w:t>
      </w:r>
      <w:r w:rsidR="00BC1CAA">
        <w:rPr>
          <w:i/>
          <w:sz w:val="22"/>
          <w:szCs w:val="22"/>
        </w:rPr>
        <w:t xml:space="preserve"> observer</w:t>
      </w:r>
      <w:r w:rsidR="008D126C" w:rsidRPr="00BA7610">
        <w:rPr>
          <w:i/>
          <w:sz w:val="22"/>
          <w:szCs w:val="22"/>
        </w:rPr>
        <w:t xml:space="preserve"> data </w:t>
      </w:r>
      <w:r w:rsidR="00BC1CAA">
        <w:rPr>
          <w:i/>
          <w:sz w:val="22"/>
          <w:szCs w:val="22"/>
        </w:rPr>
        <w:t xml:space="preserve">to </w:t>
      </w:r>
      <w:r w:rsidR="008D126C" w:rsidRPr="00BA7610">
        <w:rPr>
          <w:i/>
          <w:sz w:val="22"/>
          <w:szCs w:val="22"/>
        </w:rPr>
        <w:t>1995/96–2012/13 because prior to 1995 the data by different crab categories (sublegal</w:t>
      </w:r>
      <w:r w:rsidR="00BC1CAA">
        <w:rPr>
          <w:i/>
          <w:sz w:val="22"/>
          <w:szCs w:val="22"/>
        </w:rPr>
        <w:t xml:space="preserve">, legal </w:t>
      </w:r>
      <w:r w:rsidR="0097088C">
        <w:rPr>
          <w:i/>
          <w:sz w:val="22"/>
          <w:szCs w:val="22"/>
        </w:rPr>
        <w:t>non</w:t>
      </w:r>
      <w:r w:rsidR="00271FDF">
        <w:rPr>
          <w:i/>
          <w:sz w:val="22"/>
          <w:szCs w:val="22"/>
        </w:rPr>
        <w:t>-</w:t>
      </w:r>
      <w:r w:rsidR="008D126C" w:rsidRPr="00BA7610">
        <w:rPr>
          <w:i/>
          <w:sz w:val="22"/>
          <w:szCs w:val="22"/>
        </w:rPr>
        <w:t xml:space="preserve"> retained and legal retained) were unreliable. </w:t>
      </w:r>
      <w:r w:rsidR="008D126C" w:rsidRPr="00BA7610">
        <w:rPr>
          <w:i/>
        </w:rPr>
        <w:t xml:space="preserve"> </w:t>
      </w:r>
      <w:r w:rsidR="00BA7610">
        <w:rPr>
          <w:i/>
        </w:rPr>
        <w:t xml:space="preserve">Furthermore, we estimated CPUE indices separately for the </w:t>
      </w:r>
      <w:r w:rsidR="00BA7610" w:rsidRPr="00BA7610">
        <w:rPr>
          <w:i/>
          <w:sz w:val="22"/>
          <w:szCs w:val="22"/>
        </w:rPr>
        <w:t>1995/96–2</w:t>
      </w:r>
      <w:r w:rsidR="00BA7610">
        <w:rPr>
          <w:i/>
          <w:sz w:val="22"/>
          <w:szCs w:val="22"/>
        </w:rPr>
        <w:t>004</w:t>
      </w:r>
      <w:r w:rsidR="00BA7610" w:rsidRPr="00BA7610">
        <w:rPr>
          <w:i/>
          <w:sz w:val="22"/>
          <w:szCs w:val="22"/>
        </w:rPr>
        <w:t>/</w:t>
      </w:r>
      <w:r w:rsidR="00BA7610">
        <w:rPr>
          <w:i/>
          <w:sz w:val="22"/>
          <w:szCs w:val="22"/>
        </w:rPr>
        <w:t>05 and 2005/0</w:t>
      </w:r>
      <w:r w:rsidR="00BA7610" w:rsidRPr="00BA7610">
        <w:rPr>
          <w:i/>
          <w:sz w:val="22"/>
          <w:szCs w:val="22"/>
        </w:rPr>
        <w:t>6–2012/13</w:t>
      </w:r>
      <w:r w:rsidR="00ED1112">
        <w:rPr>
          <w:i/>
          <w:sz w:val="22"/>
          <w:szCs w:val="22"/>
        </w:rPr>
        <w:t xml:space="preserve"> </w:t>
      </w:r>
      <w:r w:rsidR="00BC1CAA">
        <w:rPr>
          <w:i/>
          <w:sz w:val="22"/>
          <w:szCs w:val="22"/>
        </w:rPr>
        <w:t xml:space="preserve">periods because of the </w:t>
      </w:r>
      <w:r w:rsidR="00AC034A">
        <w:rPr>
          <w:i/>
          <w:sz w:val="22"/>
          <w:szCs w:val="22"/>
        </w:rPr>
        <w:t>large difference in</w:t>
      </w:r>
      <w:r w:rsidR="00BC1CAA">
        <w:rPr>
          <w:i/>
          <w:sz w:val="22"/>
          <w:szCs w:val="22"/>
        </w:rPr>
        <w:t xml:space="preserve"> soak time during the pre- and post-rationalization periods.</w:t>
      </w:r>
      <w:r w:rsidR="00B56B6B">
        <w:rPr>
          <w:i/>
          <w:sz w:val="22"/>
          <w:szCs w:val="22"/>
        </w:rPr>
        <w:t xml:space="preserve">  </w:t>
      </w:r>
    </w:p>
    <w:p w:rsidR="00AC034A" w:rsidRPr="00BA7610" w:rsidRDefault="00AC034A" w:rsidP="00D105B3">
      <w:pPr>
        <w:pStyle w:val="ListParagraph"/>
        <w:ind w:left="780"/>
        <w:rPr>
          <w:i/>
          <w:sz w:val="22"/>
          <w:szCs w:val="22"/>
        </w:rPr>
      </w:pPr>
    </w:p>
    <w:p w:rsidR="00D105B3" w:rsidRDefault="00D643D4" w:rsidP="007C3C7A">
      <w:pPr>
        <w:pStyle w:val="ListParagraph"/>
        <w:numPr>
          <w:ilvl w:val="0"/>
          <w:numId w:val="20"/>
        </w:numPr>
        <w:rPr>
          <w:sz w:val="22"/>
          <w:szCs w:val="22"/>
        </w:rPr>
      </w:pPr>
      <w:r>
        <w:rPr>
          <w:sz w:val="22"/>
          <w:szCs w:val="22"/>
        </w:rPr>
        <w:t xml:space="preserve">It is known that the industry is modifying its fishing practices to minimize the catch of sublegal crab, which means that an index based on the catch of sublegal crabs is not likely to reflect sub legal abundance because of </w:t>
      </w:r>
      <w:r w:rsidR="00AC034A">
        <w:rPr>
          <w:sz w:val="22"/>
          <w:szCs w:val="22"/>
        </w:rPr>
        <w:t>a trend</w:t>
      </w:r>
      <w:r>
        <w:rPr>
          <w:sz w:val="22"/>
          <w:szCs w:val="22"/>
        </w:rPr>
        <w:t xml:space="preserve"> </w:t>
      </w:r>
      <w:r w:rsidR="00AC034A">
        <w:rPr>
          <w:sz w:val="22"/>
          <w:szCs w:val="22"/>
        </w:rPr>
        <w:t>towards</w:t>
      </w:r>
      <w:r>
        <w:rPr>
          <w:sz w:val="22"/>
          <w:szCs w:val="22"/>
        </w:rPr>
        <w:t xml:space="preserve"> reduced vulnerability in this component of the catch </w:t>
      </w:r>
      <w:r w:rsidR="00AC034A">
        <w:rPr>
          <w:sz w:val="22"/>
          <w:szCs w:val="22"/>
        </w:rPr>
        <w:t xml:space="preserve">Consequently, </w:t>
      </w:r>
      <w:r>
        <w:rPr>
          <w:sz w:val="22"/>
          <w:szCs w:val="22"/>
        </w:rPr>
        <w:t>a CPUE index for sublegal crab should not be included in the base assessment.</w:t>
      </w:r>
    </w:p>
    <w:p w:rsidR="00D643D4" w:rsidRDefault="00D643D4" w:rsidP="00D643D4">
      <w:pPr>
        <w:pStyle w:val="ListParagraph"/>
        <w:ind w:left="780"/>
        <w:rPr>
          <w:sz w:val="22"/>
          <w:szCs w:val="22"/>
        </w:rPr>
      </w:pPr>
    </w:p>
    <w:p w:rsidR="00D643D4" w:rsidRDefault="00D643D4" w:rsidP="00D643D4">
      <w:pPr>
        <w:pStyle w:val="ListParagraph"/>
        <w:ind w:left="780"/>
        <w:rPr>
          <w:i/>
          <w:sz w:val="22"/>
          <w:szCs w:val="22"/>
        </w:rPr>
      </w:pPr>
      <w:r w:rsidRPr="00D643D4">
        <w:rPr>
          <w:i/>
          <w:sz w:val="22"/>
          <w:szCs w:val="22"/>
        </w:rPr>
        <w:t xml:space="preserve">Response: We did not consider the sub legal crab in the subsequent CPUE </w:t>
      </w:r>
      <w:r>
        <w:rPr>
          <w:i/>
          <w:sz w:val="22"/>
          <w:szCs w:val="22"/>
        </w:rPr>
        <w:t xml:space="preserve">index </w:t>
      </w:r>
      <w:r w:rsidRPr="00D643D4">
        <w:rPr>
          <w:i/>
          <w:sz w:val="22"/>
          <w:szCs w:val="22"/>
        </w:rPr>
        <w:t>analyses.</w:t>
      </w:r>
    </w:p>
    <w:p w:rsidR="00AC034A" w:rsidRDefault="00AC034A" w:rsidP="00D643D4">
      <w:pPr>
        <w:pStyle w:val="ListParagraph"/>
        <w:ind w:left="780"/>
        <w:rPr>
          <w:i/>
          <w:sz w:val="22"/>
          <w:szCs w:val="22"/>
        </w:rPr>
      </w:pPr>
    </w:p>
    <w:p w:rsidR="006C5F1E" w:rsidRDefault="006C5F1E" w:rsidP="007C3C7A">
      <w:pPr>
        <w:pStyle w:val="ListParagraph"/>
        <w:numPr>
          <w:ilvl w:val="0"/>
          <w:numId w:val="20"/>
        </w:numPr>
        <w:rPr>
          <w:sz w:val="22"/>
          <w:szCs w:val="22"/>
        </w:rPr>
      </w:pPr>
      <w:r>
        <w:rPr>
          <w:sz w:val="22"/>
          <w:szCs w:val="22"/>
        </w:rPr>
        <w:t xml:space="preserve">(a) The catch rate indices for the pre- and post-rationalization period should be treated as separate series, and (b) soak time should be forced into the CPUE standardization in the same way that year is forced. The analysis should be presented at the May </w:t>
      </w:r>
      <w:r w:rsidR="00271FDF">
        <w:rPr>
          <w:sz w:val="22"/>
          <w:szCs w:val="22"/>
        </w:rPr>
        <w:t xml:space="preserve">2013 </w:t>
      </w:r>
      <w:r>
        <w:rPr>
          <w:sz w:val="22"/>
          <w:szCs w:val="22"/>
        </w:rPr>
        <w:t>CPT meeting.</w:t>
      </w:r>
    </w:p>
    <w:p w:rsidR="006C5F1E" w:rsidRDefault="006C5F1E" w:rsidP="006C5F1E">
      <w:pPr>
        <w:pStyle w:val="ListParagraph"/>
        <w:ind w:left="780"/>
        <w:rPr>
          <w:sz w:val="22"/>
          <w:szCs w:val="22"/>
        </w:rPr>
      </w:pPr>
    </w:p>
    <w:p w:rsidR="006C5F1E" w:rsidRDefault="006C5F1E" w:rsidP="006C5F1E">
      <w:pPr>
        <w:pStyle w:val="ListParagraph"/>
        <w:ind w:left="780"/>
        <w:rPr>
          <w:i/>
          <w:sz w:val="22"/>
          <w:szCs w:val="22"/>
        </w:rPr>
      </w:pPr>
      <w:r w:rsidRPr="006C5F1E">
        <w:rPr>
          <w:i/>
          <w:sz w:val="22"/>
          <w:szCs w:val="22"/>
        </w:rPr>
        <w:t xml:space="preserve">Response: We followed the suggestions and </w:t>
      </w:r>
      <w:r w:rsidR="00D06E7A">
        <w:rPr>
          <w:i/>
          <w:sz w:val="22"/>
          <w:szCs w:val="22"/>
        </w:rPr>
        <w:t>estimated</w:t>
      </w:r>
      <w:r w:rsidRPr="006C5F1E">
        <w:rPr>
          <w:i/>
          <w:sz w:val="22"/>
          <w:szCs w:val="22"/>
        </w:rPr>
        <w:t xml:space="preserve"> the CPUE </w:t>
      </w:r>
      <w:r w:rsidR="00D06E7A">
        <w:rPr>
          <w:i/>
          <w:sz w:val="22"/>
          <w:szCs w:val="22"/>
        </w:rPr>
        <w:t>indices accordingly.</w:t>
      </w:r>
    </w:p>
    <w:p w:rsidR="00C21738" w:rsidRDefault="00C21738" w:rsidP="006C5F1E">
      <w:pPr>
        <w:pStyle w:val="ListParagraph"/>
        <w:ind w:left="780"/>
        <w:rPr>
          <w:i/>
          <w:sz w:val="22"/>
          <w:szCs w:val="22"/>
        </w:rPr>
      </w:pPr>
    </w:p>
    <w:p w:rsidR="00C21738" w:rsidRPr="00C21738" w:rsidRDefault="00C21738" w:rsidP="007C3C7A">
      <w:pPr>
        <w:pStyle w:val="ListParagraph"/>
        <w:numPr>
          <w:ilvl w:val="0"/>
          <w:numId w:val="19"/>
        </w:numPr>
        <w:rPr>
          <w:sz w:val="22"/>
          <w:szCs w:val="22"/>
        </w:rPr>
      </w:pPr>
      <w:r>
        <w:rPr>
          <w:sz w:val="22"/>
          <w:szCs w:val="22"/>
        </w:rPr>
        <w:t>The GKC model</w:t>
      </w:r>
    </w:p>
    <w:p w:rsidR="00D105B3" w:rsidRDefault="00C21738" w:rsidP="007C3C7A">
      <w:pPr>
        <w:pStyle w:val="ListParagraph"/>
        <w:numPr>
          <w:ilvl w:val="0"/>
          <w:numId w:val="22"/>
        </w:numPr>
        <w:rPr>
          <w:sz w:val="24"/>
          <w:szCs w:val="24"/>
        </w:rPr>
      </w:pPr>
      <w:r>
        <w:rPr>
          <w:sz w:val="24"/>
          <w:szCs w:val="24"/>
        </w:rPr>
        <w:t xml:space="preserve">The workshop identified discrepancies between the model description and the </w:t>
      </w:r>
      <w:r w:rsidR="006F16FD">
        <w:rPr>
          <w:sz w:val="24"/>
          <w:szCs w:val="24"/>
        </w:rPr>
        <w:t>code, which implemented in the model (e.g., how growth was modelled and whether old and new shell crabs were represented separately in the model) as well as problems with how the model was coded.</w:t>
      </w:r>
    </w:p>
    <w:p w:rsidR="006F16FD" w:rsidRDefault="006F16FD" w:rsidP="006F16FD">
      <w:pPr>
        <w:pStyle w:val="ListParagraph"/>
        <w:ind w:left="1140"/>
        <w:rPr>
          <w:i/>
          <w:sz w:val="22"/>
          <w:szCs w:val="22"/>
        </w:rPr>
      </w:pPr>
      <w:r w:rsidRPr="006C5F1E">
        <w:rPr>
          <w:i/>
          <w:sz w:val="22"/>
          <w:szCs w:val="22"/>
        </w:rPr>
        <w:t>Response</w:t>
      </w:r>
      <w:r>
        <w:rPr>
          <w:i/>
          <w:sz w:val="22"/>
          <w:szCs w:val="22"/>
        </w:rPr>
        <w:t>s:</w:t>
      </w:r>
    </w:p>
    <w:p w:rsidR="006F16FD" w:rsidRPr="00D31F45" w:rsidRDefault="006F16FD" w:rsidP="007C3C7A">
      <w:pPr>
        <w:pStyle w:val="ListParagraph"/>
        <w:numPr>
          <w:ilvl w:val="0"/>
          <w:numId w:val="23"/>
        </w:numPr>
        <w:rPr>
          <w:sz w:val="24"/>
          <w:szCs w:val="24"/>
        </w:rPr>
      </w:pPr>
      <w:r>
        <w:rPr>
          <w:i/>
          <w:sz w:val="22"/>
          <w:szCs w:val="22"/>
        </w:rPr>
        <w:t xml:space="preserve">In the current </w:t>
      </w:r>
      <w:r w:rsidR="004872A1">
        <w:rPr>
          <w:i/>
          <w:sz w:val="22"/>
          <w:szCs w:val="22"/>
        </w:rPr>
        <w:t xml:space="preserve">assessment </w:t>
      </w:r>
      <w:r>
        <w:rPr>
          <w:i/>
          <w:sz w:val="22"/>
          <w:szCs w:val="22"/>
        </w:rPr>
        <w:t>model, we considered two approaches to estimate the size transition matrix from the ta</w:t>
      </w:r>
      <w:r w:rsidR="00237235">
        <w:rPr>
          <w:i/>
          <w:sz w:val="22"/>
          <w:szCs w:val="22"/>
        </w:rPr>
        <w:t xml:space="preserve">g </w:t>
      </w:r>
      <w:r>
        <w:rPr>
          <w:i/>
          <w:sz w:val="22"/>
          <w:szCs w:val="22"/>
        </w:rPr>
        <w:t>release-recapture lengths:</w:t>
      </w:r>
    </w:p>
    <w:p w:rsidR="00D31F45" w:rsidRPr="006F16FD" w:rsidRDefault="00D31F45" w:rsidP="00D31F45">
      <w:pPr>
        <w:pStyle w:val="ListParagraph"/>
        <w:ind w:left="1860"/>
        <w:rPr>
          <w:sz w:val="24"/>
          <w:szCs w:val="24"/>
        </w:rPr>
      </w:pPr>
    </w:p>
    <w:p w:rsidR="006F16FD" w:rsidRDefault="006F16FD" w:rsidP="006F16FD">
      <w:pPr>
        <w:pStyle w:val="ListParagraph"/>
        <w:ind w:left="1860"/>
        <w:rPr>
          <w:i/>
          <w:sz w:val="22"/>
          <w:szCs w:val="22"/>
        </w:rPr>
      </w:pPr>
      <w:r>
        <w:rPr>
          <w:i/>
          <w:sz w:val="22"/>
          <w:szCs w:val="22"/>
        </w:rPr>
        <w:lastRenderedPageBreak/>
        <w:t xml:space="preserve">Approach 1:  </w:t>
      </w:r>
      <w:r w:rsidR="00237235">
        <w:rPr>
          <w:i/>
          <w:sz w:val="22"/>
          <w:szCs w:val="22"/>
        </w:rPr>
        <w:t xml:space="preserve">We used </w:t>
      </w:r>
      <w:r>
        <w:rPr>
          <w:i/>
          <w:sz w:val="22"/>
          <w:szCs w:val="22"/>
        </w:rPr>
        <w:t>a composite linear growth increment model with a</w:t>
      </w:r>
      <w:r w:rsidR="00237235">
        <w:rPr>
          <w:i/>
          <w:sz w:val="22"/>
          <w:szCs w:val="22"/>
        </w:rPr>
        <w:t xml:space="preserve"> </w:t>
      </w:r>
      <w:r>
        <w:rPr>
          <w:i/>
          <w:sz w:val="22"/>
          <w:szCs w:val="22"/>
        </w:rPr>
        <w:t>gamma stochastic variability function</w:t>
      </w:r>
      <w:r w:rsidR="00237235">
        <w:rPr>
          <w:i/>
          <w:sz w:val="22"/>
          <w:szCs w:val="22"/>
        </w:rPr>
        <w:t xml:space="preserve"> </w:t>
      </w:r>
      <w:r>
        <w:rPr>
          <w:i/>
          <w:sz w:val="22"/>
          <w:szCs w:val="22"/>
        </w:rPr>
        <w:t>(three parameters)  and a pseudo molt pro</w:t>
      </w:r>
      <w:r w:rsidR="00237235">
        <w:rPr>
          <w:i/>
          <w:sz w:val="22"/>
          <w:szCs w:val="22"/>
        </w:rPr>
        <w:t>bability model (two parameters)</w:t>
      </w:r>
      <w:r>
        <w:rPr>
          <w:i/>
          <w:sz w:val="22"/>
          <w:szCs w:val="22"/>
        </w:rPr>
        <w:t>) to calculate the size transition matrix</w:t>
      </w:r>
      <w:r w:rsidR="00D31F45">
        <w:rPr>
          <w:i/>
          <w:sz w:val="22"/>
          <w:szCs w:val="22"/>
        </w:rPr>
        <w:t>.</w:t>
      </w:r>
    </w:p>
    <w:p w:rsidR="00D31F45" w:rsidRDefault="00D31F45" w:rsidP="006F16FD">
      <w:pPr>
        <w:pStyle w:val="ListParagraph"/>
        <w:ind w:left="1860"/>
        <w:rPr>
          <w:i/>
          <w:sz w:val="22"/>
          <w:szCs w:val="22"/>
        </w:rPr>
      </w:pPr>
    </w:p>
    <w:p w:rsidR="00D31F45" w:rsidRDefault="00D31F45" w:rsidP="006F16FD">
      <w:pPr>
        <w:pStyle w:val="ListParagraph"/>
        <w:ind w:left="1860"/>
        <w:rPr>
          <w:i/>
          <w:sz w:val="22"/>
          <w:szCs w:val="22"/>
        </w:rPr>
      </w:pPr>
      <w:r>
        <w:rPr>
          <w:i/>
          <w:sz w:val="22"/>
          <w:szCs w:val="22"/>
        </w:rPr>
        <w:t xml:space="preserve">We used this size transition matrix on crab population dynamics without separating </w:t>
      </w:r>
      <w:r w:rsidR="00237235">
        <w:rPr>
          <w:i/>
          <w:sz w:val="22"/>
          <w:szCs w:val="22"/>
        </w:rPr>
        <w:t>the crabs into new and</w:t>
      </w:r>
      <w:r>
        <w:rPr>
          <w:i/>
          <w:sz w:val="22"/>
          <w:szCs w:val="22"/>
        </w:rPr>
        <w:t xml:space="preserve"> old shell</w:t>
      </w:r>
    </w:p>
    <w:p w:rsidR="006F16FD" w:rsidRDefault="006F16FD" w:rsidP="006F16FD">
      <w:pPr>
        <w:pStyle w:val="ListParagraph"/>
        <w:ind w:left="1860"/>
        <w:rPr>
          <w:i/>
          <w:sz w:val="22"/>
          <w:szCs w:val="22"/>
        </w:rPr>
      </w:pPr>
      <w:r>
        <w:rPr>
          <w:i/>
          <w:sz w:val="22"/>
          <w:szCs w:val="22"/>
        </w:rPr>
        <w:t xml:space="preserve">. </w:t>
      </w:r>
    </w:p>
    <w:p w:rsidR="00237235" w:rsidRDefault="00237235" w:rsidP="00237235">
      <w:pPr>
        <w:pStyle w:val="ListParagraph"/>
        <w:ind w:left="1860"/>
        <w:rPr>
          <w:i/>
          <w:sz w:val="22"/>
          <w:szCs w:val="22"/>
        </w:rPr>
      </w:pPr>
      <w:r>
        <w:rPr>
          <w:i/>
          <w:sz w:val="22"/>
          <w:szCs w:val="22"/>
        </w:rPr>
        <w:t xml:space="preserve">Approach 2: We followed Approach 1 </w:t>
      </w:r>
      <w:r w:rsidR="00D31F45">
        <w:rPr>
          <w:i/>
          <w:sz w:val="22"/>
          <w:szCs w:val="22"/>
        </w:rPr>
        <w:t xml:space="preserve">without the pseudo molt </w:t>
      </w:r>
      <w:r>
        <w:rPr>
          <w:i/>
          <w:sz w:val="22"/>
          <w:szCs w:val="22"/>
        </w:rPr>
        <w:t xml:space="preserve">probability component. That is </w:t>
      </w:r>
      <w:r w:rsidR="00D31F45">
        <w:rPr>
          <w:i/>
          <w:sz w:val="22"/>
          <w:szCs w:val="22"/>
        </w:rPr>
        <w:t>modeling t</w:t>
      </w:r>
      <w:r>
        <w:rPr>
          <w:i/>
          <w:sz w:val="22"/>
          <w:szCs w:val="22"/>
        </w:rPr>
        <w:t xml:space="preserve">he size transition matrix only </w:t>
      </w:r>
      <w:r w:rsidR="00D31F45">
        <w:rPr>
          <w:i/>
          <w:sz w:val="22"/>
          <w:szCs w:val="22"/>
        </w:rPr>
        <w:t>with a linear growth increment and a gamma stochastic distribution.</w:t>
      </w:r>
      <w:r w:rsidRPr="00237235">
        <w:rPr>
          <w:i/>
          <w:sz w:val="22"/>
          <w:szCs w:val="22"/>
        </w:rPr>
        <w:t xml:space="preserve"> </w:t>
      </w:r>
    </w:p>
    <w:p w:rsidR="00D31F45" w:rsidRDefault="00D31F45" w:rsidP="00D31F45">
      <w:pPr>
        <w:pStyle w:val="ListParagraph"/>
        <w:ind w:left="1860"/>
        <w:rPr>
          <w:i/>
          <w:sz w:val="22"/>
          <w:szCs w:val="22"/>
        </w:rPr>
      </w:pPr>
    </w:p>
    <w:p w:rsidR="00D31F45" w:rsidRDefault="00D31F45" w:rsidP="00D31F45">
      <w:pPr>
        <w:pStyle w:val="ListParagraph"/>
        <w:ind w:left="1860"/>
        <w:rPr>
          <w:i/>
          <w:sz w:val="22"/>
          <w:szCs w:val="22"/>
        </w:rPr>
      </w:pPr>
      <w:r>
        <w:rPr>
          <w:i/>
          <w:sz w:val="22"/>
          <w:szCs w:val="22"/>
        </w:rPr>
        <w:t xml:space="preserve">We used this size transition matrix on crab population dynamics without separating </w:t>
      </w:r>
      <w:r w:rsidR="00237235">
        <w:rPr>
          <w:i/>
          <w:sz w:val="22"/>
          <w:szCs w:val="22"/>
        </w:rPr>
        <w:t xml:space="preserve">the crabs </w:t>
      </w:r>
      <w:r>
        <w:rPr>
          <w:i/>
          <w:sz w:val="22"/>
          <w:szCs w:val="22"/>
        </w:rPr>
        <w:t>into new or old shell.</w:t>
      </w:r>
    </w:p>
    <w:p w:rsidR="00237235" w:rsidRDefault="00237235" w:rsidP="00D31F45">
      <w:pPr>
        <w:pStyle w:val="ListParagraph"/>
        <w:ind w:left="1860"/>
        <w:rPr>
          <w:i/>
          <w:sz w:val="22"/>
          <w:szCs w:val="22"/>
        </w:rPr>
      </w:pPr>
    </w:p>
    <w:p w:rsidR="00AE1A81" w:rsidRDefault="00237235" w:rsidP="007C3C7A">
      <w:pPr>
        <w:pStyle w:val="ListParagraph"/>
        <w:numPr>
          <w:ilvl w:val="0"/>
          <w:numId w:val="23"/>
        </w:numPr>
        <w:rPr>
          <w:i/>
          <w:sz w:val="22"/>
          <w:szCs w:val="22"/>
        </w:rPr>
      </w:pPr>
      <w:r>
        <w:rPr>
          <w:i/>
          <w:sz w:val="22"/>
          <w:szCs w:val="22"/>
        </w:rPr>
        <w:t>We unified</w:t>
      </w:r>
      <w:r w:rsidR="00AE1A81">
        <w:rPr>
          <w:i/>
          <w:sz w:val="22"/>
          <w:szCs w:val="22"/>
        </w:rPr>
        <w:t xml:space="preserve"> the model coding for EAG and WAG (se</w:t>
      </w:r>
      <w:r>
        <w:rPr>
          <w:i/>
          <w:sz w:val="22"/>
          <w:szCs w:val="22"/>
        </w:rPr>
        <w:t>e</w:t>
      </w:r>
      <w:r w:rsidR="00AE1A81">
        <w:rPr>
          <w:i/>
          <w:sz w:val="22"/>
          <w:szCs w:val="22"/>
        </w:rPr>
        <w:t xml:space="preserve"> appendix A) to reflect that the equations in Appendix A are followed in the coding.</w:t>
      </w:r>
    </w:p>
    <w:p w:rsidR="00D31F45" w:rsidRDefault="00AE1A81" w:rsidP="007C3C7A">
      <w:pPr>
        <w:pStyle w:val="ListParagraph"/>
        <w:numPr>
          <w:ilvl w:val="0"/>
          <w:numId w:val="23"/>
        </w:numPr>
        <w:rPr>
          <w:i/>
          <w:sz w:val="22"/>
          <w:szCs w:val="22"/>
        </w:rPr>
      </w:pPr>
      <w:r>
        <w:rPr>
          <w:i/>
          <w:sz w:val="22"/>
          <w:szCs w:val="22"/>
        </w:rPr>
        <w:t>We</w:t>
      </w:r>
      <w:r w:rsidR="00237235">
        <w:rPr>
          <w:i/>
          <w:sz w:val="22"/>
          <w:szCs w:val="22"/>
        </w:rPr>
        <w:t xml:space="preserve"> avoided using the “if” statement</w:t>
      </w:r>
      <w:r>
        <w:rPr>
          <w:i/>
          <w:sz w:val="22"/>
          <w:szCs w:val="22"/>
        </w:rPr>
        <w:t xml:space="preserve">s </w:t>
      </w:r>
      <w:r w:rsidR="00237235">
        <w:rPr>
          <w:i/>
          <w:sz w:val="22"/>
          <w:szCs w:val="22"/>
        </w:rPr>
        <w:t xml:space="preserve">especially </w:t>
      </w:r>
      <w:r>
        <w:rPr>
          <w:i/>
          <w:sz w:val="22"/>
          <w:szCs w:val="22"/>
        </w:rPr>
        <w:t>for parameters, instead used “posfunction” in the ADMB code.</w:t>
      </w:r>
      <w:r w:rsidR="00D31F45">
        <w:rPr>
          <w:i/>
          <w:sz w:val="22"/>
          <w:szCs w:val="22"/>
        </w:rPr>
        <w:t xml:space="preserve"> </w:t>
      </w:r>
    </w:p>
    <w:p w:rsidR="00AE1A81" w:rsidRDefault="00237235" w:rsidP="007C3C7A">
      <w:pPr>
        <w:pStyle w:val="ListParagraph"/>
        <w:numPr>
          <w:ilvl w:val="0"/>
          <w:numId w:val="23"/>
        </w:numPr>
        <w:rPr>
          <w:i/>
          <w:sz w:val="22"/>
          <w:szCs w:val="22"/>
        </w:rPr>
      </w:pPr>
      <w:r>
        <w:rPr>
          <w:i/>
          <w:sz w:val="22"/>
          <w:szCs w:val="22"/>
        </w:rPr>
        <w:t xml:space="preserve">We relaxed the pot fishery F estimation likelihood weights in the last phase of optimization. </w:t>
      </w:r>
    </w:p>
    <w:p w:rsidR="00D31F45" w:rsidRPr="00C21738" w:rsidRDefault="00D31F45" w:rsidP="00D31F45">
      <w:pPr>
        <w:pStyle w:val="ListParagraph"/>
        <w:ind w:left="1860"/>
        <w:rPr>
          <w:sz w:val="24"/>
          <w:szCs w:val="24"/>
        </w:rPr>
      </w:pPr>
    </w:p>
    <w:p w:rsidR="00F94A8A" w:rsidRDefault="00F94A8A" w:rsidP="00D50F0D">
      <w:pPr>
        <w:rPr>
          <w:sz w:val="24"/>
          <w:szCs w:val="24"/>
        </w:rPr>
      </w:pPr>
    </w:p>
    <w:p w:rsidR="00D105B3" w:rsidRDefault="00F94A8A" w:rsidP="00D50F0D">
      <w:pPr>
        <w:rPr>
          <w:sz w:val="24"/>
          <w:szCs w:val="24"/>
        </w:rPr>
      </w:pPr>
      <w:r>
        <w:rPr>
          <w:sz w:val="24"/>
          <w:szCs w:val="24"/>
        </w:rPr>
        <w:t>May 2013 CPT</w:t>
      </w:r>
    </w:p>
    <w:p w:rsidR="00F94A8A" w:rsidRPr="00F94A8A" w:rsidRDefault="00F94A8A" w:rsidP="007C3C7A">
      <w:pPr>
        <w:pStyle w:val="ListParagraph"/>
        <w:numPr>
          <w:ilvl w:val="0"/>
          <w:numId w:val="21"/>
        </w:numPr>
        <w:rPr>
          <w:sz w:val="22"/>
          <w:szCs w:val="22"/>
        </w:rPr>
      </w:pPr>
      <w:r w:rsidRPr="00F94A8A">
        <w:rPr>
          <w:sz w:val="22"/>
          <w:szCs w:val="22"/>
        </w:rPr>
        <w:t>Estimate the overdispersion parameter when applying the negative binomial GLM, either using</w:t>
      </w:r>
      <w:r>
        <w:rPr>
          <w:sz w:val="22"/>
          <w:szCs w:val="22"/>
        </w:rPr>
        <w:t xml:space="preserve"> m</w:t>
      </w:r>
      <w:r w:rsidRPr="00F94A8A">
        <w:rPr>
          <w:sz w:val="22"/>
          <w:szCs w:val="22"/>
        </w:rPr>
        <w:t>aximum likelihood or by profile likelihood. An initial estimate of the</w:t>
      </w:r>
      <w:r>
        <w:rPr>
          <w:sz w:val="22"/>
          <w:szCs w:val="22"/>
        </w:rPr>
        <w:t xml:space="preserve"> over</w:t>
      </w:r>
      <w:r w:rsidRPr="00F94A8A">
        <w:rPr>
          <w:sz w:val="22"/>
          <w:szCs w:val="22"/>
        </w:rPr>
        <w:t>dispers</w:t>
      </w:r>
      <w:r>
        <w:rPr>
          <w:sz w:val="22"/>
          <w:szCs w:val="22"/>
        </w:rPr>
        <w:t>i</w:t>
      </w:r>
      <w:r w:rsidRPr="00F94A8A">
        <w:rPr>
          <w:sz w:val="22"/>
          <w:szCs w:val="22"/>
        </w:rPr>
        <w:t>on parameter</w:t>
      </w:r>
      <w:r>
        <w:rPr>
          <w:sz w:val="22"/>
          <w:szCs w:val="22"/>
        </w:rPr>
        <w:t xml:space="preserve"> </w:t>
      </w:r>
      <w:r w:rsidRPr="00F94A8A">
        <w:rPr>
          <w:sz w:val="22"/>
          <w:szCs w:val="22"/>
        </w:rPr>
        <w:t>can be obtained by applying a GLM with a Poisson error model.</w:t>
      </w:r>
    </w:p>
    <w:p w:rsidR="00F94A8A" w:rsidRPr="00F94A8A" w:rsidRDefault="00F94A8A" w:rsidP="00F94A8A">
      <w:pPr>
        <w:rPr>
          <w:sz w:val="22"/>
          <w:szCs w:val="22"/>
        </w:rPr>
      </w:pPr>
    </w:p>
    <w:p w:rsidR="00F94A8A" w:rsidRPr="00F94A8A" w:rsidRDefault="00F94A8A" w:rsidP="00F94A8A">
      <w:pPr>
        <w:pStyle w:val="ListParagraph"/>
        <w:ind w:left="1140"/>
        <w:rPr>
          <w:i/>
          <w:sz w:val="22"/>
          <w:szCs w:val="22"/>
        </w:rPr>
      </w:pPr>
      <w:r w:rsidRPr="00F94A8A">
        <w:rPr>
          <w:i/>
          <w:sz w:val="22"/>
          <w:szCs w:val="22"/>
        </w:rPr>
        <w:t>Response: Following Fox and Weisberg (2011), we employed a grid search method to identify the optimum overdispersion parameter value corresponding to the lowest AIC.</w:t>
      </w:r>
    </w:p>
    <w:p w:rsidR="00F94A8A" w:rsidRPr="00F94A8A" w:rsidRDefault="00F94A8A" w:rsidP="00F94A8A">
      <w:pPr>
        <w:pStyle w:val="ListParagraph"/>
        <w:ind w:left="780"/>
        <w:rPr>
          <w:sz w:val="22"/>
          <w:szCs w:val="22"/>
        </w:rPr>
      </w:pPr>
      <w:r w:rsidRPr="00F94A8A">
        <w:rPr>
          <w:sz w:val="22"/>
          <w:szCs w:val="22"/>
        </w:rPr>
        <w:t xml:space="preserve"> </w:t>
      </w:r>
    </w:p>
    <w:p w:rsidR="00F94A8A" w:rsidRPr="00F94A8A" w:rsidRDefault="00F94A8A" w:rsidP="007C3C7A">
      <w:pPr>
        <w:pStyle w:val="ListParagraph"/>
        <w:numPr>
          <w:ilvl w:val="0"/>
          <w:numId w:val="21"/>
        </w:numPr>
        <w:rPr>
          <w:sz w:val="22"/>
          <w:szCs w:val="22"/>
        </w:rPr>
      </w:pPr>
      <w:r w:rsidRPr="00F94A8A">
        <w:rPr>
          <w:sz w:val="22"/>
          <w:szCs w:val="22"/>
        </w:rPr>
        <w:t>The Q-Q plots for all models appear poor. The authors improved the Q-Q plots for the log-normal component of the model by deleting data points with large residuals. This may be acceptable, but further justification is required, and the features of the rejected data points need to be summarized.</w:t>
      </w:r>
    </w:p>
    <w:p w:rsidR="00F94A8A" w:rsidRPr="00F94A8A" w:rsidRDefault="00F94A8A" w:rsidP="00F94A8A">
      <w:pPr>
        <w:pStyle w:val="ListParagraph"/>
        <w:ind w:left="1140"/>
        <w:rPr>
          <w:sz w:val="22"/>
          <w:szCs w:val="22"/>
        </w:rPr>
      </w:pPr>
      <w:r w:rsidRPr="00F94A8A">
        <w:rPr>
          <w:sz w:val="22"/>
          <w:szCs w:val="22"/>
        </w:rPr>
        <w:t xml:space="preserve">     </w:t>
      </w:r>
    </w:p>
    <w:p w:rsidR="00F94A8A" w:rsidRPr="004C52E3" w:rsidRDefault="00F94A8A" w:rsidP="00F94A8A">
      <w:pPr>
        <w:pStyle w:val="ListParagraph"/>
        <w:ind w:left="1140"/>
        <w:rPr>
          <w:i/>
          <w:sz w:val="22"/>
          <w:szCs w:val="22"/>
        </w:rPr>
      </w:pPr>
      <w:r w:rsidRPr="004C52E3">
        <w:rPr>
          <w:i/>
          <w:sz w:val="22"/>
          <w:szCs w:val="22"/>
        </w:rPr>
        <w:t>Response: We did not trim the post-rationalization period data for the final CPUE indices estimation (see the response to the September 2013 CPT comments below)</w:t>
      </w:r>
    </w:p>
    <w:p w:rsidR="00F94A8A" w:rsidRPr="00F94A8A" w:rsidRDefault="00F94A8A" w:rsidP="00F94A8A">
      <w:pPr>
        <w:pStyle w:val="ListParagraph"/>
        <w:ind w:left="1140"/>
        <w:rPr>
          <w:sz w:val="22"/>
          <w:szCs w:val="22"/>
        </w:rPr>
      </w:pPr>
    </w:p>
    <w:p w:rsidR="00F94A8A" w:rsidRPr="00F94A8A" w:rsidRDefault="00F94A8A" w:rsidP="007C3C7A">
      <w:pPr>
        <w:pStyle w:val="ListParagraph"/>
        <w:numPr>
          <w:ilvl w:val="0"/>
          <w:numId w:val="21"/>
        </w:numPr>
        <w:rPr>
          <w:sz w:val="22"/>
          <w:szCs w:val="22"/>
        </w:rPr>
      </w:pPr>
      <w:r w:rsidRPr="00F94A8A">
        <w:rPr>
          <w:sz w:val="22"/>
          <w:szCs w:val="22"/>
        </w:rPr>
        <w:t>Pearson residuals are hard to interpret for binomial and negative binomial GLMs. Use of deviance residuals should be examined.</w:t>
      </w:r>
    </w:p>
    <w:p w:rsidR="00F94A8A" w:rsidRPr="00F94A8A" w:rsidRDefault="00F94A8A" w:rsidP="00F94A8A">
      <w:pPr>
        <w:pStyle w:val="ListParagraph"/>
        <w:ind w:left="1140"/>
        <w:rPr>
          <w:sz w:val="22"/>
          <w:szCs w:val="22"/>
        </w:rPr>
      </w:pPr>
      <w:r w:rsidRPr="00F94A8A">
        <w:rPr>
          <w:sz w:val="22"/>
          <w:szCs w:val="22"/>
        </w:rPr>
        <w:t xml:space="preserve">     </w:t>
      </w:r>
    </w:p>
    <w:p w:rsidR="00F94A8A" w:rsidRDefault="00F94A8A" w:rsidP="00F94A8A">
      <w:pPr>
        <w:pStyle w:val="ListParagraph"/>
        <w:ind w:left="1140"/>
        <w:rPr>
          <w:i/>
          <w:sz w:val="22"/>
          <w:szCs w:val="22"/>
        </w:rPr>
      </w:pPr>
      <w:r w:rsidRPr="00F94A8A">
        <w:rPr>
          <w:i/>
          <w:sz w:val="22"/>
          <w:szCs w:val="22"/>
        </w:rPr>
        <w:t xml:space="preserve">Response: </w:t>
      </w:r>
      <w:r>
        <w:rPr>
          <w:i/>
          <w:sz w:val="22"/>
          <w:szCs w:val="22"/>
        </w:rPr>
        <w:t>In the final analysis, w</w:t>
      </w:r>
      <w:r w:rsidRPr="00F94A8A">
        <w:rPr>
          <w:i/>
          <w:sz w:val="22"/>
          <w:szCs w:val="22"/>
        </w:rPr>
        <w:t>e used deviance residuals for the negative binomial fits.</w:t>
      </w:r>
    </w:p>
    <w:p w:rsidR="003B62D7" w:rsidRPr="00F94A8A" w:rsidRDefault="003B62D7" w:rsidP="00F94A8A">
      <w:pPr>
        <w:pStyle w:val="ListParagraph"/>
        <w:ind w:left="1140"/>
        <w:rPr>
          <w:sz w:val="22"/>
          <w:szCs w:val="22"/>
        </w:rPr>
      </w:pPr>
    </w:p>
    <w:p w:rsidR="00F94A8A" w:rsidRPr="003B62D7" w:rsidRDefault="00F94A8A" w:rsidP="007C3C7A">
      <w:pPr>
        <w:pStyle w:val="ListParagraph"/>
        <w:numPr>
          <w:ilvl w:val="0"/>
          <w:numId w:val="21"/>
        </w:numPr>
        <w:rPr>
          <w:sz w:val="22"/>
          <w:szCs w:val="22"/>
        </w:rPr>
      </w:pPr>
      <w:r w:rsidRPr="003B62D7">
        <w:rPr>
          <w:sz w:val="22"/>
          <w:szCs w:val="22"/>
        </w:rPr>
        <w:t>The performance of the binomial model can be explored by allocating the predicted positive catch</w:t>
      </w:r>
      <w:r w:rsidR="003B62D7" w:rsidRPr="003B62D7">
        <w:rPr>
          <w:sz w:val="22"/>
          <w:szCs w:val="22"/>
        </w:rPr>
        <w:t xml:space="preserve"> </w:t>
      </w:r>
      <w:r w:rsidRPr="003B62D7">
        <w:rPr>
          <w:sz w:val="22"/>
          <w:szCs w:val="22"/>
        </w:rPr>
        <w:t>proportions to bins (e.g., in steps of 0.025), and computing the observed proportion of positive</w:t>
      </w:r>
      <w:r w:rsidR="003B62D7" w:rsidRPr="003B62D7">
        <w:rPr>
          <w:sz w:val="22"/>
          <w:szCs w:val="22"/>
        </w:rPr>
        <w:t xml:space="preserve"> </w:t>
      </w:r>
      <w:r w:rsidRPr="003B62D7">
        <w:rPr>
          <w:sz w:val="22"/>
          <w:szCs w:val="22"/>
        </w:rPr>
        <w:t>catches for each bin. A plot of the average predicted proportion versus observed proportion of</w:t>
      </w:r>
      <w:r w:rsidR="003B62D7" w:rsidRPr="003B62D7">
        <w:rPr>
          <w:sz w:val="22"/>
          <w:szCs w:val="22"/>
        </w:rPr>
        <w:t xml:space="preserve"> </w:t>
      </w:r>
      <w:r w:rsidRPr="003B62D7">
        <w:rPr>
          <w:sz w:val="22"/>
          <w:szCs w:val="22"/>
        </w:rPr>
        <w:t>positive catches should be linear.</w:t>
      </w:r>
    </w:p>
    <w:p w:rsidR="00F94A8A" w:rsidRPr="00D72867" w:rsidRDefault="00F94A8A" w:rsidP="003B62D7">
      <w:pPr>
        <w:pStyle w:val="ListParagraph"/>
        <w:ind w:left="1140"/>
        <w:rPr>
          <w:i/>
          <w:sz w:val="22"/>
          <w:szCs w:val="22"/>
        </w:rPr>
      </w:pPr>
    </w:p>
    <w:p w:rsidR="00F94A8A" w:rsidRPr="00D72867" w:rsidRDefault="00F94A8A" w:rsidP="003B62D7">
      <w:pPr>
        <w:pStyle w:val="ListParagraph"/>
        <w:ind w:left="1140"/>
        <w:rPr>
          <w:i/>
          <w:sz w:val="22"/>
          <w:szCs w:val="22"/>
        </w:rPr>
      </w:pPr>
      <w:r w:rsidRPr="00D72867">
        <w:rPr>
          <w:i/>
          <w:sz w:val="22"/>
          <w:szCs w:val="22"/>
        </w:rPr>
        <w:t>Response: We included observed versus predicted catch proportion plot to investigate the performance of the binomial model</w:t>
      </w:r>
      <w:r w:rsidR="003B62D7" w:rsidRPr="00D72867">
        <w:rPr>
          <w:i/>
          <w:sz w:val="22"/>
          <w:szCs w:val="22"/>
        </w:rPr>
        <w:t xml:space="preserve"> for the September CPT presentation</w:t>
      </w:r>
      <w:r w:rsidRPr="00D72867">
        <w:rPr>
          <w:i/>
          <w:sz w:val="22"/>
          <w:szCs w:val="22"/>
        </w:rPr>
        <w:t xml:space="preserve">. </w:t>
      </w:r>
    </w:p>
    <w:p w:rsidR="00F94A8A" w:rsidRPr="00F94A8A" w:rsidRDefault="00F94A8A" w:rsidP="003B62D7">
      <w:pPr>
        <w:pStyle w:val="ListParagraph"/>
        <w:ind w:left="1140"/>
        <w:rPr>
          <w:sz w:val="22"/>
          <w:szCs w:val="22"/>
        </w:rPr>
      </w:pPr>
    </w:p>
    <w:p w:rsidR="00F94A8A" w:rsidRPr="00F94A8A" w:rsidRDefault="00F94A8A" w:rsidP="007C3C7A">
      <w:pPr>
        <w:pStyle w:val="ListParagraph"/>
        <w:numPr>
          <w:ilvl w:val="0"/>
          <w:numId w:val="21"/>
        </w:numPr>
        <w:rPr>
          <w:sz w:val="22"/>
          <w:szCs w:val="22"/>
        </w:rPr>
      </w:pPr>
      <w:r w:rsidRPr="00F94A8A">
        <w:rPr>
          <w:sz w:val="22"/>
          <w:szCs w:val="22"/>
        </w:rPr>
        <w:t>The influence plots should be provided.</w:t>
      </w:r>
    </w:p>
    <w:p w:rsidR="00F94A8A" w:rsidRPr="00F94A8A" w:rsidRDefault="00F94A8A" w:rsidP="003B62D7">
      <w:pPr>
        <w:pStyle w:val="ListParagraph"/>
        <w:ind w:left="1140"/>
        <w:rPr>
          <w:sz w:val="22"/>
          <w:szCs w:val="22"/>
        </w:rPr>
      </w:pPr>
    </w:p>
    <w:p w:rsidR="00F94A8A" w:rsidRPr="003B62D7" w:rsidRDefault="00F94A8A" w:rsidP="003B62D7">
      <w:pPr>
        <w:pStyle w:val="ListParagraph"/>
        <w:ind w:left="1140"/>
        <w:rPr>
          <w:i/>
          <w:sz w:val="22"/>
          <w:szCs w:val="22"/>
        </w:rPr>
      </w:pPr>
      <w:r w:rsidRPr="003B62D7">
        <w:rPr>
          <w:i/>
          <w:sz w:val="22"/>
          <w:szCs w:val="22"/>
        </w:rPr>
        <w:t xml:space="preserve">Response: We </w:t>
      </w:r>
      <w:r w:rsidR="003B62D7">
        <w:rPr>
          <w:i/>
          <w:sz w:val="22"/>
          <w:szCs w:val="22"/>
        </w:rPr>
        <w:t>presented influence plots at</w:t>
      </w:r>
      <w:r w:rsidR="003B62D7" w:rsidRPr="003B62D7">
        <w:rPr>
          <w:i/>
          <w:sz w:val="22"/>
          <w:szCs w:val="22"/>
        </w:rPr>
        <w:t xml:space="preserve"> the Sept</w:t>
      </w:r>
      <w:r w:rsidR="003B62D7">
        <w:rPr>
          <w:i/>
          <w:sz w:val="22"/>
          <w:szCs w:val="22"/>
        </w:rPr>
        <w:t>e</w:t>
      </w:r>
      <w:r w:rsidR="003B62D7" w:rsidRPr="003B62D7">
        <w:rPr>
          <w:i/>
          <w:sz w:val="22"/>
          <w:szCs w:val="22"/>
        </w:rPr>
        <w:t>mber CPT presentation.</w:t>
      </w:r>
    </w:p>
    <w:p w:rsidR="003B62D7" w:rsidRDefault="003B62D7" w:rsidP="00D643D4">
      <w:pPr>
        <w:rPr>
          <w:sz w:val="22"/>
          <w:szCs w:val="22"/>
        </w:rPr>
      </w:pPr>
    </w:p>
    <w:p w:rsidR="00D643D4" w:rsidRDefault="00D643D4" w:rsidP="00D643D4">
      <w:pPr>
        <w:rPr>
          <w:sz w:val="24"/>
          <w:szCs w:val="24"/>
        </w:rPr>
      </w:pPr>
      <w:r>
        <w:rPr>
          <w:sz w:val="22"/>
          <w:szCs w:val="22"/>
        </w:rPr>
        <w:t xml:space="preserve">       </w:t>
      </w:r>
      <w:r w:rsidR="0097088C" w:rsidRPr="00ED71A6">
        <w:rPr>
          <w:sz w:val="24"/>
          <w:szCs w:val="24"/>
        </w:rPr>
        <w:t>September</w:t>
      </w:r>
      <w:r w:rsidRPr="00ED71A6">
        <w:rPr>
          <w:sz w:val="24"/>
          <w:szCs w:val="24"/>
        </w:rPr>
        <w:t xml:space="preserve"> 2013 CPT </w:t>
      </w:r>
    </w:p>
    <w:p w:rsidR="00D643D4" w:rsidRPr="002A04FE" w:rsidRDefault="00D643D4" w:rsidP="00D72867">
      <w:pPr>
        <w:ind w:left="450" w:firstLine="360"/>
        <w:rPr>
          <w:sz w:val="22"/>
          <w:szCs w:val="22"/>
        </w:rPr>
      </w:pPr>
      <w:r w:rsidRPr="002A04FE">
        <w:rPr>
          <w:sz w:val="22"/>
          <w:szCs w:val="22"/>
        </w:rPr>
        <w:t xml:space="preserve"> The CPT discussed the CPUE analysis and recommended that :</w:t>
      </w:r>
    </w:p>
    <w:p w:rsidR="00D643D4" w:rsidRPr="002A04FE" w:rsidRDefault="00D643D4" w:rsidP="00D72867">
      <w:pPr>
        <w:pStyle w:val="ListParagraph"/>
        <w:numPr>
          <w:ilvl w:val="0"/>
          <w:numId w:val="18"/>
        </w:numPr>
        <w:tabs>
          <w:tab w:val="left" w:pos="1080"/>
        </w:tabs>
        <w:ind w:left="1080" w:hanging="270"/>
        <w:rPr>
          <w:sz w:val="22"/>
          <w:szCs w:val="22"/>
        </w:rPr>
      </w:pPr>
      <w:r w:rsidRPr="002A04FE">
        <w:rPr>
          <w:sz w:val="22"/>
          <w:szCs w:val="22"/>
        </w:rPr>
        <w:t xml:space="preserve">The negative binomial approach without trimming should be used to construct a CPUE </w:t>
      </w:r>
      <w:r w:rsidR="0097088C" w:rsidRPr="002A04FE">
        <w:rPr>
          <w:sz w:val="22"/>
          <w:szCs w:val="22"/>
        </w:rPr>
        <w:t>index</w:t>
      </w:r>
      <w:r w:rsidRPr="002A04FE">
        <w:rPr>
          <w:sz w:val="22"/>
          <w:szCs w:val="22"/>
        </w:rPr>
        <w:t xml:space="preserve"> for the May 2014 meeting.</w:t>
      </w:r>
    </w:p>
    <w:p w:rsidR="00D643D4" w:rsidRPr="002A04FE" w:rsidRDefault="00D643D4" w:rsidP="00D643D4">
      <w:pPr>
        <w:pStyle w:val="ListParagraph"/>
        <w:rPr>
          <w:sz w:val="22"/>
          <w:szCs w:val="22"/>
        </w:rPr>
      </w:pPr>
    </w:p>
    <w:p w:rsidR="00D643D4" w:rsidRPr="00D72867" w:rsidRDefault="00D643D4" w:rsidP="00D72867">
      <w:pPr>
        <w:pStyle w:val="ListParagraph"/>
        <w:ind w:left="1080"/>
        <w:rPr>
          <w:i/>
          <w:sz w:val="22"/>
          <w:szCs w:val="22"/>
        </w:rPr>
      </w:pPr>
      <w:r w:rsidRPr="002A04FE">
        <w:rPr>
          <w:i/>
          <w:sz w:val="22"/>
          <w:szCs w:val="22"/>
        </w:rPr>
        <w:t xml:space="preserve">Response: We standardized the CPUE separately for the two periods, </w:t>
      </w:r>
      <w:r w:rsidRPr="00D72867">
        <w:rPr>
          <w:i/>
          <w:sz w:val="22"/>
          <w:szCs w:val="22"/>
        </w:rPr>
        <w:t xml:space="preserve">1995/96–2004/05 and 2005/06–2012/13, using the negative binomial model in the GLM. </w:t>
      </w:r>
      <w:r w:rsidR="00F94A8A" w:rsidRPr="00D72867">
        <w:rPr>
          <w:i/>
          <w:sz w:val="22"/>
          <w:szCs w:val="22"/>
        </w:rPr>
        <w:t xml:space="preserve">We did not trim the post rationalization period data for the CPUE index estimation. </w:t>
      </w:r>
      <w:r w:rsidRPr="00D72867">
        <w:rPr>
          <w:i/>
          <w:sz w:val="22"/>
          <w:szCs w:val="22"/>
        </w:rPr>
        <w:t>This is used in the current assessment model.</w:t>
      </w:r>
    </w:p>
    <w:p w:rsidR="00F94A8A" w:rsidRPr="00D72867" w:rsidRDefault="00F94A8A" w:rsidP="00D643D4">
      <w:pPr>
        <w:pStyle w:val="ListParagraph"/>
        <w:rPr>
          <w:i/>
          <w:sz w:val="22"/>
          <w:szCs w:val="22"/>
        </w:rPr>
      </w:pPr>
    </w:p>
    <w:p w:rsidR="00D643D4" w:rsidRPr="002A04FE" w:rsidRDefault="00D643D4" w:rsidP="00D72867">
      <w:pPr>
        <w:pStyle w:val="ListParagraph"/>
        <w:numPr>
          <w:ilvl w:val="0"/>
          <w:numId w:val="18"/>
        </w:numPr>
        <w:ind w:left="1080" w:hanging="270"/>
        <w:rPr>
          <w:sz w:val="22"/>
          <w:szCs w:val="22"/>
        </w:rPr>
      </w:pPr>
      <w:r w:rsidRPr="00D72867">
        <w:rPr>
          <w:sz w:val="22"/>
          <w:szCs w:val="22"/>
        </w:rPr>
        <w:t>A survey is needed to provide a better index of abundance and information on recruitment for stock assessment.</w:t>
      </w:r>
    </w:p>
    <w:p w:rsidR="00F94A8A" w:rsidRPr="002A04FE" w:rsidRDefault="00F94A8A" w:rsidP="00F94A8A">
      <w:pPr>
        <w:pStyle w:val="ListParagraph"/>
        <w:rPr>
          <w:sz w:val="22"/>
          <w:szCs w:val="22"/>
        </w:rPr>
      </w:pPr>
    </w:p>
    <w:p w:rsidR="00D105B3" w:rsidRPr="002A04FE" w:rsidRDefault="0097088C" w:rsidP="00D72867">
      <w:pPr>
        <w:pStyle w:val="ListParagraph"/>
        <w:ind w:left="1080"/>
        <w:rPr>
          <w:i/>
          <w:sz w:val="22"/>
          <w:szCs w:val="22"/>
        </w:rPr>
      </w:pPr>
      <w:r w:rsidRPr="002A04FE">
        <w:rPr>
          <w:i/>
          <w:sz w:val="22"/>
          <w:szCs w:val="22"/>
        </w:rPr>
        <w:t>Response</w:t>
      </w:r>
      <w:r w:rsidR="00D643D4" w:rsidRPr="002A04FE">
        <w:rPr>
          <w:i/>
          <w:sz w:val="22"/>
          <w:szCs w:val="22"/>
        </w:rPr>
        <w:t>: This is a good idea and need</w:t>
      </w:r>
      <w:r w:rsidR="002A04FE">
        <w:rPr>
          <w:i/>
          <w:sz w:val="22"/>
          <w:szCs w:val="22"/>
        </w:rPr>
        <w:t>s</w:t>
      </w:r>
      <w:r w:rsidR="00D643D4" w:rsidRPr="002A04FE">
        <w:rPr>
          <w:i/>
          <w:sz w:val="22"/>
          <w:szCs w:val="22"/>
        </w:rPr>
        <w:t xml:space="preserve"> to be considered by the industry and the agencies.</w:t>
      </w:r>
    </w:p>
    <w:p w:rsidR="00D105B3" w:rsidRPr="00F94A8A" w:rsidRDefault="00D105B3" w:rsidP="00F94A8A">
      <w:pPr>
        <w:pStyle w:val="ListParagraph"/>
        <w:rPr>
          <w:i/>
          <w:sz w:val="22"/>
          <w:szCs w:val="22"/>
        </w:rPr>
      </w:pPr>
    </w:p>
    <w:p w:rsidR="00EF775C" w:rsidRPr="00D105B3" w:rsidRDefault="00EF775C" w:rsidP="00D50F0D">
      <w:pPr>
        <w:rPr>
          <w:sz w:val="22"/>
          <w:szCs w:val="22"/>
        </w:rPr>
      </w:pPr>
    </w:p>
    <w:p w:rsidR="00E81CA5" w:rsidRPr="00EF775C" w:rsidRDefault="00E81CA5" w:rsidP="00D72867">
      <w:pPr>
        <w:pStyle w:val="ListParagraph"/>
        <w:numPr>
          <w:ilvl w:val="0"/>
          <w:numId w:val="2"/>
        </w:numPr>
        <w:spacing w:line="360" w:lineRule="auto"/>
        <w:ind w:left="450" w:hanging="450"/>
        <w:rPr>
          <w:rFonts w:ascii="Arial" w:hAnsi="Arial"/>
          <w:b/>
          <w:i/>
          <w:sz w:val="28"/>
          <w:szCs w:val="24"/>
        </w:rPr>
      </w:pPr>
      <w:r w:rsidRPr="00EF775C">
        <w:rPr>
          <w:rFonts w:ascii="Arial" w:hAnsi="Arial"/>
          <w:b/>
          <w:i/>
          <w:sz w:val="28"/>
          <w:szCs w:val="24"/>
        </w:rPr>
        <w:t>Introduction</w:t>
      </w:r>
    </w:p>
    <w:p w:rsidR="00236406" w:rsidRPr="00D105B3" w:rsidRDefault="00236406" w:rsidP="007C3C7A">
      <w:pPr>
        <w:pStyle w:val="BodyText"/>
        <w:numPr>
          <w:ilvl w:val="0"/>
          <w:numId w:val="3"/>
        </w:numPr>
        <w:spacing w:line="360" w:lineRule="auto"/>
        <w:jc w:val="both"/>
        <w:rPr>
          <w:sz w:val="24"/>
          <w:szCs w:val="24"/>
        </w:rPr>
      </w:pPr>
      <w:r>
        <w:rPr>
          <w:sz w:val="24"/>
          <w:szCs w:val="24"/>
        </w:rPr>
        <w:t xml:space="preserve">Scientific name: </w:t>
      </w:r>
      <w:r w:rsidR="003B5CEC">
        <w:rPr>
          <w:sz w:val="24"/>
          <w:szCs w:val="24"/>
        </w:rPr>
        <w:t>G</w:t>
      </w:r>
      <w:r w:rsidR="003B5CEC" w:rsidRPr="001C6404">
        <w:rPr>
          <w:sz w:val="24"/>
          <w:szCs w:val="24"/>
        </w:rPr>
        <w:t xml:space="preserve">olden </w:t>
      </w:r>
      <w:r w:rsidRPr="00974B7D">
        <w:rPr>
          <w:sz w:val="24"/>
          <w:szCs w:val="24"/>
        </w:rPr>
        <w:t>k</w:t>
      </w:r>
      <w:r w:rsidRPr="00D105B3">
        <w:rPr>
          <w:sz w:val="24"/>
          <w:szCs w:val="24"/>
        </w:rPr>
        <w:t xml:space="preserve">ing crab, </w:t>
      </w:r>
      <w:r w:rsidRPr="00D105B3">
        <w:rPr>
          <w:i/>
          <w:sz w:val="24"/>
          <w:szCs w:val="24"/>
        </w:rPr>
        <w:t>Lithodes aequispinus.</w:t>
      </w:r>
    </w:p>
    <w:p w:rsidR="00236406" w:rsidRDefault="00236406" w:rsidP="007C3C7A">
      <w:pPr>
        <w:pStyle w:val="BodyText"/>
        <w:numPr>
          <w:ilvl w:val="0"/>
          <w:numId w:val="3"/>
        </w:numPr>
        <w:spacing w:line="360" w:lineRule="auto"/>
        <w:jc w:val="both"/>
        <w:rPr>
          <w:sz w:val="24"/>
          <w:szCs w:val="24"/>
        </w:rPr>
      </w:pPr>
      <w:r>
        <w:rPr>
          <w:sz w:val="24"/>
          <w:szCs w:val="24"/>
        </w:rPr>
        <w:t xml:space="preserve">Distribution: </w:t>
      </w:r>
      <w:r w:rsidR="002A04FE">
        <w:rPr>
          <w:sz w:val="24"/>
          <w:szCs w:val="24"/>
        </w:rPr>
        <w:t>In Alaska</w:t>
      </w:r>
      <w:r w:rsidR="00353D58">
        <w:rPr>
          <w:sz w:val="24"/>
          <w:szCs w:val="24"/>
        </w:rPr>
        <w:t xml:space="preserve"> golden king crab </w:t>
      </w:r>
      <w:r>
        <w:rPr>
          <w:sz w:val="24"/>
          <w:szCs w:val="24"/>
        </w:rPr>
        <w:t>are distributed in the Ale</w:t>
      </w:r>
      <w:r w:rsidR="00A37B31">
        <w:rPr>
          <w:sz w:val="24"/>
          <w:szCs w:val="24"/>
        </w:rPr>
        <w:t xml:space="preserve">utian Islands, </w:t>
      </w:r>
      <w:r w:rsidR="002A04FE">
        <w:rPr>
          <w:sz w:val="24"/>
          <w:szCs w:val="24"/>
        </w:rPr>
        <w:t>on the continental slope of the eastern Bering Sea</w:t>
      </w:r>
      <w:r w:rsidR="00CD569F">
        <w:rPr>
          <w:sz w:val="24"/>
          <w:szCs w:val="24"/>
        </w:rPr>
        <w:t xml:space="preserve">, and </w:t>
      </w:r>
      <w:r w:rsidR="002A04FE">
        <w:rPr>
          <w:sz w:val="24"/>
          <w:szCs w:val="24"/>
        </w:rPr>
        <w:t xml:space="preserve">in around the Gulf of Alaska to southeastern Alaska.   </w:t>
      </w:r>
    </w:p>
    <w:p w:rsidR="00F21160" w:rsidRDefault="00236406" w:rsidP="007C3C7A">
      <w:pPr>
        <w:pStyle w:val="BodyText"/>
        <w:numPr>
          <w:ilvl w:val="0"/>
          <w:numId w:val="3"/>
        </w:numPr>
        <w:spacing w:line="360" w:lineRule="auto"/>
        <w:jc w:val="both"/>
        <w:rPr>
          <w:sz w:val="24"/>
          <w:szCs w:val="24"/>
        </w:rPr>
      </w:pPr>
      <w:r w:rsidRPr="00F21160">
        <w:rPr>
          <w:sz w:val="24"/>
          <w:szCs w:val="24"/>
        </w:rPr>
        <w:t>Evidence of stock structure: There is no direct evidence of separate stock structure</w:t>
      </w:r>
      <w:r w:rsidR="00F21160" w:rsidRPr="00F21160">
        <w:rPr>
          <w:sz w:val="24"/>
          <w:szCs w:val="24"/>
        </w:rPr>
        <w:t xml:space="preserve"> in the Aleutian Islands</w:t>
      </w:r>
      <w:r w:rsidR="00F21160">
        <w:rPr>
          <w:sz w:val="24"/>
          <w:szCs w:val="24"/>
        </w:rPr>
        <w:t>.</w:t>
      </w:r>
    </w:p>
    <w:p w:rsidR="00236406" w:rsidRPr="00F21160" w:rsidRDefault="00236406" w:rsidP="007C3C7A">
      <w:pPr>
        <w:pStyle w:val="BodyText"/>
        <w:numPr>
          <w:ilvl w:val="0"/>
          <w:numId w:val="3"/>
        </w:numPr>
        <w:spacing w:line="360" w:lineRule="auto"/>
        <w:jc w:val="both"/>
        <w:rPr>
          <w:sz w:val="24"/>
          <w:szCs w:val="24"/>
        </w:rPr>
      </w:pPr>
      <w:r w:rsidRPr="00F21160">
        <w:rPr>
          <w:sz w:val="24"/>
          <w:szCs w:val="24"/>
        </w:rPr>
        <w:t xml:space="preserve">Life history characteristics relevant to management: </w:t>
      </w:r>
      <w:r w:rsidR="00944F43">
        <w:rPr>
          <w:sz w:val="24"/>
          <w:szCs w:val="24"/>
        </w:rPr>
        <w:t>The</w:t>
      </w:r>
      <w:r w:rsidR="0041303B">
        <w:rPr>
          <w:sz w:val="24"/>
          <w:szCs w:val="24"/>
        </w:rPr>
        <w:t>re is a</w:t>
      </w:r>
      <w:r w:rsidR="00944F43">
        <w:rPr>
          <w:sz w:val="24"/>
          <w:szCs w:val="24"/>
        </w:rPr>
        <w:t xml:space="preserve"> paucity of information on </w:t>
      </w:r>
      <w:r w:rsidR="00944F43" w:rsidRPr="00F21160">
        <w:rPr>
          <w:sz w:val="24"/>
          <w:szCs w:val="24"/>
        </w:rPr>
        <w:t xml:space="preserve">golden king crab </w:t>
      </w:r>
      <w:r w:rsidR="00944F43">
        <w:rPr>
          <w:sz w:val="24"/>
          <w:szCs w:val="24"/>
        </w:rPr>
        <w:t>li</w:t>
      </w:r>
      <w:r w:rsidR="00C81741" w:rsidRPr="00F21160">
        <w:rPr>
          <w:sz w:val="24"/>
          <w:szCs w:val="24"/>
        </w:rPr>
        <w:t>fe history characteristics</w:t>
      </w:r>
      <w:r w:rsidR="0041303B">
        <w:rPr>
          <w:sz w:val="24"/>
          <w:szCs w:val="24"/>
        </w:rPr>
        <w:t xml:space="preserve"> due in part to its deep distribution </w:t>
      </w:r>
      <w:r w:rsidR="00C8755C">
        <w:rPr>
          <w:sz w:val="24"/>
          <w:szCs w:val="24"/>
        </w:rPr>
        <w:t xml:space="preserve">(depth distribution from </w:t>
      </w:r>
      <w:r w:rsidR="00F306EA">
        <w:rPr>
          <w:sz w:val="24"/>
          <w:szCs w:val="24"/>
        </w:rPr>
        <w:t>100</w:t>
      </w:r>
      <w:r w:rsidR="00C8755C">
        <w:rPr>
          <w:sz w:val="24"/>
          <w:szCs w:val="24"/>
        </w:rPr>
        <w:t xml:space="preserve"> to </w:t>
      </w:r>
      <w:r w:rsidR="00F306EA">
        <w:rPr>
          <w:sz w:val="24"/>
          <w:szCs w:val="24"/>
        </w:rPr>
        <w:t>5</w:t>
      </w:r>
      <w:r w:rsidR="00C8755C">
        <w:rPr>
          <w:sz w:val="24"/>
          <w:szCs w:val="24"/>
        </w:rPr>
        <w:t>00 fa</w:t>
      </w:r>
      <w:r w:rsidR="0087773A">
        <w:rPr>
          <w:sz w:val="24"/>
          <w:szCs w:val="24"/>
        </w:rPr>
        <w:t xml:space="preserve"> (Somerton and Otto 1986)</w:t>
      </w:r>
      <w:r w:rsidR="00C8755C">
        <w:rPr>
          <w:sz w:val="24"/>
          <w:szCs w:val="24"/>
        </w:rPr>
        <w:t>)</w:t>
      </w:r>
      <w:r w:rsidR="0041303B">
        <w:rPr>
          <w:sz w:val="24"/>
          <w:szCs w:val="24"/>
        </w:rPr>
        <w:t>.</w:t>
      </w:r>
      <w:r w:rsidR="00BF6EF9">
        <w:rPr>
          <w:sz w:val="24"/>
          <w:szCs w:val="24"/>
        </w:rPr>
        <w:t xml:space="preserve"> </w:t>
      </w:r>
      <w:r w:rsidR="0041303B">
        <w:rPr>
          <w:sz w:val="24"/>
          <w:szCs w:val="24"/>
        </w:rPr>
        <w:t>This is compounded by the asynchronous nature of life history events for this species</w:t>
      </w:r>
      <w:r w:rsidR="00BF6EF9">
        <w:rPr>
          <w:sz w:val="24"/>
          <w:szCs w:val="24"/>
        </w:rPr>
        <w:t xml:space="preserve">. </w:t>
      </w:r>
      <w:r w:rsidR="00C8755C">
        <w:rPr>
          <w:sz w:val="24"/>
          <w:szCs w:val="24"/>
        </w:rPr>
        <w:t xml:space="preserve">The reproductive cycle is thought to be approximately </w:t>
      </w:r>
      <w:r w:rsidR="0041303B">
        <w:rPr>
          <w:sz w:val="24"/>
          <w:szCs w:val="24"/>
        </w:rPr>
        <w:t xml:space="preserve">24 </w:t>
      </w:r>
      <w:r w:rsidR="003B5CEC">
        <w:rPr>
          <w:sz w:val="24"/>
          <w:szCs w:val="24"/>
        </w:rPr>
        <w:t>month</w:t>
      </w:r>
      <w:r w:rsidR="0041303B">
        <w:rPr>
          <w:sz w:val="24"/>
          <w:szCs w:val="24"/>
        </w:rPr>
        <w:t>s</w:t>
      </w:r>
      <w:r w:rsidR="00C8755C">
        <w:rPr>
          <w:sz w:val="24"/>
          <w:szCs w:val="24"/>
        </w:rPr>
        <w:t xml:space="preserve"> in length (</w:t>
      </w:r>
      <w:r w:rsidR="003B5CEC">
        <w:rPr>
          <w:sz w:val="24"/>
          <w:szCs w:val="24"/>
        </w:rPr>
        <w:t>Otto and Cummiskey 1985</w:t>
      </w:r>
      <w:r w:rsidR="00C8755C">
        <w:rPr>
          <w:sz w:val="24"/>
          <w:szCs w:val="24"/>
        </w:rPr>
        <w:t>) and a</w:t>
      </w:r>
      <w:r w:rsidR="00BF6EF9">
        <w:rPr>
          <w:sz w:val="24"/>
          <w:szCs w:val="24"/>
        </w:rPr>
        <w:t xml:space="preserve">t any one time, ovigerous females can be found carrying egg clutches in highly disparate developmental states. Females carry large, yolk-rich eggs which hatch into </w:t>
      </w:r>
      <w:r w:rsidR="00C81741" w:rsidRPr="00F21160">
        <w:rPr>
          <w:sz w:val="24"/>
          <w:szCs w:val="24"/>
        </w:rPr>
        <w:t>lecithotrophic</w:t>
      </w:r>
      <w:r w:rsidR="002A04FE">
        <w:rPr>
          <w:sz w:val="24"/>
          <w:szCs w:val="24"/>
        </w:rPr>
        <w:t xml:space="preserve"> (non-feeding) </w:t>
      </w:r>
      <w:r w:rsidR="00BF6EF9">
        <w:rPr>
          <w:sz w:val="24"/>
          <w:szCs w:val="24"/>
        </w:rPr>
        <w:t>larvae</w:t>
      </w:r>
      <w:r w:rsidR="00BF6EF9" w:rsidRPr="00F21160">
        <w:rPr>
          <w:sz w:val="24"/>
          <w:szCs w:val="24"/>
        </w:rPr>
        <w:t xml:space="preserve"> </w:t>
      </w:r>
      <w:r w:rsidR="00BF6EF9">
        <w:rPr>
          <w:sz w:val="24"/>
          <w:szCs w:val="24"/>
        </w:rPr>
        <w:t xml:space="preserve">that are </w:t>
      </w:r>
      <w:r w:rsidR="00CD569F">
        <w:rPr>
          <w:sz w:val="24"/>
          <w:szCs w:val="24"/>
        </w:rPr>
        <w:t>negatively phototactic (Adams and Paul 1999)</w:t>
      </w:r>
      <w:r w:rsidR="00BF6EF9">
        <w:rPr>
          <w:sz w:val="24"/>
          <w:szCs w:val="24"/>
        </w:rPr>
        <w:t xml:space="preserve">. </w:t>
      </w:r>
      <w:r w:rsidR="00944F43">
        <w:rPr>
          <w:sz w:val="24"/>
          <w:szCs w:val="24"/>
        </w:rPr>
        <w:t xml:space="preserve">Molting and mating are also asynchronous and </w:t>
      </w:r>
      <w:r w:rsidR="00C81741" w:rsidRPr="00F21160">
        <w:rPr>
          <w:sz w:val="24"/>
          <w:szCs w:val="24"/>
        </w:rPr>
        <w:t>pr</w:t>
      </w:r>
      <w:r w:rsidR="00B055A8">
        <w:rPr>
          <w:sz w:val="24"/>
          <w:szCs w:val="24"/>
        </w:rPr>
        <w:t>otracted (Shirley and Zhou 1997;</w:t>
      </w:r>
      <w:r w:rsidR="00C81741" w:rsidRPr="00F21160">
        <w:rPr>
          <w:sz w:val="24"/>
          <w:szCs w:val="24"/>
        </w:rPr>
        <w:t xml:space="preserve"> </w:t>
      </w:r>
      <w:r w:rsidR="00B055A8">
        <w:rPr>
          <w:sz w:val="24"/>
          <w:szCs w:val="24"/>
        </w:rPr>
        <w:t>Otto and Cummiskey 1985)</w:t>
      </w:r>
      <w:r w:rsidR="002A04FE">
        <w:rPr>
          <w:sz w:val="24"/>
          <w:szCs w:val="24"/>
        </w:rPr>
        <w:t xml:space="preserve"> with some indications of seasonality (Hiramoto 1985)</w:t>
      </w:r>
      <w:r w:rsidR="00B055A8">
        <w:rPr>
          <w:sz w:val="24"/>
          <w:szCs w:val="24"/>
        </w:rPr>
        <w:t xml:space="preserve">. </w:t>
      </w:r>
      <w:r w:rsidR="00944F43">
        <w:rPr>
          <w:sz w:val="24"/>
          <w:szCs w:val="24"/>
        </w:rPr>
        <w:t>Molt increment</w:t>
      </w:r>
      <w:r w:rsidR="0087773A">
        <w:rPr>
          <w:sz w:val="24"/>
          <w:szCs w:val="24"/>
        </w:rPr>
        <w:t xml:space="preserve"> has been described for Southeast Alaska, where it</w:t>
      </w:r>
      <w:r w:rsidR="00944F43">
        <w:rPr>
          <w:sz w:val="24"/>
          <w:szCs w:val="24"/>
        </w:rPr>
        <w:t xml:space="preserve"> is </w:t>
      </w:r>
      <w:r w:rsidR="0087773A">
        <w:rPr>
          <w:sz w:val="24"/>
          <w:szCs w:val="24"/>
        </w:rPr>
        <w:t>16.5</w:t>
      </w:r>
      <w:r w:rsidR="00944F43">
        <w:rPr>
          <w:sz w:val="24"/>
          <w:szCs w:val="24"/>
        </w:rPr>
        <w:t xml:space="preserve"> mm CW per molt</w:t>
      </w:r>
      <w:r w:rsidR="0087773A">
        <w:rPr>
          <w:sz w:val="24"/>
          <w:szCs w:val="24"/>
        </w:rPr>
        <w:t xml:space="preserve"> (Koeneman </w:t>
      </w:r>
      <w:r w:rsidR="008C2CE3">
        <w:rPr>
          <w:sz w:val="24"/>
          <w:szCs w:val="24"/>
        </w:rPr>
        <w:lastRenderedPageBreak/>
        <w:t xml:space="preserve">and Buchanan </w:t>
      </w:r>
      <w:r w:rsidR="0087773A">
        <w:rPr>
          <w:sz w:val="24"/>
          <w:szCs w:val="24"/>
        </w:rPr>
        <w:t xml:space="preserve">1985), </w:t>
      </w:r>
      <w:r w:rsidR="00944F43">
        <w:rPr>
          <w:sz w:val="24"/>
          <w:szCs w:val="24"/>
        </w:rPr>
        <w:t xml:space="preserve">and </w:t>
      </w:r>
      <w:r w:rsidR="00BF6EF9">
        <w:rPr>
          <w:sz w:val="24"/>
          <w:szCs w:val="24"/>
        </w:rPr>
        <w:t>males</w:t>
      </w:r>
      <w:r w:rsidR="00944F43">
        <w:rPr>
          <w:sz w:val="24"/>
          <w:szCs w:val="24"/>
        </w:rPr>
        <w:t xml:space="preserve"> begin to skip molt </w:t>
      </w:r>
      <w:r w:rsidR="00C8755C">
        <w:rPr>
          <w:sz w:val="24"/>
          <w:szCs w:val="24"/>
        </w:rPr>
        <w:t>when sexual maturity</w:t>
      </w:r>
      <w:r w:rsidR="00944F43">
        <w:rPr>
          <w:sz w:val="24"/>
          <w:szCs w:val="24"/>
        </w:rPr>
        <w:t xml:space="preserve"> is reached</w:t>
      </w:r>
      <w:r w:rsidR="0087773A">
        <w:rPr>
          <w:sz w:val="24"/>
          <w:szCs w:val="24"/>
        </w:rPr>
        <w:t>.</w:t>
      </w:r>
      <w:r w:rsidR="00944F43">
        <w:rPr>
          <w:sz w:val="24"/>
          <w:szCs w:val="24"/>
        </w:rPr>
        <w:t xml:space="preserve"> </w:t>
      </w:r>
      <w:r w:rsidR="00C8755C">
        <w:rPr>
          <w:sz w:val="24"/>
          <w:szCs w:val="24"/>
        </w:rPr>
        <w:t>Thus</w:t>
      </w:r>
      <w:r w:rsidR="0087773A">
        <w:rPr>
          <w:sz w:val="24"/>
          <w:szCs w:val="24"/>
        </w:rPr>
        <w:t>,</w:t>
      </w:r>
      <w:r w:rsidR="00944F43">
        <w:rPr>
          <w:sz w:val="24"/>
          <w:szCs w:val="24"/>
        </w:rPr>
        <w:t xml:space="preserve"> </w:t>
      </w:r>
      <w:r w:rsidR="00C8755C">
        <w:rPr>
          <w:sz w:val="24"/>
          <w:szCs w:val="24"/>
        </w:rPr>
        <w:t>the</w:t>
      </w:r>
      <w:r w:rsidR="00944F43">
        <w:rPr>
          <w:sz w:val="24"/>
          <w:szCs w:val="24"/>
        </w:rPr>
        <w:t xml:space="preserve"> i</w:t>
      </w:r>
      <w:r w:rsidR="00B055A8">
        <w:rPr>
          <w:sz w:val="24"/>
          <w:szCs w:val="24"/>
        </w:rPr>
        <w:t>nter-</w:t>
      </w:r>
      <w:r w:rsidR="00C81741" w:rsidRPr="00F21160">
        <w:rPr>
          <w:sz w:val="24"/>
          <w:szCs w:val="24"/>
        </w:rPr>
        <w:t xml:space="preserve">molt </w:t>
      </w:r>
      <w:r w:rsidR="00B055A8">
        <w:rPr>
          <w:sz w:val="24"/>
          <w:szCs w:val="24"/>
        </w:rPr>
        <w:t>period is protracted</w:t>
      </w:r>
      <w:r w:rsidR="00C8755C">
        <w:rPr>
          <w:sz w:val="24"/>
          <w:szCs w:val="24"/>
        </w:rPr>
        <w:t>, which</w:t>
      </w:r>
      <w:r w:rsidR="00B055A8">
        <w:rPr>
          <w:sz w:val="24"/>
          <w:szCs w:val="24"/>
        </w:rPr>
        <w:t xml:space="preserve"> creat</w:t>
      </w:r>
      <w:r w:rsidR="00944F43">
        <w:rPr>
          <w:sz w:val="24"/>
          <w:szCs w:val="24"/>
        </w:rPr>
        <w:t>es</w:t>
      </w:r>
      <w:r w:rsidR="00C81741" w:rsidRPr="00F21160">
        <w:rPr>
          <w:sz w:val="24"/>
          <w:szCs w:val="24"/>
        </w:rPr>
        <w:t xml:space="preserve"> difficult</w:t>
      </w:r>
      <w:r w:rsidR="00944F43">
        <w:rPr>
          <w:sz w:val="24"/>
          <w:szCs w:val="24"/>
        </w:rPr>
        <w:t>y</w:t>
      </w:r>
      <w:r w:rsidR="00C81741" w:rsidRPr="00F21160">
        <w:rPr>
          <w:sz w:val="24"/>
          <w:szCs w:val="24"/>
        </w:rPr>
        <w:t xml:space="preserve"> in determining annual molt probability (Watson et al., 2002). </w:t>
      </w:r>
      <w:r w:rsidR="002F4419">
        <w:rPr>
          <w:sz w:val="24"/>
          <w:szCs w:val="24"/>
        </w:rPr>
        <w:t xml:space="preserve">Male </w:t>
      </w:r>
      <w:r w:rsidR="002A04FE">
        <w:rPr>
          <w:sz w:val="24"/>
          <w:szCs w:val="24"/>
        </w:rPr>
        <w:t>s</w:t>
      </w:r>
      <w:r w:rsidR="00BF6EF9">
        <w:rPr>
          <w:sz w:val="24"/>
          <w:szCs w:val="24"/>
        </w:rPr>
        <w:t>ize</w:t>
      </w:r>
      <w:r w:rsidR="002F4419">
        <w:rPr>
          <w:sz w:val="24"/>
          <w:szCs w:val="24"/>
        </w:rPr>
        <w:t>-</w:t>
      </w:r>
      <w:r w:rsidR="00BF6EF9">
        <w:rPr>
          <w:sz w:val="24"/>
          <w:szCs w:val="24"/>
        </w:rPr>
        <w:t>at</w:t>
      </w:r>
      <w:r w:rsidR="002F4419">
        <w:rPr>
          <w:sz w:val="24"/>
          <w:szCs w:val="24"/>
        </w:rPr>
        <w:t>-</w:t>
      </w:r>
      <w:r w:rsidR="00BF6EF9">
        <w:rPr>
          <w:sz w:val="24"/>
          <w:szCs w:val="24"/>
        </w:rPr>
        <w:t xml:space="preserve">maturity </w:t>
      </w:r>
      <w:r w:rsidR="002F4419">
        <w:rPr>
          <w:sz w:val="24"/>
          <w:szCs w:val="24"/>
        </w:rPr>
        <w:t xml:space="preserve">varies among stocks (reviewed by Webb 2014) and </w:t>
      </w:r>
      <w:r w:rsidR="00BF6EF9">
        <w:rPr>
          <w:sz w:val="24"/>
          <w:szCs w:val="24"/>
        </w:rPr>
        <w:t xml:space="preserve">decline with </w:t>
      </w:r>
      <w:r w:rsidR="00C8755C">
        <w:rPr>
          <w:sz w:val="24"/>
          <w:szCs w:val="24"/>
        </w:rPr>
        <w:t xml:space="preserve">increasing </w:t>
      </w:r>
      <w:r w:rsidR="00BF6EF9">
        <w:rPr>
          <w:sz w:val="24"/>
          <w:szCs w:val="24"/>
        </w:rPr>
        <w:t>latitude</w:t>
      </w:r>
      <w:r w:rsidR="00C8755C">
        <w:rPr>
          <w:sz w:val="24"/>
          <w:szCs w:val="24"/>
        </w:rPr>
        <w:t xml:space="preserve"> from about </w:t>
      </w:r>
      <w:r w:rsidR="008A2CCD">
        <w:rPr>
          <w:sz w:val="24"/>
          <w:szCs w:val="24"/>
        </w:rPr>
        <w:t>130 mm CL</w:t>
      </w:r>
      <w:r w:rsidR="00C8755C">
        <w:rPr>
          <w:sz w:val="24"/>
          <w:szCs w:val="24"/>
        </w:rPr>
        <w:t xml:space="preserve"> in the Aleutian Islands</w:t>
      </w:r>
      <w:r w:rsidR="008A2CCD">
        <w:rPr>
          <w:sz w:val="24"/>
          <w:szCs w:val="24"/>
        </w:rPr>
        <w:t xml:space="preserve"> to 90 mm CL in St. Matthew Is. district (</w:t>
      </w:r>
      <w:r w:rsidR="002F4419">
        <w:rPr>
          <w:sz w:val="24"/>
          <w:szCs w:val="24"/>
        </w:rPr>
        <w:t>Somerton and Otto 198</w:t>
      </w:r>
      <w:r w:rsidR="00970649">
        <w:rPr>
          <w:sz w:val="24"/>
          <w:szCs w:val="24"/>
        </w:rPr>
        <w:t>6</w:t>
      </w:r>
      <w:r w:rsidR="008A2CCD">
        <w:rPr>
          <w:sz w:val="24"/>
          <w:szCs w:val="24"/>
        </w:rPr>
        <w:t>)</w:t>
      </w:r>
      <w:r w:rsidR="00C8755C">
        <w:rPr>
          <w:sz w:val="24"/>
          <w:szCs w:val="24"/>
        </w:rPr>
        <w:t xml:space="preserve">. </w:t>
      </w:r>
      <w:r w:rsidR="00974B7D">
        <w:rPr>
          <w:sz w:val="24"/>
          <w:szCs w:val="24"/>
        </w:rPr>
        <w:t xml:space="preserve">Along with </w:t>
      </w:r>
      <w:r w:rsidR="00944F43">
        <w:rPr>
          <w:sz w:val="24"/>
          <w:szCs w:val="24"/>
        </w:rPr>
        <w:t xml:space="preserve">a </w:t>
      </w:r>
      <w:r w:rsidR="00C81741" w:rsidRPr="00F21160">
        <w:rPr>
          <w:sz w:val="24"/>
          <w:szCs w:val="24"/>
        </w:rPr>
        <w:t>lack of annual survey data</w:t>
      </w:r>
      <w:r w:rsidR="00974B7D">
        <w:rPr>
          <w:sz w:val="24"/>
          <w:szCs w:val="24"/>
        </w:rPr>
        <w:t>, limited</w:t>
      </w:r>
      <w:r w:rsidR="002A04FE">
        <w:rPr>
          <w:sz w:val="24"/>
          <w:szCs w:val="24"/>
        </w:rPr>
        <w:t xml:space="preserve"> stock-specific life history</w:t>
      </w:r>
      <w:r w:rsidR="00974B7D">
        <w:rPr>
          <w:sz w:val="24"/>
          <w:szCs w:val="24"/>
        </w:rPr>
        <w:t xml:space="preserve"> stock information</w:t>
      </w:r>
      <w:r w:rsidR="00974B7D" w:rsidRPr="00F21160">
        <w:rPr>
          <w:sz w:val="24"/>
          <w:szCs w:val="24"/>
        </w:rPr>
        <w:t xml:space="preserve"> </w:t>
      </w:r>
      <w:r w:rsidR="00C81741" w:rsidRPr="00F21160">
        <w:rPr>
          <w:sz w:val="24"/>
          <w:szCs w:val="24"/>
        </w:rPr>
        <w:t>prevent</w:t>
      </w:r>
      <w:r w:rsidR="00974B7D">
        <w:rPr>
          <w:sz w:val="24"/>
          <w:szCs w:val="24"/>
        </w:rPr>
        <w:t>s</w:t>
      </w:r>
      <w:r w:rsidR="00C81741" w:rsidRPr="00F21160">
        <w:rPr>
          <w:sz w:val="24"/>
          <w:szCs w:val="24"/>
        </w:rPr>
        <w:t xml:space="preserve"> develop</w:t>
      </w:r>
      <w:r w:rsidR="00974B7D">
        <w:rPr>
          <w:sz w:val="24"/>
          <w:szCs w:val="24"/>
        </w:rPr>
        <w:t>ment of</w:t>
      </w:r>
      <w:r w:rsidR="00C81741" w:rsidRPr="00F21160">
        <w:rPr>
          <w:sz w:val="24"/>
          <w:szCs w:val="24"/>
        </w:rPr>
        <w:t xml:space="preserve"> the standard length-based assessment model.  </w:t>
      </w:r>
    </w:p>
    <w:p w:rsidR="00F21160" w:rsidRPr="00271266" w:rsidRDefault="00F21160" w:rsidP="008D50FD">
      <w:pPr>
        <w:pStyle w:val="BodyText"/>
        <w:numPr>
          <w:ilvl w:val="0"/>
          <w:numId w:val="3"/>
        </w:numPr>
        <w:spacing w:line="360" w:lineRule="auto"/>
        <w:jc w:val="both"/>
        <w:rPr>
          <w:sz w:val="24"/>
          <w:szCs w:val="24"/>
        </w:rPr>
      </w:pPr>
      <w:r w:rsidRPr="00F21160">
        <w:rPr>
          <w:sz w:val="24"/>
          <w:szCs w:val="24"/>
        </w:rPr>
        <w:t xml:space="preserve">Brief summary of management history: </w:t>
      </w:r>
      <w:r>
        <w:rPr>
          <w:sz w:val="24"/>
          <w:szCs w:val="24"/>
        </w:rPr>
        <w:t>Since 1996, t</w:t>
      </w:r>
      <w:r w:rsidRPr="001F083A">
        <w:rPr>
          <w:sz w:val="24"/>
          <w:szCs w:val="24"/>
        </w:rPr>
        <w:t xml:space="preserve">he Alaska Department of Fish and Game (ADF&amp;G) </w:t>
      </w:r>
      <w:r>
        <w:rPr>
          <w:sz w:val="24"/>
          <w:szCs w:val="24"/>
        </w:rPr>
        <w:t>has divided</w:t>
      </w:r>
      <w:r w:rsidRPr="001F083A">
        <w:rPr>
          <w:sz w:val="24"/>
          <w:szCs w:val="24"/>
        </w:rPr>
        <w:t xml:space="preserve"> the Aleutian Islands golden king crab fishery into eastern and western districts at </w:t>
      </w:r>
      <w:r w:rsidRPr="00974B7D">
        <w:rPr>
          <w:sz w:val="24"/>
          <w:szCs w:val="24"/>
        </w:rPr>
        <w:t>174</w:t>
      </w:r>
      <w:r w:rsidR="00974B7D" w:rsidRPr="00974B7D">
        <w:rPr>
          <w:sz w:val="24"/>
          <w:szCs w:val="24"/>
        </w:rPr>
        <w:t xml:space="preserve"> </w:t>
      </w:r>
      <w:r w:rsidRPr="006F0B75">
        <w:rPr>
          <w:sz w:val="24"/>
          <w:szCs w:val="24"/>
        </w:rPr>
        <w:sym w:font="Symbol" w:char="F0B0"/>
      </w:r>
      <w:r w:rsidR="00974B7D" w:rsidRPr="00974B7D">
        <w:rPr>
          <w:sz w:val="24"/>
          <w:szCs w:val="24"/>
        </w:rPr>
        <w:t>W</w:t>
      </w:r>
      <w:r w:rsidR="00974B7D" w:rsidRPr="001F083A">
        <w:rPr>
          <w:sz w:val="24"/>
          <w:szCs w:val="24"/>
        </w:rPr>
        <w:t xml:space="preserve"> longitude</w:t>
      </w:r>
      <w:r w:rsidRPr="001F083A">
        <w:rPr>
          <w:sz w:val="24"/>
          <w:szCs w:val="24"/>
        </w:rPr>
        <w:t xml:space="preserve"> (ADF&amp;G 2002)</w:t>
      </w:r>
      <w:r w:rsidR="00974B7D" w:rsidRPr="001F083A">
        <w:rPr>
          <w:sz w:val="24"/>
          <w:szCs w:val="24"/>
        </w:rPr>
        <w:t xml:space="preserve">. </w:t>
      </w:r>
      <w:r w:rsidRPr="00974B7D">
        <w:rPr>
          <w:sz w:val="24"/>
          <w:szCs w:val="24"/>
        </w:rPr>
        <w:t>Hereafter</w:t>
      </w:r>
      <w:r w:rsidR="00B055A8" w:rsidRPr="00974B7D">
        <w:rPr>
          <w:sz w:val="24"/>
          <w:szCs w:val="24"/>
        </w:rPr>
        <w:t>,</w:t>
      </w:r>
      <w:r w:rsidRPr="00974B7D">
        <w:rPr>
          <w:sz w:val="24"/>
          <w:szCs w:val="24"/>
        </w:rPr>
        <w:t xml:space="preserve"> the </w:t>
      </w:r>
      <w:r w:rsidRPr="006F0B75">
        <w:rPr>
          <w:sz w:val="24"/>
          <w:szCs w:val="24"/>
        </w:rPr>
        <w:t xml:space="preserve">east of </w:t>
      </w:r>
      <w:r w:rsidR="00974B7D" w:rsidRPr="00974B7D">
        <w:rPr>
          <w:sz w:val="24"/>
          <w:szCs w:val="24"/>
        </w:rPr>
        <w:t xml:space="preserve">174 </w:t>
      </w:r>
      <w:r w:rsidR="00974B7D" w:rsidRPr="00974B7D">
        <w:rPr>
          <w:sz w:val="24"/>
          <w:szCs w:val="24"/>
        </w:rPr>
        <w:sym w:font="Symbol" w:char="F0B0"/>
      </w:r>
      <w:r w:rsidR="00974B7D" w:rsidRPr="00974B7D">
        <w:rPr>
          <w:sz w:val="24"/>
          <w:szCs w:val="24"/>
        </w:rPr>
        <w:t xml:space="preserve">W </w:t>
      </w:r>
      <w:r w:rsidRPr="00974B7D">
        <w:rPr>
          <w:sz w:val="24"/>
          <w:szCs w:val="24"/>
        </w:rPr>
        <w:t>longitude</w:t>
      </w:r>
      <w:r>
        <w:rPr>
          <w:sz w:val="24"/>
          <w:szCs w:val="24"/>
        </w:rPr>
        <w:t xml:space="preserve"> stock segment is referred to as </w:t>
      </w:r>
      <w:r w:rsidR="00263E2D">
        <w:rPr>
          <w:sz w:val="24"/>
          <w:szCs w:val="24"/>
        </w:rPr>
        <w:t>EAG</w:t>
      </w:r>
      <w:r>
        <w:rPr>
          <w:sz w:val="24"/>
          <w:szCs w:val="24"/>
        </w:rPr>
        <w:t xml:space="preserve"> and </w:t>
      </w:r>
      <w:r w:rsidRPr="00974B7D">
        <w:rPr>
          <w:sz w:val="24"/>
          <w:szCs w:val="24"/>
        </w:rPr>
        <w:t xml:space="preserve">the </w:t>
      </w:r>
      <w:r w:rsidRPr="006F0B75">
        <w:rPr>
          <w:sz w:val="24"/>
          <w:szCs w:val="24"/>
        </w:rPr>
        <w:t xml:space="preserve">west </w:t>
      </w:r>
      <w:r w:rsidR="0099342B" w:rsidRPr="0099342B">
        <w:rPr>
          <w:sz w:val="24"/>
          <w:szCs w:val="24"/>
        </w:rPr>
        <w:t xml:space="preserve">of </w:t>
      </w:r>
      <w:r w:rsidR="0099342B" w:rsidRPr="00974B7D">
        <w:rPr>
          <w:sz w:val="24"/>
          <w:szCs w:val="24"/>
        </w:rPr>
        <w:t>174</w:t>
      </w:r>
      <w:r w:rsidR="00974B7D" w:rsidRPr="00974B7D">
        <w:rPr>
          <w:sz w:val="24"/>
          <w:szCs w:val="24"/>
        </w:rPr>
        <w:t xml:space="preserve"> </w:t>
      </w:r>
      <w:r w:rsidR="00974B7D" w:rsidRPr="00974B7D">
        <w:rPr>
          <w:sz w:val="24"/>
          <w:szCs w:val="24"/>
        </w:rPr>
        <w:sym w:font="Symbol" w:char="F0B0"/>
      </w:r>
      <w:r w:rsidR="00974B7D" w:rsidRPr="00974B7D">
        <w:rPr>
          <w:sz w:val="24"/>
          <w:szCs w:val="24"/>
        </w:rPr>
        <w:t xml:space="preserve">W </w:t>
      </w:r>
      <w:r w:rsidRPr="00974B7D">
        <w:rPr>
          <w:sz w:val="24"/>
          <w:szCs w:val="24"/>
        </w:rPr>
        <w:t>longitude</w:t>
      </w:r>
      <w:r>
        <w:rPr>
          <w:sz w:val="24"/>
          <w:szCs w:val="24"/>
        </w:rPr>
        <w:t xml:space="preserve"> stock segment is referred to as </w:t>
      </w:r>
      <w:r w:rsidR="005871DF">
        <w:rPr>
          <w:sz w:val="24"/>
          <w:szCs w:val="24"/>
        </w:rPr>
        <w:t>WAG</w:t>
      </w:r>
      <w:r>
        <w:rPr>
          <w:sz w:val="24"/>
          <w:szCs w:val="24"/>
        </w:rPr>
        <w:t xml:space="preserve">. </w:t>
      </w:r>
      <w:r w:rsidRPr="001F083A">
        <w:rPr>
          <w:sz w:val="24"/>
          <w:szCs w:val="24"/>
        </w:rPr>
        <w:t xml:space="preserve">The stocks in the two areas are managed with a constant annual guideline harvest </w:t>
      </w:r>
      <w:r w:rsidRPr="0099342B">
        <w:rPr>
          <w:sz w:val="24"/>
          <w:szCs w:val="24"/>
        </w:rPr>
        <w:t xml:space="preserve">level or total allowable catch (3.0 million pounds for </w:t>
      </w:r>
      <w:r w:rsidR="00263E2D" w:rsidRPr="0099342B">
        <w:rPr>
          <w:sz w:val="24"/>
          <w:szCs w:val="24"/>
        </w:rPr>
        <w:t>EAG</w:t>
      </w:r>
      <w:r w:rsidRPr="0099342B">
        <w:rPr>
          <w:sz w:val="24"/>
          <w:szCs w:val="24"/>
        </w:rPr>
        <w:t xml:space="preserve"> and 2.7 million pounds for</w:t>
      </w:r>
      <w:r w:rsidRPr="006F0B75">
        <w:rPr>
          <w:sz w:val="24"/>
          <w:szCs w:val="24"/>
        </w:rPr>
        <w:t xml:space="preserve"> </w:t>
      </w:r>
      <w:r w:rsidR="005871DF" w:rsidRPr="006F0B75">
        <w:rPr>
          <w:sz w:val="24"/>
          <w:szCs w:val="24"/>
        </w:rPr>
        <w:t>WAG</w:t>
      </w:r>
      <w:r w:rsidRPr="0099342B">
        <w:rPr>
          <w:sz w:val="24"/>
          <w:szCs w:val="24"/>
        </w:rPr>
        <w:t xml:space="preserve">). In 2008, however, the total allowable catch was increased </w:t>
      </w:r>
      <w:r w:rsidR="0099342B">
        <w:rPr>
          <w:sz w:val="24"/>
          <w:szCs w:val="24"/>
        </w:rPr>
        <w:t xml:space="preserve">by </w:t>
      </w:r>
      <w:r w:rsidR="00756AD2">
        <w:rPr>
          <w:sz w:val="24"/>
          <w:szCs w:val="24"/>
        </w:rPr>
        <w:t xml:space="preserve">the </w:t>
      </w:r>
      <w:r w:rsidR="0099342B">
        <w:rPr>
          <w:sz w:val="24"/>
          <w:szCs w:val="24"/>
        </w:rPr>
        <w:t xml:space="preserve">BOF decision </w:t>
      </w:r>
      <w:r w:rsidRPr="0099342B">
        <w:rPr>
          <w:sz w:val="24"/>
          <w:szCs w:val="24"/>
        </w:rPr>
        <w:t xml:space="preserve">to 3.15 and 2.83 million pounds for </w:t>
      </w:r>
      <w:r w:rsidR="00263E2D" w:rsidRPr="0099342B">
        <w:rPr>
          <w:sz w:val="24"/>
          <w:szCs w:val="24"/>
        </w:rPr>
        <w:t>EAG</w:t>
      </w:r>
      <w:r w:rsidRPr="0099342B">
        <w:rPr>
          <w:sz w:val="24"/>
          <w:szCs w:val="24"/>
        </w:rPr>
        <w:t xml:space="preserve"> and </w:t>
      </w:r>
      <w:r w:rsidR="005871DF" w:rsidRPr="0099342B">
        <w:rPr>
          <w:sz w:val="24"/>
          <w:szCs w:val="24"/>
        </w:rPr>
        <w:t>WAG</w:t>
      </w:r>
      <w:r w:rsidRPr="0099342B">
        <w:rPr>
          <w:sz w:val="24"/>
          <w:szCs w:val="24"/>
        </w:rPr>
        <w:t>, respectively</w:t>
      </w:r>
      <w:r w:rsidR="0099342B">
        <w:rPr>
          <w:sz w:val="24"/>
          <w:szCs w:val="24"/>
        </w:rPr>
        <w:t xml:space="preserve"> </w:t>
      </w:r>
      <w:r>
        <w:rPr>
          <w:sz w:val="24"/>
          <w:szCs w:val="24"/>
        </w:rPr>
        <w:t>(</w:t>
      </w:r>
      <w:r w:rsidR="0099342B">
        <w:rPr>
          <w:sz w:val="24"/>
          <w:szCs w:val="24"/>
        </w:rPr>
        <w:t xml:space="preserve">an </w:t>
      </w:r>
      <w:r>
        <w:rPr>
          <w:sz w:val="24"/>
          <w:szCs w:val="24"/>
        </w:rPr>
        <w:t xml:space="preserve">approximately 5% increase in TAC). Because of a lack of information on total removal of crabs, the </w:t>
      </w:r>
      <w:r w:rsidR="0099342B">
        <w:rPr>
          <w:sz w:val="24"/>
          <w:szCs w:val="24"/>
        </w:rPr>
        <w:t>TAC</w:t>
      </w:r>
      <w:r>
        <w:rPr>
          <w:sz w:val="24"/>
          <w:szCs w:val="24"/>
        </w:rPr>
        <w:t xml:space="preserve"> was determined to be the retained catch. </w:t>
      </w:r>
      <w:r w:rsidRPr="001F083A">
        <w:rPr>
          <w:sz w:val="24"/>
          <w:szCs w:val="24"/>
        </w:rPr>
        <w:t>Ad</w:t>
      </w:r>
      <w:r>
        <w:rPr>
          <w:sz w:val="24"/>
          <w:szCs w:val="24"/>
        </w:rPr>
        <w:t>ditional management measures include</w:t>
      </w:r>
      <w:r w:rsidRPr="001F083A">
        <w:rPr>
          <w:sz w:val="24"/>
          <w:szCs w:val="24"/>
        </w:rPr>
        <w:t xml:space="preserve"> a male-only fishery</w:t>
      </w:r>
      <w:r>
        <w:rPr>
          <w:sz w:val="24"/>
          <w:szCs w:val="24"/>
        </w:rPr>
        <w:t xml:space="preserve"> and </w:t>
      </w:r>
      <w:r w:rsidRPr="001F083A">
        <w:rPr>
          <w:sz w:val="24"/>
          <w:szCs w:val="24"/>
        </w:rPr>
        <w:t>a minimum legal size limit (152.4</w:t>
      </w:r>
      <w:r w:rsidR="0099342B">
        <w:rPr>
          <w:sz w:val="24"/>
          <w:szCs w:val="24"/>
        </w:rPr>
        <w:t xml:space="preserve"> </w:t>
      </w:r>
      <w:r w:rsidRPr="001F083A">
        <w:rPr>
          <w:sz w:val="24"/>
          <w:szCs w:val="24"/>
        </w:rPr>
        <w:t>mm</w:t>
      </w:r>
      <w:r>
        <w:rPr>
          <w:sz w:val="24"/>
          <w:szCs w:val="24"/>
        </w:rPr>
        <w:t xml:space="preserve"> </w:t>
      </w:r>
      <w:r w:rsidR="0099342B">
        <w:rPr>
          <w:sz w:val="24"/>
          <w:szCs w:val="24"/>
        </w:rPr>
        <w:t>CW</w:t>
      </w:r>
      <w:r>
        <w:rPr>
          <w:sz w:val="24"/>
          <w:szCs w:val="24"/>
        </w:rPr>
        <w:t xml:space="preserve"> or</w:t>
      </w:r>
      <w:r w:rsidRPr="001F083A">
        <w:rPr>
          <w:sz w:val="24"/>
          <w:szCs w:val="24"/>
        </w:rPr>
        <w:t xml:space="preserve"> approximately </w:t>
      </w:r>
      <w:r>
        <w:rPr>
          <w:sz w:val="24"/>
          <w:szCs w:val="24"/>
        </w:rPr>
        <w:t xml:space="preserve">136 </w:t>
      </w:r>
      <w:r w:rsidRPr="001F083A">
        <w:rPr>
          <w:sz w:val="24"/>
          <w:szCs w:val="24"/>
        </w:rPr>
        <w:t>mm</w:t>
      </w:r>
      <w:r>
        <w:rPr>
          <w:sz w:val="24"/>
          <w:szCs w:val="24"/>
        </w:rPr>
        <w:t xml:space="preserve"> </w:t>
      </w:r>
      <w:r w:rsidRPr="001F083A">
        <w:rPr>
          <w:sz w:val="24"/>
          <w:szCs w:val="24"/>
        </w:rPr>
        <w:t xml:space="preserve">CL) which is at least one </w:t>
      </w:r>
      <w:r>
        <w:rPr>
          <w:sz w:val="24"/>
          <w:szCs w:val="24"/>
        </w:rPr>
        <w:t>annual molt increment larg</w:t>
      </w:r>
      <w:r w:rsidRPr="00962973">
        <w:rPr>
          <w:sz w:val="24"/>
          <w:szCs w:val="24"/>
        </w:rPr>
        <w:t>er than t</w:t>
      </w:r>
      <w:r>
        <w:rPr>
          <w:sz w:val="24"/>
          <w:szCs w:val="24"/>
        </w:rPr>
        <w:t xml:space="preserve">he 50% maturity length of 120.8 </w:t>
      </w:r>
      <w:r w:rsidRPr="00962973">
        <w:rPr>
          <w:sz w:val="24"/>
          <w:szCs w:val="24"/>
        </w:rPr>
        <w:t xml:space="preserve">mm CL </w:t>
      </w:r>
      <w:r>
        <w:rPr>
          <w:sz w:val="24"/>
          <w:szCs w:val="24"/>
        </w:rPr>
        <w:t xml:space="preserve">for males </w:t>
      </w:r>
      <w:r w:rsidRPr="00962973">
        <w:rPr>
          <w:sz w:val="24"/>
          <w:szCs w:val="24"/>
        </w:rPr>
        <w:t>(Otto and</w:t>
      </w:r>
      <w:r>
        <w:rPr>
          <w:sz w:val="24"/>
          <w:szCs w:val="24"/>
        </w:rPr>
        <w:t xml:space="preserve"> Cummiskey 1985</w:t>
      </w:r>
      <w:r w:rsidRPr="001F083A">
        <w:rPr>
          <w:sz w:val="24"/>
          <w:szCs w:val="24"/>
        </w:rPr>
        <w:t>)</w:t>
      </w:r>
      <w:r>
        <w:rPr>
          <w:sz w:val="24"/>
          <w:szCs w:val="24"/>
        </w:rPr>
        <w:t>. Daily catch and</w:t>
      </w:r>
      <w:r w:rsidR="008D50FD" w:rsidRPr="008D50FD">
        <w:rPr>
          <w:sz w:val="24"/>
          <w:szCs w:val="24"/>
        </w:rPr>
        <w:t xml:space="preserve"> </w:t>
      </w:r>
      <w:r w:rsidR="008D50FD">
        <w:rPr>
          <w:sz w:val="24"/>
          <w:szCs w:val="24"/>
        </w:rPr>
        <w:t>catch-per-unit effort</w:t>
      </w:r>
      <w:r>
        <w:rPr>
          <w:sz w:val="24"/>
          <w:szCs w:val="24"/>
        </w:rPr>
        <w:t xml:space="preserve"> </w:t>
      </w:r>
      <w:r w:rsidR="008D50FD">
        <w:rPr>
          <w:sz w:val="24"/>
          <w:szCs w:val="24"/>
        </w:rPr>
        <w:t>(</w:t>
      </w:r>
      <w:r>
        <w:rPr>
          <w:sz w:val="24"/>
          <w:szCs w:val="24"/>
        </w:rPr>
        <w:t>CPUE</w:t>
      </w:r>
      <w:r w:rsidR="008D50FD">
        <w:rPr>
          <w:sz w:val="24"/>
          <w:szCs w:val="24"/>
        </w:rPr>
        <w:t>)</w:t>
      </w:r>
      <w:r>
        <w:rPr>
          <w:sz w:val="24"/>
          <w:szCs w:val="24"/>
        </w:rPr>
        <w:t xml:space="preserve"> are determined inseason </w:t>
      </w:r>
      <w:r w:rsidR="0099342B">
        <w:rPr>
          <w:sz w:val="24"/>
          <w:szCs w:val="24"/>
        </w:rPr>
        <w:t xml:space="preserve">to </w:t>
      </w:r>
      <w:r>
        <w:rPr>
          <w:sz w:val="24"/>
          <w:szCs w:val="24"/>
        </w:rPr>
        <w:t>m</w:t>
      </w:r>
      <w:r w:rsidRPr="001F083A">
        <w:rPr>
          <w:sz w:val="24"/>
          <w:szCs w:val="24"/>
        </w:rPr>
        <w:t xml:space="preserve">onitor </w:t>
      </w:r>
      <w:r>
        <w:rPr>
          <w:sz w:val="24"/>
          <w:szCs w:val="24"/>
        </w:rPr>
        <w:t>fishery performance</w:t>
      </w:r>
      <w:r w:rsidR="00A37B31">
        <w:rPr>
          <w:sz w:val="24"/>
          <w:szCs w:val="24"/>
        </w:rPr>
        <w:t xml:space="preserve"> </w:t>
      </w:r>
      <w:r w:rsidR="00B56B6B">
        <w:rPr>
          <w:sz w:val="24"/>
          <w:szCs w:val="24"/>
        </w:rPr>
        <w:t xml:space="preserve">and progress towards the TAC. </w:t>
      </w:r>
      <w:r w:rsidR="00A37B31">
        <w:rPr>
          <w:sz w:val="24"/>
          <w:szCs w:val="24"/>
        </w:rPr>
        <w:t>Figures 1</w:t>
      </w:r>
      <w:r w:rsidR="00B56B6B">
        <w:rPr>
          <w:sz w:val="24"/>
          <w:szCs w:val="24"/>
        </w:rPr>
        <w:t xml:space="preserve"> to 5 provide the time series of catches</w:t>
      </w:r>
      <w:r w:rsidR="008D50FD">
        <w:rPr>
          <w:sz w:val="24"/>
          <w:szCs w:val="24"/>
        </w:rPr>
        <w:t xml:space="preserve">, CPUE, </w:t>
      </w:r>
      <w:r w:rsidR="00B56B6B">
        <w:rPr>
          <w:sz w:val="24"/>
          <w:szCs w:val="24"/>
        </w:rPr>
        <w:t xml:space="preserve"> and the </w:t>
      </w:r>
      <w:r w:rsidR="008D50FD">
        <w:rPr>
          <w:sz w:val="24"/>
          <w:szCs w:val="24"/>
        </w:rPr>
        <w:t xml:space="preserve">geographical </w:t>
      </w:r>
      <w:r w:rsidR="00B56B6B">
        <w:rPr>
          <w:sz w:val="24"/>
          <w:szCs w:val="24"/>
        </w:rPr>
        <w:t>distribution of recent fishing seasons’ catches</w:t>
      </w:r>
      <w:r w:rsidR="0099342B">
        <w:rPr>
          <w:sz w:val="24"/>
          <w:szCs w:val="24"/>
        </w:rPr>
        <w:t xml:space="preserve">. </w:t>
      </w:r>
      <w:r>
        <w:rPr>
          <w:sz w:val="24"/>
          <w:szCs w:val="24"/>
        </w:rPr>
        <w:t xml:space="preserve">Beginning in 2000, and with the introduction of crab rationalization in 2005, the CPUE increased. This is likely due to </w:t>
      </w:r>
      <w:r w:rsidR="0099342B">
        <w:rPr>
          <w:sz w:val="24"/>
          <w:szCs w:val="24"/>
        </w:rPr>
        <w:t xml:space="preserve">changes in </w:t>
      </w:r>
      <w:r>
        <w:rPr>
          <w:sz w:val="24"/>
          <w:szCs w:val="24"/>
        </w:rPr>
        <w:t>gear (crab fisher</w:t>
      </w:r>
      <w:r w:rsidR="0099342B">
        <w:rPr>
          <w:sz w:val="24"/>
          <w:szCs w:val="24"/>
        </w:rPr>
        <w:t>men</w:t>
      </w:r>
      <w:r>
        <w:rPr>
          <w:sz w:val="24"/>
          <w:szCs w:val="24"/>
        </w:rPr>
        <w:t>, personal communication, July 1, 2008), increased soak time</w:t>
      </w:r>
      <w:r w:rsidR="008D50FD">
        <w:rPr>
          <w:sz w:val="24"/>
          <w:szCs w:val="24"/>
        </w:rPr>
        <w:t xml:space="preserve"> (Figure 6)</w:t>
      </w:r>
      <w:r w:rsidR="00460B23">
        <w:rPr>
          <w:sz w:val="24"/>
          <w:szCs w:val="24"/>
        </w:rPr>
        <w:t>,</w:t>
      </w:r>
      <w:r w:rsidR="0099342B">
        <w:rPr>
          <w:sz w:val="24"/>
          <w:szCs w:val="24"/>
        </w:rPr>
        <w:t xml:space="preserve"> </w:t>
      </w:r>
      <w:r>
        <w:rPr>
          <w:sz w:val="24"/>
          <w:szCs w:val="24"/>
        </w:rPr>
        <w:t xml:space="preserve">and decreased competition from </w:t>
      </w:r>
      <w:r w:rsidR="0099342B">
        <w:rPr>
          <w:sz w:val="24"/>
          <w:szCs w:val="24"/>
        </w:rPr>
        <w:t xml:space="preserve">a </w:t>
      </w:r>
      <w:r>
        <w:rPr>
          <w:sz w:val="24"/>
          <w:szCs w:val="24"/>
        </w:rPr>
        <w:t>reduction in the number of vessels fishing</w:t>
      </w:r>
      <w:r w:rsidR="0099342B">
        <w:rPr>
          <w:sz w:val="24"/>
          <w:szCs w:val="24"/>
        </w:rPr>
        <w:t xml:space="preserve">. </w:t>
      </w:r>
      <w:r>
        <w:rPr>
          <w:sz w:val="24"/>
          <w:szCs w:val="24"/>
        </w:rPr>
        <w:t xml:space="preserve">Decreased competition allows crab vessels to target only the most productive </w:t>
      </w:r>
      <w:r w:rsidR="0099342B">
        <w:rPr>
          <w:sz w:val="24"/>
          <w:szCs w:val="24"/>
        </w:rPr>
        <w:t xml:space="preserve">fishing </w:t>
      </w:r>
      <w:r>
        <w:rPr>
          <w:sz w:val="24"/>
          <w:szCs w:val="24"/>
        </w:rPr>
        <w:t>areas</w:t>
      </w:r>
      <w:r w:rsidRPr="0087756E">
        <w:rPr>
          <w:sz w:val="24"/>
          <w:szCs w:val="24"/>
        </w:rPr>
        <w:t>.</w:t>
      </w:r>
      <w:r w:rsidR="00D0625F" w:rsidRPr="0087756E">
        <w:rPr>
          <w:sz w:val="24"/>
          <w:szCs w:val="24"/>
        </w:rPr>
        <w:t xml:space="preserve"> </w:t>
      </w:r>
      <w:r w:rsidR="004A2432" w:rsidRPr="0087756E">
        <w:rPr>
          <w:sz w:val="24"/>
          <w:szCs w:val="24"/>
        </w:rPr>
        <w:t xml:space="preserve"> </w:t>
      </w:r>
      <w:r w:rsidR="003F0B66" w:rsidRPr="0087756E">
        <w:rPr>
          <w:sz w:val="24"/>
          <w:szCs w:val="24"/>
        </w:rPr>
        <w:t>I</w:t>
      </w:r>
      <w:r w:rsidR="003F0B66" w:rsidRPr="004A2432">
        <w:rPr>
          <w:sz w:val="24"/>
          <w:szCs w:val="24"/>
        </w:rPr>
        <w:t>n 2012</w:t>
      </w:r>
      <w:r w:rsidR="00B92D0A" w:rsidRPr="004A2432">
        <w:rPr>
          <w:sz w:val="24"/>
          <w:szCs w:val="24"/>
        </w:rPr>
        <w:t xml:space="preserve">, </w:t>
      </w:r>
      <w:r w:rsidR="00460B23" w:rsidRPr="004A2432">
        <w:rPr>
          <w:sz w:val="24"/>
          <w:szCs w:val="24"/>
        </w:rPr>
        <w:t xml:space="preserve">a BOF </w:t>
      </w:r>
      <w:r w:rsidR="004A2432">
        <w:rPr>
          <w:sz w:val="24"/>
          <w:szCs w:val="24"/>
        </w:rPr>
        <w:t xml:space="preserve">decision increased the TAC levels to </w:t>
      </w:r>
      <w:r w:rsidR="004A2432" w:rsidRPr="005962A9">
        <w:rPr>
          <w:sz w:val="24"/>
          <w:szCs w:val="24"/>
        </w:rPr>
        <w:t>3.31 million pounds for EAG and 2.98 million pounds for WAG for the 2012/13 fishery.</w:t>
      </w:r>
      <w:r w:rsidR="00460B23" w:rsidRPr="00271266">
        <w:rPr>
          <w:sz w:val="24"/>
          <w:szCs w:val="24"/>
          <w:highlight w:val="yellow"/>
        </w:rPr>
        <w:t xml:space="preserve"> </w:t>
      </w:r>
      <w:r w:rsidRPr="00271266">
        <w:rPr>
          <w:sz w:val="24"/>
          <w:szCs w:val="24"/>
        </w:rPr>
        <w:t xml:space="preserve"> </w:t>
      </w:r>
    </w:p>
    <w:p w:rsidR="00F21160" w:rsidRDefault="00F21160" w:rsidP="00F21160">
      <w:pPr>
        <w:pStyle w:val="BodyText"/>
        <w:spacing w:line="360" w:lineRule="auto"/>
        <w:rPr>
          <w:sz w:val="28"/>
          <w:szCs w:val="28"/>
        </w:rPr>
      </w:pPr>
    </w:p>
    <w:p w:rsidR="00E81CA5" w:rsidRPr="00EF775C" w:rsidRDefault="005669BE" w:rsidP="00D72867">
      <w:pPr>
        <w:pStyle w:val="ListParagraph"/>
        <w:numPr>
          <w:ilvl w:val="0"/>
          <w:numId w:val="2"/>
        </w:numPr>
        <w:spacing w:line="360" w:lineRule="auto"/>
        <w:ind w:left="360"/>
        <w:rPr>
          <w:rFonts w:ascii="Arial" w:hAnsi="Arial"/>
          <w:b/>
          <w:i/>
          <w:sz w:val="28"/>
          <w:szCs w:val="24"/>
        </w:rPr>
      </w:pPr>
      <w:r w:rsidRPr="00EF775C">
        <w:rPr>
          <w:rFonts w:ascii="Arial" w:hAnsi="Arial"/>
          <w:b/>
          <w:i/>
          <w:sz w:val="28"/>
          <w:szCs w:val="24"/>
        </w:rPr>
        <w:t>Da</w:t>
      </w:r>
      <w:r w:rsidR="00AB3639" w:rsidRPr="00EF775C">
        <w:rPr>
          <w:rFonts w:ascii="Arial" w:hAnsi="Arial"/>
          <w:b/>
          <w:i/>
          <w:sz w:val="28"/>
          <w:szCs w:val="24"/>
        </w:rPr>
        <w:t>ta</w:t>
      </w:r>
    </w:p>
    <w:p w:rsidR="00271266" w:rsidRDefault="00CF0454" w:rsidP="007C3C7A">
      <w:pPr>
        <w:pStyle w:val="BodyText"/>
        <w:numPr>
          <w:ilvl w:val="0"/>
          <w:numId w:val="4"/>
        </w:numPr>
        <w:spacing w:line="360" w:lineRule="auto"/>
        <w:ind w:left="360"/>
        <w:jc w:val="both"/>
        <w:rPr>
          <w:sz w:val="24"/>
          <w:szCs w:val="24"/>
        </w:rPr>
      </w:pPr>
      <w:r>
        <w:rPr>
          <w:sz w:val="24"/>
          <w:szCs w:val="24"/>
        </w:rPr>
        <w:lastRenderedPageBreak/>
        <w:t xml:space="preserve">Summary of new information: </w:t>
      </w:r>
    </w:p>
    <w:p w:rsidR="00870D9F" w:rsidRPr="00271266" w:rsidRDefault="005135EC" w:rsidP="007C3C7A">
      <w:pPr>
        <w:pStyle w:val="BodyText"/>
        <w:numPr>
          <w:ilvl w:val="0"/>
          <w:numId w:val="17"/>
        </w:numPr>
        <w:spacing w:line="360" w:lineRule="auto"/>
        <w:ind w:left="720"/>
        <w:jc w:val="both"/>
        <w:rPr>
          <w:sz w:val="24"/>
          <w:szCs w:val="24"/>
        </w:rPr>
      </w:pPr>
      <w:r w:rsidRPr="00271266">
        <w:rPr>
          <w:sz w:val="24"/>
          <w:szCs w:val="24"/>
        </w:rPr>
        <w:t xml:space="preserve"> </w:t>
      </w:r>
      <w:r w:rsidR="00870D9F">
        <w:rPr>
          <w:sz w:val="24"/>
          <w:szCs w:val="24"/>
        </w:rPr>
        <w:t>Data are updated by adding t</w:t>
      </w:r>
      <w:r w:rsidR="00CF0454" w:rsidRPr="00271266">
        <w:rPr>
          <w:sz w:val="24"/>
          <w:szCs w:val="24"/>
        </w:rPr>
        <w:t>he 20</w:t>
      </w:r>
      <w:r w:rsidR="00CD54B7" w:rsidRPr="00271266">
        <w:rPr>
          <w:sz w:val="24"/>
          <w:szCs w:val="24"/>
        </w:rPr>
        <w:t>1</w:t>
      </w:r>
      <w:r w:rsidR="007A2FDF">
        <w:rPr>
          <w:sz w:val="24"/>
          <w:szCs w:val="24"/>
        </w:rPr>
        <w:t>1</w:t>
      </w:r>
      <w:r w:rsidR="00CD54B7" w:rsidRPr="00271266">
        <w:rPr>
          <w:sz w:val="24"/>
          <w:szCs w:val="24"/>
        </w:rPr>
        <w:t>/1</w:t>
      </w:r>
      <w:r w:rsidR="007A2FDF">
        <w:rPr>
          <w:sz w:val="24"/>
          <w:szCs w:val="24"/>
        </w:rPr>
        <w:t>2</w:t>
      </w:r>
      <w:r w:rsidR="00CF0454" w:rsidRPr="00271266">
        <w:rPr>
          <w:sz w:val="24"/>
          <w:szCs w:val="24"/>
        </w:rPr>
        <w:t xml:space="preserve"> </w:t>
      </w:r>
      <w:r w:rsidR="007A2FDF">
        <w:rPr>
          <w:sz w:val="24"/>
          <w:szCs w:val="24"/>
        </w:rPr>
        <w:t xml:space="preserve">and 2012/13 </w:t>
      </w:r>
      <w:r w:rsidR="00CF0454" w:rsidRPr="00271266">
        <w:rPr>
          <w:sz w:val="24"/>
          <w:szCs w:val="24"/>
        </w:rPr>
        <w:t>commercial fishery r</w:t>
      </w:r>
      <w:r w:rsidR="00281F48" w:rsidRPr="00271266">
        <w:rPr>
          <w:sz w:val="24"/>
          <w:szCs w:val="24"/>
        </w:rPr>
        <w:t xml:space="preserve">etained and </w:t>
      </w:r>
      <w:r w:rsidR="007A2FDF">
        <w:rPr>
          <w:sz w:val="24"/>
          <w:szCs w:val="24"/>
        </w:rPr>
        <w:t>estimated total</w:t>
      </w:r>
      <w:r w:rsidR="00281F48" w:rsidRPr="00271266">
        <w:rPr>
          <w:sz w:val="24"/>
          <w:szCs w:val="24"/>
        </w:rPr>
        <w:t xml:space="preserve"> catch</w:t>
      </w:r>
      <w:r w:rsidR="007A2FDF">
        <w:rPr>
          <w:sz w:val="24"/>
          <w:szCs w:val="24"/>
        </w:rPr>
        <w:t xml:space="preserve"> by size</w:t>
      </w:r>
      <w:r w:rsidR="00281F48" w:rsidRPr="00271266">
        <w:rPr>
          <w:sz w:val="24"/>
          <w:szCs w:val="24"/>
        </w:rPr>
        <w:t xml:space="preserve">, </w:t>
      </w:r>
      <w:r w:rsidR="00BC56DF" w:rsidRPr="00271266">
        <w:rPr>
          <w:sz w:val="24"/>
          <w:szCs w:val="24"/>
        </w:rPr>
        <w:t xml:space="preserve">observer </w:t>
      </w:r>
      <w:r w:rsidR="007A2FDF">
        <w:rPr>
          <w:sz w:val="24"/>
          <w:szCs w:val="24"/>
        </w:rPr>
        <w:t>CPUE</w:t>
      </w:r>
      <w:r w:rsidR="00281F48" w:rsidRPr="00271266">
        <w:rPr>
          <w:sz w:val="24"/>
          <w:szCs w:val="24"/>
        </w:rPr>
        <w:t>, and male groundfish discard catch by size</w:t>
      </w:r>
      <w:r w:rsidR="00CF0454" w:rsidRPr="00271266">
        <w:rPr>
          <w:sz w:val="24"/>
          <w:szCs w:val="24"/>
        </w:rPr>
        <w:t xml:space="preserve"> to the time series.</w:t>
      </w:r>
    </w:p>
    <w:p w:rsidR="0074336E" w:rsidRPr="00870D9F" w:rsidRDefault="00CF0454" w:rsidP="007C3C7A">
      <w:pPr>
        <w:pStyle w:val="BodyText"/>
        <w:numPr>
          <w:ilvl w:val="0"/>
          <w:numId w:val="17"/>
        </w:numPr>
        <w:spacing w:line="360" w:lineRule="auto"/>
        <w:ind w:left="720"/>
        <w:jc w:val="both"/>
        <w:rPr>
          <w:sz w:val="24"/>
          <w:szCs w:val="24"/>
        </w:rPr>
      </w:pPr>
      <w:r w:rsidRPr="00870D9F">
        <w:rPr>
          <w:sz w:val="24"/>
          <w:szCs w:val="24"/>
        </w:rPr>
        <w:t>New data</w:t>
      </w:r>
      <w:r w:rsidR="00870D9F">
        <w:rPr>
          <w:sz w:val="24"/>
          <w:szCs w:val="24"/>
        </w:rPr>
        <w:t xml:space="preserve"> are a</w:t>
      </w:r>
      <w:r w:rsidR="00281F48" w:rsidRPr="00870D9F">
        <w:rPr>
          <w:sz w:val="24"/>
          <w:szCs w:val="24"/>
        </w:rPr>
        <w:t xml:space="preserve">dded </w:t>
      </w:r>
      <w:r w:rsidR="008C2CE3">
        <w:rPr>
          <w:sz w:val="24"/>
          <w:szCs w:val="24"/>
        </w:rPr>
        <w:t xml:space="preserve">by including </w:t>
      </w:r>
      <w:r w:rsidR="00281F48" w:rsidRPr="00870D9F">
        <w:rPr>
          <w:sz w:val="24"/>
          <w:szCs w:val="24"/>
        </w:rPr>
        <w:t xml:space="preserve">male tag-recapture data by size and time at large for 1991, 1997, 2000, 2003, and 2006 releases. </w:t>
      </w:r>
      <w:r w:rsidR="00C01CE0">
        <w:rPr>
          <w:sz w:val="24"/>
          <w:szCs w:val="24"/>
        </w:rPr>
        <w:t>The tagging experiments were conducted in the EAG area. However, following one of the CPT suggestions, we used the same tagging data fo</w:t>
      </w:r>
      <w:r w:rsidR="00375194">
        <w:rPr>
          <w:sz w:val="24"/>
          <w:szCs w:val="24"/>
        </w:rPr>
        <w:t>r the EAG and WAG modeling.</w:t>
      </w:r>
    </w:p>
    <w:p w:rsidR="00281F48" w:rsidRPr="00870D9F" w:rsidRDefault="00281F48" w:rsidP="006F0B75">
      <w:pPr>
        <w:pStyle w:val="BodyText"/>
        <w:spacing w:line="360" w:lineRule="auto"/>
        <w:ind w:left="720"/>
        <w:jc w:val="both"/>
        <w:rPr>
          <w:sz w:val="24"/>
          <w:szCs w:val="24"/>
        </w:rPr>
      </w:pPr>
    </w:p>
    <w:p w:rsidR="00870D9F" w:rsidRDefault="00E311DA" w:rsidP="007C3C7A">
      <w:pPr>
        <w:pStyle w:val="GKC"/>
        <w:numPr>
          <w:ilvl w:val="0"/>
          <w:numId w:val="4"/>
        </w:numPr>
      </w:pPr>
      <w:r w:rsidRPr="006F0B75">
        <w:t xml:space="preserve">Available </w:t>
      </w:r>
      <w:r w:rsidR="007A2FDF">
        <w:t xml:space="preserve">catch </w:t>
      </w:r>
      <w:r w:rsidR="00386871" w:rsidRPr="006F0B75">
        <w:t>and tagging data.</w:t>
      </w:r>
      <w:r w:rsidRPr="006F0B75">
        <w:t xml:space="preserve"> </w:t>
      </w:r>
    </w:p>
    <w:p w:rsidR="00C01CE0" w:rsidRDefault="00C01CE0" w:rsidP="00C01CE0">
      <w:pPr>
        <w:pStyle w:val="GKC"/>
        <w:ind w:left="1350"/>
      </w:pPr>
    </w:p>
    <w:tbl>
      <w:tblPr>
        <w:tblStyle w:val="TableClassic1"/>
        <w:tblW w:w="0" w:type="auto"/>
        <w:tblLook w:val="04A0" w:firstRow="1" w:lastRow="0" w:firstColumn="1" w:lastColumn="0" w:noHBand="0" w:noVBand="1"/>
      </w:tblPr>
      <w:tblGrid>
        <w:gridCol w:w="3509"/>
        <w:gridCol w:w="1916"/>
        <w:gridCol w:w="3431"/>
      </w:tblGrid>
      <w:tr w:rsidR="00C01CE0" w:rsidRPr="002F0D9B" w:rsidTr="003837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rsidR="00C01CE0" w:rsidRPr="005D36E7" w:rsidRDefault="00C01CE0" w:rsidP="0038373D">
            <w:r w:rsidRPr="005D36E7">
              <w:t>Data set</w:t>
            </w:r>
          </w:p>
        </w:tc>
        <w:tc>
          <w:tcPr>
            <w:tcW w:w="1916" w:type="dxa"/>
          </w:tcPr>
          <w:p w:rsidR="00C01CE0" w:rsidRPr="005D36E7" w:rsidRDefault="00C01CE0" w:rsidP="0038373D">
            <w:pPr>
              <w:cnfStyle w:val="100000000000" w:firstRow="1" w:lastRow="0" w:firstColumn="0" w:lastColumn="0" w:oddVBand="0" w:evenVBand="0" w:oddHBand="0" w:evenHBand="0" w:firstRowFirstColumn="0" w:firstRowLastColumn="0" w:lastRowFirstColumn="0" w:lastRowLastColumn="0"/>
            </w:pPr>
            <w:r w:rsidRPr="005D36E7">
              <w:t>Years</w:t>
            </w:r>
          </w:p>
        </w:tc>
        <w:tc>
          <w:tcPr>
            <w:tcW w:w="3431" w:type="dxa"/>
          </w:tcPr>
          <w:p w:rsidR="00C01CE0" w:rsidRPr="005D36E7" w:rsidRDefault="00C01CE0" w:rsidP="0038373D">
            <w:pPr>
              <w:cnfStyle w:val="100000000000" w:firstRow="1" w:lastRow="0" w:firstColumn="0" w:lastColumn="0" w:oddVBand="0" w:evenVBand="0" w:oddHBand="0" w:evenHBand="0" w:firstRowFirstColumn="0" w:firstRowLastColumn="0" w:lastRowFirstColumn="0" w:lastRowLastColumn="0"/>
            </w:pPr>
            <w:r w:rsidRPr="005D36E7">
              <w:t>Data type(s)</w:t>
            </w:r>
          </w:p>
        </w:tc>
      </w:tr>
      <w:tr w:rsidR="00C01CE0" w:rsidRPr="002F0D9B" w:rsidTr="0038373D">
        <w:tc>
          <w:tcPr>
            <w:cnfStyle w:val="001000000000" w:firstRow="0" w:lastRow="0" w:firstColumn="1" w:lastColumn="0" w:oddVBand="0" w:evenVBand="0" w:oddHBand="0" w:evenHBand="0" w:firstRowFirstColumn="0" w:firstRowLastColumn="0" w:lastRowFirstColumn="0" w:lastRowLastColumn="0"/>
            <w:tcW w:w="3509" w:type="dxa"/>
          </w:tcPr>
          <w:p w:rsidR="00C01CE0" w:rsidRPr="005D36E7" w:rsidRDefault="00C01CE0" w:rsidP="0038373D">
            <w:r w:rsidRPr="005D36E7">
              <w:t>Retained  pot catch</w:t>
            </w:r>
          </w:p>
        </w:tc>
        <w:tc>
          <w:tcPr>
            <w:tcW w:w="1916" w:type="dxa"/>
          </w:tcPr>
          <w:p w:rsidR="00C01CE0" w:rsidRPr="005D36E7" w:rsidRDefault="00C01CE0" w:rsidP="0038373D">
            <w:pPr>
              <w:cnfStyle w:val="000000000000" w:firstRow="0" w:lastRow="0" w:firstColumn="0" w:lastColumn="0" w:oddVBand="0" w:evenVBand="0" w:oddHBand="0" w:evenHBand="0" w:firstRowFirstColumn="0" w:firstRowLastColumn="0" w:lastRowFirstColumn="0" w:lastRowLastColumn="0"/>
            </w:pPr>
            <w:r>
              <w:t>1985–2012</w:t>
            </w:r>
          </w:p>
        </w:tc>
        <w:tc>
          <w:tcPr>
            <w:tcW w:w="3431" w:type="dxa"/>
          </w:tcPr>
          <w:p w:rsidR="00C01CE0" w:rsidRPr="005D36E7" w:rsidRDefault="00C01CE0" w:rsidP="0038373D">
            <w:pPr>
              <w:cnfStyle w:val="000000000000" w:firstRow="0" w:lastRow="0" w:firstColumn="0" w:lastColumn="0" w:oddVBand="0" w:evenVBand="0" w:oddHBand="0" w:evenHBand="0" w:firstRowFirstColumn="0" w:firstRowLastColumn="0" w:lastRowFirstColumn="0" w:lastRowLastColumn="0"/>
            </w:pPr>
            <w:r>
              <w:t>Catch by length</w:t>
            </w:r>
          </w:p>
        </w:tc>
      </w:tr>
      <w:tr w:rsidR="00C01CE0" w:rsidRPr="002F0D9B" w:rsidTr="0038373D">
        <w:tc>
          <w:tcPr>
            <w:cnfStyle w:val="001000000000" w:firstRow="0" w:lastRow="0" w:firstColumn="1" w:lastColumn="0" w:oddVBand="0" w:evenVBand="0" w:oddHBand="0" w:evenHBand="0" w:firstRowFirstColumn="0" w:firstRowLastColumn="0" w:lastRowFirstColumn="0" w:lastRowLastColumn="0"/>
            <w:tcW w:w="3509" w:type="dxa"/>
          </w:tcPr>
          <w:p w:rsidR="00C01CE0" w:rsidRPr="005D36E7" w:rsidRDefault="00C01CE0" w:rsidP="0038373D">
            <w:r>
              <w:t>Total pot catch</w:t>
            </w:r>
          </w:p>
        </w:tc>
        <w:tc>
          <w:tcPr>
            <w:tcW w:w="1916" w:type="dxa"/>
          </w:tcPr>
          <w:p w:rsidR="00C01CE0" w:rsidRPr="005D36E7" w:rsidRDefault="00C01CE0" w:rsidP="0038373D">
            <w:pPr>
              <w:cnfStyle w:val="000000000000" w:firstRow="0" w:lastRow="0" w:firstColumn="0" w:lastColumn="0" w:oddVBand="0" w:evenVBand="0" w:oddHBand="0" w:evenHBand="0" w:firstRowFirstColumn="0" w:firstRowLastColumn="0" w:lastRowFirstColumn="0" w:lastRowLastColumn="0"/>
            </w:pPr>
            <w:r>
              <w:t>1990–2012</w:t>
            </w:r>
          </w:p>
        </w:tc>
        <w:tc>
          <w:tcPr>
            <w:tcW w:w="3431" w:type="dxa"/>
          </w:tcPr>
          <w:p w:rsidR="00C01CE0" w:rsidRPr="005D36E7" w:rsidRDefault="00C01CE0" w:rsidP="0038373D">
            <w:pPr>
              <w:cnfStyle w:val="000000000000" w:firstRow="0" w:lastRow="0" w:firstColumn="0" w:lastColumn="0" w:oddVBand="0" w:evenVBand="0" w:oddHBand="0" w:evenHBand="0" w:firstRowFirstColumn="0" w:firstRowLastColumn="0" w:lastRowFirstColumn="0" w:lastRowLastColumn="0"/>
            </w:pPr>
            <w:r>
              <w:t>Catch by length</w:t>
            </w:r>
          </w:p>
        </w:tc>
      </w:tr>
      <w:tr w:rsidR="00C01CE0" w:rsidRPr="002F0D9B" w:rsidTr="0038373D">
        <w:tc>
          <w:tcPr>
            <w:cnfStyle w:val="001000000000" w:firstRow="0" w:lastRow="0" w:firstColumn="1" w:lastColumn="0" w:oddVBand="0" w:evenVBand="0" w:oddHBand="0" w:evenHBand="0" w:firstRowFirstColumn="0" w:firstRowLastColumn="0" w:lastRowFirstColumn="0" w:lastRowLastColumn="0"/>
            <w:tcW w:w="3509" w:type="dxa"/>
          </w:tcPr>
          <w:p w:rsidR="00C01CE0" w:rsidRPr="005D36E7" w:rsidRDefault="00C01CE0" w:rsidP="0038373D">
            <w:r>
              <w:t>Groundfish discarded catch</w:t>
            </w:r>
          </w:p>
        </w:tc>
        <w:tc>
          <w:tcPr>
            <w:tcW w:w="1916" w:type="dxa"/>
          </w:tcPr>
          <w:p w:rsidR="00C01CE0" w:rsidRPr="005D36E7" w:rsidRDefault="00C01CE0" w:rsidP="0038373D">
            <w:pPr>
              <w:cnfStyle w:val="000000000000" w:firstRow="0" w:lastRow="0" w:firstColumn="0" w:lastColumn="0" w:oddVBand="0" w:evenVBand="0" w:oddHBand="0" w:evenHBand="0" w:firstRowFirstColumn="0" w:firstRowLastColumn="0" w:lastRowFirstColumn="0" w:lastRowLastColumn="0"/>
            </w:pPr>
            <w:r>
              <w:t>1995–2012</w:t>
            </w:r>
          </w:p>
        </w:tc>
        <w:tc>
          <w:tcPr>
            <w:tcW w:w="3431" w:type="dxa"/>
          </w:tcPr>
          <w:p w:rsidR="00C01CE0" w:rsidRPr="005D36E7" w:rsidRDefault="00C01CE0" w:rsidP="0038373D">
            <w:pPr>
              <w:cnfStyle w:val="000000000000" w:firstRow="0" w:lastRow="0" w:firstColumn="0" w:lastColumn="0" w:oddVBand="0" w:evenVBand="0" w:oddHBand="0" w:evenHBand="0" w:firstRowFirstColumn="0" w:firstRowLastColumn="0" w:lastRowFirstColumn="0" w:lastRowLastColumn="0"/>
            </w:pPr>
            <w:r>
              <w:t>Catch by length</w:t>
            </w:r>
          </w:p>
        </w:tc>
      </w:tr>
      <w:tr w:rsidR="00C01CE0" w:rsidRPr="002F0D9B" w:rsidTr="0038373D">
        <w:tc>
          <w:tcPr>
            <w:cnfStyle w:val="001000000000" w:firstRow="0" w:lastRow="0" w:firstColumn="1" w:lastColumn="0" w:oddVBand="0" w:evenVBand="0" w:oddHBand="0" w:evenHBand="0" w:firstRowFirstColumn="0" w:firstRowLastColumn="0" w:lastRowFirstColumn="0" w:lastRowLastColumn="0"/>
            <w:tcW w:w="3509" w:type="dxa"/>
          </w:tcPr>
          <w:p w:rsidR="00C01CE0" w:rsidRPr="005D36E7" w:rsidRDefault="00C01CE0" w:rsidP="0038373D">
            <w:r>
              <w:t>Observer legal  size crab CPUE</w:t>
            </w:r>
          </w:p>
        </w:tc>
        <w:tc>
          <w:tcPr>
            <w:tcW w:w="1916" w:type="dxa"/>
          </w:tcPr>
          <w:p w:rsidR="00C01CE0" w:rsidRPr="005D36E7" w:rsidRDefault="00C01CE0" w:rsidP="0038373D">
            <w:pPr>
              <w:cnfStyle w:val="000000000000" w:firstRow="0" w:lastRow="0" w:firstColumn="0" w:lastColumn="0" w:oddVBand="0" w:evenVBand="0" w:oddHBand="0" w:evenHBand="0" w:firstRowFirstColumn="0" w:firstRowLastColumn="0" w:lastRowFirstColumn="0" w:lastRowLastColumn="0"/>
            </w:pPr>
            <w:r>
              <w:t>1995–2012</w:t>
            </w:r>
          </w:p>
        </w:tc>
        <w:tc>
          <w:tcPr>
            <w:tcW w:w="3431" w:type="dxa"/>
          </w:tcPr>
          <w:p w:rsidR="00C01CE0" w:rsidRPr="005D36E7" w:rsidRDefault="00C01CE0" w:rsidP="0038373D">
            <w:pPr>
              <w:cnfStyle w:val="000000000000" w:firstRow="0" w:lastRow="0" w:firstColumn="0" w:lastColumn="0" w:oddVBand="0" w:evenVBand="0" w:oddHBand="0" w:evenHBand="0" w:firstRowFirstColumn="0" w:firstRowLastColumn="0" w:lastRowFirstColumn="0" w:lastRowLastColumn="0"/>
            </w:pPr>
            <w:r>
              <w:t>Independently estimated (by GLM) annual CPUE index with standard error</w:t>
            </w:r>
          </w:p>
        </w:tc>
      </w:tr>
      <w:tr w:rsidR="00C01CE0" w:rsidRPr="002F0D9B" w:rsidTr="0038373D">
        <w:tc>
          <w:tcPr>
            <w:cnfStyle w:val="001000000000" w:firstRow="0" w:lastRow="0" w:firstColumn="1" w:lastColumn="0" w:oddVBand="0" w:evenVBand="0" w:oddHBand="0" w:evenHBand="0" w:firstRowFirstColumn="0" w:firstRowLastColumn="0" w:lastRowFirstColumn="0" w:lastRowLastColumn="0"/>
            <w:tcW w:w="3509" w:type="dxa"/>
          </w:tcPr>
          <w:p w:rsidR="00C01CE0" w:rsidRPr="005D36E7" w:rsidRDefault="00C01CE0" w:rsidP="0038373D">
            <w:r>
              <w:t>Observer total (entire pot catch sample) CPUE</w:t>
            </w:r>
          </w:p>
        </w:tc>
        <w:tc>
          <w:tcPr>
            <w:tcW w:w="1916" w:type="dxa"/>
          </w:tcPr>
          <w:p w:rsidR="00C01CE0" w:rsidRPr="005D36E7" w:rsidRDefault="00C01CE0" w:rsidP="0038373D">
            <w:pPr>
              <w:cnfStyle w:val="000000000000" w:firstRow="0" w:lastRow="0" w:firstColumn="0" w:lastColumn="0" w:oddVBand="0" w:evenVBand="0" w:oddHBand="0" w:evenHBand="0" w:firstRowFirstColumn="0" w:firstRowLastColumn="0" w:lastRowFirstColumn="0" w:lastRowLastColumn="0"/>
            </w:pPr>
            <w:r>
              <w:t>1990–2012</w:t>
            </w:r>
          </w:p>
        </w:tc>
        <w:tc>
          <w:tcPr>
            <w:tcW w:w="3431" w:type="dxa"/>
          </w:tcPr>
          <w:p w:rsidR="00C01CE0" w:rsidRPr="005D36E7" w:rsidRDefault="00C01CE0" w:rsidP="0038373D">
            <w:pPr>
              <w:cnfStyle w:val="000000000000" w:firstRow="0" w:lastRow="0" w:firstColumn="0" w:lastColumn="0" w:oddVBand="0" w:evenVBand="0" w:oddHBand="0" w:evenHBand="0" w:firstRowFirstColumn="0" w:firstRowLastColumn="0" w:lastRowFirstColumn="0" w:lastRowLastColumn="0"/>
            </w:pPr>
            <w:r>
              <w:t>Nominal total CPUE data for estimating total pot catch</w:t>
            </w:r>
          </w:p>
        </w:tc>
      </w:tr>
      <w:tr w:rsidR="00C01CE0" w:rsidRPr="002F0D9B" w:rsidTr="0038373D">
        <w:tc>
          <w:tcPr>
            <w:cnfStyle w:val="001000000000" w:firstRow="0" w:lastRow="0" w:firstColumn="1" w:lastColumn="0" w:oddVBand="0" w:evenVBand="0" w:oddHBand="0" w:evenHBand="0" w:firstRowFirstColumn="0" w:firstRowLastColumn="0" w:lastRowFirstColumn="0" w:lastRowLastColumn="0"/>
            <w:tcW w:w="3509" w:type="dxa"/>
          </w:tcPr>
          <w:p w:rsidR="00C01CE0" w:rsidRPr="005D36E7" w:rsidRDefault="00C01CE0" w:rsidP="0038373D">
            <w:r>
              <w:t>Tag-recapture data</w:t>
            </w:r>
          </w:p>
        </w:tc>
        <w:tc>
          <w:tcPr>
            <w:tcW w:w="1916" w:type="dxa"/>
          </w:tcPr>
          <w:p w:rsidR="00C01CE0" w:rsidRPr="005D36E7" w:rsidRDefault="00C01CE0" w:rsidP="0038373D">
            <w:pPr>
              <w:cnfStyle w:val="000000000000" w:firstRow="0" w:lastRow="0" w:firstColumn="0" w:lastColumn="0" w:oddVBand="0" w:evenVBand="0" w:oddHBand="0" w:evenHBand="0" w:firstRowFirstColumn="0" w:firstRowLastColumn="0" w:lastRowFirstColumn="0" w:lastRowLastColumn="0"/>
            </w:pPr>
            <w:r>
              <w:t>1991, 1987, 2000, 2003, 2006</w:t>
            </w:r>
          </w:p>
        </w:tc>
        <w:tc>
          <w:tcPr>
            <w:tcW w:w="3431" w:type="dxa"/>
          </w:tcPr>
          <w:p w:rsidR="00C01CE0" w:rsidRPr="005D36E7" w:rsidRDefault="00C01CE0" w:rsidP="0038373D">
            <w:pPr>
              <w:cnfStyle w:val="000000000000" w:firstRow="0" w:lastRow="0" w:firstColumn="0" w:lastColumn="0" w:oddVBand="0" w:evenVBand="0" w:oddHBand="0" w:evenHBand="0" w:firstRowFirstColumn="0" w:firstRowLastColumn="0" w:lastRowFirstColumn="0" w:lastRowLastColumn="0"/>
            </w:pPr>
            <w:r>
              <w:t>Release-recapture length and time-at-large</w:t>
            </w:r>
          </w:p>
        </w:tc>
      </w:tr>
    </w:tbl>
    <w:p w:rsidR="00A06701" w:rsidRPr="006F0B75" w:rsidRDefault="00A06701" w:rsidP="006F0B75">
      <w:pPr>
        <w:pStyle w:val="GKC"/>
      </w:pPr>
    </w:p>
    <w:p w:rsidR="0074336E" w:rsidRPr="00D801B9" w:rsidRDefault="00A06701" w:rsidP="00D801B9">
      <w:pPr>
        <w:pStyle w:val="BodyText"/>
        <w:spacing w:line="360" w:lineRule="auto"/>
        <w:ind w:left="720"/>
        <w:jc w:val="both"/>
        <w:rPr>
          <w:color w:val="000000"/>
          <w:sz w:val="24"/>
          <w:szCs w:val="24"/>
        </w:rPr>
      </w:pPr>
      <w:r w:rsidRPr="00D801B9">
        <w:rPr>
          <w:color w:val="000000"/>
          <w:sz w:val="24"/>
          <w:szCs w:val="24"/>
        </w:rPr>
        <w:t xml:space="preserve">a. </w:t>
      </w:r>
      <w:r w:rsidR="006C6D7E" w:rsidRPr="00D801B9">
        <w:rPr>
          <w:color w:val="000000"/>
          <w:sz w:val="24"/>
          <w:szCs w:val="24"/>
        </w:rPr>
        <w:t>A</w:t>
      </w:r>
      <w:r w:rsidR="0040778F" w:rsidRPr="00D801B9">
        <w:rPr>
          <w:color w:val="000000"/>
          <w:sz w:val="24"/>
          <w:szCs w:val="24"/>
        </w:rPr>
        <w:t xml:space="preserve"> time series of </w:t>
      </w:r>
      <w:r w:rsidR="00B7657E" w:rsidRPr="00D801B9">
        <w:rPr>
          <w:color w:val="000000"/>
          <w:sz w:val="24"/>
          <w:szCs w:val="24"/>
        </w:rPr>
        <w:t>retained</w:t>
      </w:r>
      <w:r w:rsidR="00461105" w:rsidRPr="00D801B9">
        <w:rPr>
          <w:color w:val="000000"/>
          <w:sz w:val="24"/>
          <w:szCs w:val="24"/>
        </w:rPr>
        <w:t xml:space="preserve"> </w:t>
      </w:r>
      <w:r w:rsidR="000C15EC">
        <w:rPr>
          <w:color w:val="000000"/>
          <w:sz w:val="24"/>
          <w:szCs w:val="24"/>
        </w:rPr>
        <w:t xml:space="preserve">and total </w:t>
      </w:r>
      <w:r w:rsidR="00461105" w:rsidRPr="00D801B9">
        <w:rPr>
          <w:color w:val="000000"/>
          <w:sz w:val="24"/>
          <w:szCs w:val="24"/>
        </w:rPr>
        <w:t>catch, groundfish fishery discard mortality,</w:t>
      </w:r>
      <w:r w:rsidR="000C15EC">
        <w:rPr>
          <w:color w:val="000000"/>
          <w:sz w:val="24"/>
          <w:szCs w:val="24"/>
        </w:rPr>
        <w:t xml:space="preserve"> and pot fishery effort </w:t>
      </w:r>
      <w:r w:rsidR="00B353CB" w:rsidRPr="00D801B9">
        <w:rPr>
          <w:color w:val="000000"/>
          <w:sz w:val="24"/>
          <w:szCs w:val="24"/>
        </w:rPr>
        <w:t xml:space="preserve">(Table </w:t>
      </w:r>
      <w:r w:rsidR="002F0D9B" w:rsidRPr="00D801B9">
        <w:rPr>
          <w:color w:val="000000"/>
          <w:sz w:val="24"/>
          <w:szCs w:val="24"/>
        </w:rPr>
        <w:t>1</w:t>
      </w:r>
      <w:r w:rsidR="001F180A">
        <w:rPr>
          <w:color w:val="000000"/>
          <w:sz w:val="24"/>
          <w:szCs w:val="24"/>
        </w:rPr>
        <w:t xml:space="preserve"> for EAG and Table </w:t>
      </w:r>
      <w:r w:rsidR="00653B45">
        <w:rPr>
          <w:color w:val="000000"/>
          <w:sz w:val="24"/>
          <w:szCs w:val="24"/>
        </w:rPr>
        <w:t xml:space="preserve">12 </w:t>
      </w:r>
      <w:r w:rsidR="001F180A">
        <w:rPr>
          <w:color w:val="000000"/>
          <w:sz w:val="24"/>
          <w:szCs w:val="24"/>
        </w:rPr>
        <w:t>for WAG</w:t>
      </w:r>
      <w:r w:rsidR="00B353CB" w:rsidRPr="00D801B9">
        <w:rPr>
          <w:color w:val="000000"/>
          <w:sz w:val="24"/>
          <w:szCs w:val="24"/>
        </w:rPr>
        <w:t>).</w:t>
      </w:r>
    </w:p>
    <w:p w:rsidR="0074336E" w:rsidRPr="00D801B9" w:rsidRDefault="00D801B9" w:rsidP="00D801B9">
      <w:pPr>
        <w:pStyle w:val="BodyText"/>
        <w:spacing w:line="360" w:lineRule="auto"/>
        <w:ind w:left="720"/>
        <w:jc w:val="both"/>
        <w:rPr>
          <w:color w:val="000000"/>
          <w:sz w:val="24"/>
          <w:szCs w:val="24"/>
        </w:rPr>
      </w:pPr>
      <w:r w:rsidRPr="00D801B9">
        <w:rPr>
          <w:color w:val="000000"/>
          <w:sz w:val="24"/>
          <w:szCs w:val="24"/>
        </w:rPr>
        <w:t xml:space="preserve">b. </w:t>
      </w:r>
      <w:r w:rsidR="00461105" w:rsidRPr="00D801B9">
        <w:rPr>
          <w:color w:val="000000"/>
          <w:sz w:val="24"/>
          <w:szCs w:val="24"/>
        </w:rPr>
        <w:t xml:space="preserve">Time series of </w:t>
      </w:r>
      <w:r w:rsidR="000C15EC">
        <w:rPr>
          <w:color w:val="000000"/>
          <w:sz w:val="24"/>
          <w:szCs w:val="24"/>
        </w:rPr>
        <w:t xml:space="preserve">pot fishery and </w:t>
      </w:r>
      <w:r w:rsidR="00461105" w:rsidRPr="00D801B9">
        <w:rPr>
          <w:color w:val="000000"/>
          <w:sz w:val="24"/>
          <w:szCs w:val="24"/>
        </w:rPr>
        <w:t>o</w:t>
      </w:r>
      <w:r w:rsidR="0040778F" w:rsidRPr="00D801B9">
        <w:rPr>
          <w:color w:val="000000"/>
          <w:sz w:val="24"/>
          <w:szCs w:val="24"/>
        </w:rPr>
        <w:t xml:space="preserve">bserver </w:t>
      </w:r>
      <w:r w:rsidR="000C15EC">
        <w:rPr>
          <w:color w:val="000000"/>
          <w:sz w:val="24"/>
          <w:szCs w:val="24"/>
        </w:rPr>
        <w:t>nominal retained and total CPUE, estimated CPUE index, and nominal CPUE standardized by the CPUE index</w:t>
      </w:r>
      <w:r w:rsidR="002F0D9B" w:rsidRPr="00D801B9">
        <w:rPr>
          <w:color w:val="000000"/>
          <w:sz w:val="24"/>
          <w:szCs w:val="24"/>
        </w:rPr>
        <w:t xml:space="preserve"> (Table </w:t>
      </w:r>
      <w:r w:rsidR="00320200">
        <w:rPr>
          <w:color w:val="000000"/>
          <w:sz w:val="24"/>
          <w:szCs w:val="24"/>
        </w:rPr>
        <w:t>2</w:t>
      </w:r>
      <w:r w:rsidR="001F180A">
        <w:rPr>
          <w:color w:val="000000"/>
          <w:sz w:val="24"/>
          <w:szCs w:val="24"/>
        </w:rPr>
        <w:t xml:space="preserve"> for EAG and Table </w:t>
      </w:r>
      <w:r w:rsidR="00653B45">
        <w:rPr>
          <w:color w:val="000000"/>
          <w:sz w:val="24"/>
          <w:szCs w:val="24"/>
        </w:rPr>
        <w:t xml:space="preserve">13 </w:t>
      </w:r>
      <w:r w:rsidR="001F180A">
        <w:rPr>
          <w:color w:val="000000"/>
          <w:sz w:val="24"/>
          <w:szCs w:val="24"/>
        </w:rPr>
        <w:t>for WAG</w:t>
      </w:r>
      <w:r w:rsidR="00B353CB" w:rsidRPr="00D801B9">
        <w:rPr>
          <w:color w:val="000000"/>
          <w:sz w:val="24"/>
          <w:szCs w:val="24"/>
        </w:rPr>
        <w:t>)</w:t>
      </w:r>
      <w:r w:rsidR="0074336E" w:rsidRPr="00D801B9">
        <w:rPr>
          <w:color w:val="000000"/>
          <w:sz w:val="24"/>
          <w:szCs w:val="24"/>
        </w:rPr>
        <w:t>.</w:t>
      </w:r>
    </w:p>
    <w:p w:rsidR="0074336E" w:rsidRPr="00D801B9" w:rsidRDefault="00D801B9" w:rsidP="00D801B9">
      <w:pPr>
        <w:pStyle w:val="BodyText"/>
        <w:spacing w:line="360" w:lineRule="auto"/>
        <w:ind w:left="720"/>
        <w:jc w:val="both"/>
        <w:rPr>
          <w:color w:val="000000"/>
          <w:sz w:val="24"/>
          <w:szCs w:val="24"/>
        </w:rPr>
      </w:pPr>
      <w:r w:rsidRPr="00D801B9">
        <w:rPr>
          <w:color w:val="000000"/>
          <w:sz w:val="24"/>
          <w:szCs w:val="24"/>
        </w:rPr>
        <w:t xml:space="preserve">c. </w:t>
      </w:r>
      <w:r w:rsidR="00C560E2" w:rsidRPr="00D801B9">
        <w:rPr>
          <w:color w:val="000000"/>
          <w:sz w:val="24"/>
          <w:szCs w:val="24"/>
        </w:rPr>
        <w:t>Information on length composition</w:t>
      </w:r>
      <w:r w:rsidR="00840B75" w:rsidRPr="00D801B9">
        <w:rPr>
          <w:color w:val="000000"/>
          <w:sz w:val="24"/>
          <w:szCs w:val="24"/>
        </w:rPr>
        <w:t>s</w:t>
      </w:r>
      <w:r w:rsidR="00C560E2" w:rsidRPr="00D801B9">
        <w:rPr>
          <w:color w:val="000000"/>
          <w:sz w:val="24"/>
          <w:szCs w:val="24"/>
        </w:rPr>
        <w:t xml:space="preserve"> </w:t>
      </w:r>
      <w:r w:rsidR="00B70AEE" w:rsidRPr="00D801B9">
        <w:rPr>
          <w:color w:val="000000"/>
          <w:sz w:val="24"/>
          <w:szCs w:val="24"/>
        </w:rPr>
        <w:t>(</w:t>
      </w:r>
      <w:r w:rsidR="00A37B31" w:rsidRPr="00D801B9">
        <w:rPr>
          <w:color w:val="000000"/>
          <w:sz w:val="24"/>
          <w:szCs w:val="24"/>
        </w:rPr>
        <w:t xml:space="preserve">Figures </w:t>
      </w:r>
      <w:r w:rsidR="00320200">
        <w:rPr>
          <w:color w:val="000000"/>
          <w:sz w:val="24"/>
          <w:szCs w:val="24"/>
        </w:rPr>
        <w:t>8</w:t>
      </w:r>
      <w:r w:rsidR="00653B45">
        <w:rPr>
          <w:color w:val="000000"/>
          <w:sz w:val="24"/>
          <w:szCs w:val="24"/>
        </w:rPr>
        <w:t>a,b</w:t>
      </w:r>
      <w:r w:rsidR="00386871" w:rsidRPr="00D801B9">
        <w:rPr>
          <w:color w:val="000000"/>
          <w:sz w:val="24"/>
          <w:szCs w:val="24"/>
        </w:rPr>
        <w:t>–</w:t>
      </w:r>
      <w:r w:rsidR="00320200">
        <w:rPr>
          <w:color w:val="000000"/>
          <w:sz w:val="24"/>
          <w:szCs w:val="24"/>
        </w:rPr>
        <w:t>10</w:t>
      </w:r>
      <w:r w:rsidR="00653B45">
        <w:rPr>
          <w:color w:val="000000"/>
          <w:sz w:val="24"/>
          <w:szCs w:val="24"/>
        </w:rPr>
        <w:t>a, b</w:t>
      </w:r>
      <w:r w:rsidR="00CD54B7" w:rsidRPr="00D801B9">
        <w:rPr>
          <w:color w:val="000000"/>
          <w:sz w:val="24"/>
          <w:szCs w:val="24"/>
        </w:rPr>
        <w:t xml:space="preserve"> for EAG and </w:t>
      </w:r>
      <w:r w:rsidR="00386871" w:rsidRPr="00D801B9">
        <w:rPr>
          <w:color w:val="000000"/>
          <w:sz w:val="24"/>
          <w:szCs w:val="24"/>
        </w:rPr>
        <w:t xml:space="preserve">Figures </w:t>
      </w:r>
      <w:r w:rsidR="00320200">
        <w:rPr>
          <w:color w:val="000000"/>
          <w:sz w:val="24"/>
          <w:szCs w:val="24"/>
        </w:rPr>
        <w:t>30</w:t>
      </w:r>
      <w:r w:rsidR="00386871" w:rsidRPr="00D801B9">
        <w:rPr>
          <w:color w:val="000000"/>
          <w:sz w:val="24"/>
          <w:szCs w:val="24"/>
        </w:rPr>
        <w:t>–</w:t>
      </w:r>
      <w:r w:rsidR="00320200">
        <w:rPr>
          <w:color w:val="000000"/>
          <w:sz w:val="24"/>
          <w:szCs w:val="24"/>
        </w:rPr>
        <w:t>35</w:t>
      </w:r>
      <w:r w:rsidR="00CD54B7" w:rsidRPr="00D801B9">
        <w:rPr>
          <w:color w:val="000000"/>
          <w:sz w:val="24"/>
          <w:szCs w:val="24"/>
        </w:rPr>
        <w:t xml:space="preserve"> for WAG</w:t>
      </w:r>
      <w:r w:rsidR="00B70AEE" w:rsidRPr="00D801B9">
        <w:rPr>
          <w:color w:val="000000"/>
          <w:sz w:val="24"/>
          <w:szCs w:val="24"/>
        </w:rPr>
        <w:t>)</w:t>
      </w:r>
      <w:r w:rsidR="00840B75" w:rsidRPr="00D801B9">
        <w:rPr>
          <w:color w:val="000000"/>
          <w:sz w:val="24"/>
          <w:szCs w:val="24"/>
        </w:rPr>
        <w:t>.</w:t>
      </w:r>
    </w:p>
    <w:p w:rsidR="0074336E" w:rsidRPr="00D801B9" w:rsidRDefault="00D801B9" w:rsidP="00D801B9">
      <w:pPr>
        <w:pStyle w:val="BodyText"/>
        <w:spacing w:line="360" w:lineRule="auto"/>
        <w:ind w:left="720"/>
        <w:jc w:val="both"/>
        <w:rPr>
          <w:color w:val="000000"/>
          <w:sz w:val="24"/>
          <w:szCs w:val="24"/>
        </w:rPr>
      </w:pPr>
      <w:r w:rsidRPr="00D801B9">
        <w:rPr>
          <w:color w:val="000000"/>
          <w:sz w:val="24"/>
          <w:szCs w:val="24"/>
        </w:rPr>
        <w:t xml:space="preserve">d. </w:t>
      </w:r>
      <w:r w:rsidR="004E2E3E" w:rsidRPr="00D801B9">
        <w:rPr>
          <w:color w:val="000000"/>
          <w:sz w:val="24"/>
          <w:szCs w:val="24"/>
        </w:rPr>
        <w:t>Survey biomass estimates are not available for the area because no systematic surveys, covering the entire fishing area</w:t>
      </w:r>
      <w:r w:rsidR="00006FF7" w:rsidRPr="00D801B9">
        <w:rPr>
          <w:color w:val="000000"/>
          <w:sz w:val="24"/>
          <w:szCs w:val="24"/>
        </w:rPr>
        <w:t>, have occurred</w:t>
      </w:r>
      <w:r w:rsidR="004E2E3E" w:rsidRPr="00D801B9">
        <w:rPr>
          <w:color w:val="000000"/>
          <w:sz w:val="24"/>
          <w:szCs w:val="24"/>
        </w:rPr>
        <w:t>.</w:t>
      </w:r>
    </w:p>
    <w:p w:rsidR="00734648" w:rsidRPr="00D801B9" w:rsidRDefault="00D801B9" w:rsidP="00D801B9">
      <w:pPr>
        <w:pStyle w:val="BodyText"/>
        <w:spacing w:line="360" w:lineRule="auto"/>
        <w:ind w:left="720"/>
        <w:jc w:val="both"/>
        <w:rPr>
          <w:color w:val="000000"/>
          <w:sz w:val="24"/>
          <w:szCs w:val="24"/>
        </w:rPr>
      </w:pPr>
      <w:r>
        <w:rPr>
          <w:color w:val="000000"/>
          <w:sz w:val="24"/>
          <w:szCs w:val="24"/>
        </w:rPr>
        <w:t xml:space="preserve">f. </w:t>
      </w:r>
      <w:r w:rsidR="00734648" w:rsidRPr="00D801B9">
        <w:rPr>
          <w:color w:val="000000"/>
          <w:sz w:val="24"/>
          <w:szCs w:val="24"/>
        </w:rPr>
        <w:t>Other time series data: None.</w:t>
      </w:r>
    </w:p>
    <w:p w:rsidR="0074336E" w:rsidRPr="00D801B9" w:rsidRDefault="0074336E" w:rsidP="00D801B9">
      <w:pPr>
        <w:pStyle w:val="BodyText"/>
        <w:spacing w:line="360" w:lineRule="auto"/>
        <w:ind w:left="360"/>
        <w:jc w:val="both"/>
        <w:rPr>
          <w:color w:val="000000"/>
          <w:sz w:val="24"/>
          <w:szCs w:val="24"/>
        </w:rPr>
      </w:pPr>
      <w:r w:rsidRPr="00D801B9">
        <w:rPr>
          <w:color w:val="000000"/>
          <w:sz w:val="24"/>
          <w:szCs w:val="24"/>
        </w:rPr>
        <w:t xml:space="preserve">3. </w:t>
      </w:r>
      <w:r w:rsidR="003633E1">
        <w:rPr>
          <w:color w:val="000000"/>
          <w:sz w:val="24"/>
          <w:szCs w:val="24"/>
        </w:rPr>
        <w:t>Length-weight relationship</w:t>
      </w:r>
      <w:r w:rsidR="00B4191E" w:rsidRPr="00D801B9">
        <w:rPr>
          <w:color w:val="000000"/>
          <w:sz w:val="24"/>
          <w:szCs w:val="24"/>
        </w:rPr>
        <w:t xml:space="preserve">: </w:t>
      </w:r>
      <m:oMath>
        <m:r>
          <m:rPr>
            <m:sty m:val="p"/>
          </m:rPr>
          <w:rPr>
            <w:rFonts w:ascii="Cambria Math" w:hAnsi="Cambria Math"/>
            <w:color w:val="000000"/>
            <w:sz w:val="24"/>
            <w:szCs w:val="24"/>
          </w:rPr>
          <m:t>W=a</m:t>
        </m:r>
        <m:sSup>
          <m:sSupPr>
            <m:ctrlPr>
              <w:rPr>
                <w:rFonts w:ascii="Cambria Math" w:hAnsi="Cambria Math"/>
                <w:color w:val="000000"/>
                <w:sz w:val="24"/>
                <w:szCs w:val="24"/>
              </w:rPr>
            </m:ctrlPr>
          </m:sSupPr>
          <m:e>
            <m:r>
              <m:rPr>
                <m:sty m:val="p"/>
              </m:rPr>
              <w:rPr>
                <w:rFonts w:ascii="Cambria Math" w:hAnsi="Cambria Math"/>
                <w:color w:val="000000"/>
                <w:sz w:val="24"/>
                <w:szCs w:val="24"/>
              </w:rPr>
              <m:t>l</m:t>
            </m:r>
          </m:e>
          <m:sup>
            <m:r>
              <m:rPr>
                <m:sty m:val="p"/>
              </m:rPr>
              <w:rPr>
                <w:rFonts w:ascii="Cambria Math" w:hAnsi="Cambria Math"/>
                <w:color w:val="000000"/>
                <w:sz w:val="24"/>
                <w:szCs w:val="24"/>
              </w:rPr>
              <m:t>b</m:t>
            </m:r>
          </m:sup>
        </m:sSup>
      </m:oMath>
      <w:r w:rsidR="00B4191E" w:rsidRPr="00D801B9">
        <w:rPr>
          <w:color w:val="000000"/>
          <w:sz w:val="24"/>
          <w:szCs w:val="24"/>
        </w:rPr>
        <w:t xml:space="preserve"> where a= </w:t>
      </w:r>
      <w:r w:rsidR="00897552" w:rsidRPr="00D801B9">
        <w:rPr>
          <w:color w:val="000000"/>
          <w:sz w:val="24"/>
          <w:szCs w:val="24"/>
        </w:rPr>
        <w:t>2.988*10-4, b = 3.135.</w:t>
      </w:r>
    </w:p>
    <w:p w:rsidR="00C560E2" w:rsidRPr="00D801B9" w:rsidRDefault="00D801B9" w:rsidP="00D801B9">
      <w:pPr>
        <w:pStyle w:val="BodyText"/>
        <w:spacing w:line="360" w:lineRule="auto"/>
        <w:ind w:left="360"/>
        <w:jc w:val="both"/>
        <w:rPr>
          <w:color w:val="000000"/>
          <w:sz w:val="24"/>
          <w:szCs w:val="24"/>
        </w:rPr>
      </w:pPr>
      <w:r>
        <w:rPr>
          <w:color w:val="000000"/>
          <w:sz w:val="24"/>
          <w:szCs w:val="24"/>
        </w:rPr>
        <w:t xml:space="preserve">4. </w:t>
      </w:r>
      <w:r w:rsidR="00C560E2" w:rsidRPr="00D801B9">
        <w:rPr>
          <w:color w:val="000000"/>
          <w:sz w:val="24"/>
          <w:szCs w:val="24"/>
        </w:rPr>
        <w:t xml:space="preserve">Information on any data source available, but were excluded from the assessment: None. </w:t>
      </w:r>
    </w:p>
    <w:p w:rsidR="007E6E5A" w:rsidRDefault="007E6E5A" w:rsidP="00D835AE">
      <w:pPr>
        <w:pStyle w:val="BodyText"/>
        <w:spacing w:line="360" w:lineRule="auto"/>
        <w:ind w:left="1350"/>
        <w:jc w:val="both"/>
        <w:rPr>
          <w:sz w:val="24"/>
          <w:szCs w:val="24"/>
        </w:rPr>
      </w:pPr>
    </w:p>
    <w:p w:rsidR="00D17291" w:rsidRDefault="008D72E8" w:rsidP="006F0B75">
      <w:pPr>
        <w:pStyle w:val="BodyText"/>
        <w:spacing w:line="360" w:lineRule="auto"/>
        <w:ind w:left="360"/>
        <w:jc w:val="both"/>
        <w:rPr>
          <w:i/>
          <w:sz w:val="24"/>
          <w:szCs w:val="24"/>
        </w:rPr>
      </w:pPr>
      <w:r w:rsidRPr="008D72E8">
        <w:rPr>
          <w:i/>
          <w:sz w:val="24"/>
          <w:szCs w:val="24"/>
        </w:rPr>
        <w:lastRenderedPageBreak/>
        <w:t xml:space="preserve">Catch and CPUE data </w:t>
      </w:r>
    </w:p>
    <w:p w:rsidR="00D80D09" w:rsidRDefault="008D72E8" w:rsidP="006F0B75">
      <w:pPr>
        <w:pStyle w:val="BodyText"/>
        <w:spacing w:line="360" w:lineRule="auto"/>
        <w:ind w:left="360"/>
        <w:jc w:val="both"/>
        <w:rPr>
          <w:color w:val="000000"/>
          <w:sz w:val="24"/>
          <w:szCs w:val="24"/>
        </w:rPr>
      </w:pPr>
      <w:r w:rsidRPr="009034A6">
        <w:rPr>
          <w:color w:val="000000"/>
          <w:sz w:val="24"/>
          <w:szCs w:val="24"/>
        </w:rPr>
        <w:t>The commercial catch and length frequency distribution were estimated from Alaska Department of Fish and Game (ADF&amp;G) landing records and dockside sampling</w:t>
      </w:r>
      <w:r w:rsidR="00AF57DD">
        <w:rPr>
          <w:color w:val="000000"/>
          <w:sz w:val="24"/>
          <w:szCs w:val="24"/>
        </w:rPr>
        <w:t xml:space="preserve"> (ADF&amp;G, 2008, 2011)</w:t>
      </w:r>
      <w:r w:rsidRPr="009034A6">
        <w:rPr>
          <w:color w:val="000000"/>
          <w:sz w:val="24"/>
          <w:szCs w:val="24"/>
        </w:rPr>
        <w:t xml:space="preserve">.  </w:t>
      </w:r>
      <w:r w:rsidR="007F7F4F">
        <w:rPr>
          <w:color w:val="000000"/>
          <w:sz w:val="24"/>
          <w:szCs w:val="24"/>
        </w:rPr>
        <w:t xml:space="preserve">The annual retained catch, </w:t>
      </w:r>
      <w:r w:rsidR="00AC0562">
        <w:rPr>
          <w:color w:val="000000"/>
          <w:sz w:val="24"/>
          <w:szCs w:val="24"/>
        </w:rPr>
        <w:t xml:space="preserve">total catch, </w:t>
      </w:r>
      <w:r w:rsidR="007F7F4F">
        <w:rPr>
          <w:color w:val="000000"/>
          <w:sz w:val="24"/>
          <w:szCs w:val="24"/>
        </w:rPr>
        <w:t xml:space="preserve">groundfish discarded </w:t>
      </w:r>
      <w:r w:rsidR="00AC0562">
        <w:rPr>
          <w:color w:val="000000"/>
          <w:sz w:val="24"/>
          <w:szCs w:val="24"/>
        </w:rPr>
        <w:t>mortality are provided in Table 1</w:t>
      </w:r>
      <w:r w:rsidR="007F7F4F">
        <w:rPr>
          <w:color w:val="000000"/>
          <w:sz w:val="24"/>
          <w:szCs w:val="24"/>
        </w:rPr>
        <w:t xml:space="preserve"> for EAG and </w:t>
      </w:r>
      <w:r w:rsidR="007F7F4F" w:rsidRPr="005E5AF0">
        <w:rPr>
          <w:color w:val="000000"/>
          <w:sz w:val="24"/>
          <w:szCs w:val="24"/>
        </w:rPr>
        <w:t xml:space="preserve">Table </w:t>
      </w:r>
      <w:r w:rsidR="00653B45">
        <w:rPr>
          <w:color w:val="000000"/>
          <w:sz w:val="24"/>
          <w:szCs w:val="24"/>
        </w:rPr>
        <w:t xml:space="preserve">12 </w:t>
      </w:r>
      <w:r w:rsidR="007F7F4F">
        <w:rPr>
          <w:color w:val="000000"/>
          <w:sz w:val="24"/>
          <w:szCs w:val="24"/>
        </w:rPr>
        <w:t>for WAG. The</w:t>
      </w:r>
      <w:r w:rsidRPr="009034A6">
        <w:rPr>
          <w:color w:val="000000"/>
          <w:sz w:val="24"/>
          <w:szCs w:val="24"/>
        </w:rPr>
        <w:t xml:space="preserve"> </w:t>
      </w:r>
      <w:r w:rsidR="00646675">
        <w:rPr>
          <w:color w:val="000000"/>
          <w:sz w:val="24"/>
          <w:szCs w:val="24"/>
        </w:rPr>
        <w:t xml:space="preserve">weighted </w:t>
      </w:r>
      <w:r w:rsidRPr="009034A6">
        <w:rPr>
          <w:color w:val="000000"/>
          <w:sz w:val="24"/>
          <w:szCs w:val="24"/>
        </w:rPr>
        <w:t xml:space="preserve">length frequency data were used to distribute the catch into different </w:t>
      </w:r>
      <w:r w:rsidR="001753CA">
        <w:rPr>
          <w:color w:val="000000"/>
          <w:sz w:val="24"/>
          <w:szCs w:val="24"/>
        </w:rPr>
        <w:t>(</w:t>
      </w:r>
      <w:r w:rsidR="0063781A">
        <w:rPr>
          <w:color w:val="000000"/>
          <w:sz w:val="24"/>
          <w:szCs w:val="24"/>
        </w:rPr>
        <w:t>5-mm</w:t>
      </w:r>
      <w:r w:rsidR="001753CA">
        <w:rPr>
          <w:color w:val="000000"/>
          <w:sz w:val="24"/>
          <w:szCs w:val="24"/>
        </w:rPr>
        <w:t>)</w:t>
      </w:r>
      <w:r w:rsidR="0063781A">
        <w:rPr>
          <w:color w:val="000000"/>
          <w:sz w:val="24"/>
          <w:szCs w:val="24"/>
        </w:rPr>
        <w:t xml:space="preserve"> </w:t>
      </w:r>
      <w:r w:rsidRPr="009034A6">
        <w:rPr>
          <w:color w:val="000000"/>
          <w:sz w:val="24"/>
          <w:szCs w:val="24"/>
        </w:rPr>
        <w:t xml:space="preserve">size intervals. </w:t>
      </w:r>
      <w:r w:rsidR="00D80D09">
        <w:rPr>
          <w:color w:val="000000"/>
          <w:sz w:val="24"/>
          <w:szCs w:val="24"/>
        </w:rPr>
        <w:t xml:space="preserve">The length frequency data </w:t>
      </w:r>
      <w:r w:rsidR="00A058FA">
        <w:rPr>
          <w:color w:val="000000"/>
          <w:sz w:val="24"/>
          <w:szCs w:val="24"/>
        </w:rPr>
        <w:t xml:space="preserve">for a year </w:t>
      </w:r>
      <w:r w:rsidR="005E5AF0">
        <w:rPr>
          <w:color w:val="000000"/>
          <w:sz w:val="24"/>
          <w:szCs w:val="24"/>
        </w:rPr>
        <w:t xml:space="preserve">were weighted by </w:t>
      </w:r>
      <w:r w:rsidR="0087355B">
        <w:rPr>
          <w:color w:val="000000"/>
          <w:sz w:val="24"/>
          <w:szCs w:val="24"/>
        </w:rPr>
        <w:t xml:space="preserve">the </w:t>
      </w:r>
      <w:r w:rsidR="00A058FA">
        <w:rPr>
          <w:color w:val="000000"/>
          <w:sz w:val="24"/>
          <w:szCs w:val="24"/>
        </w:rPr>
        <w:t>sampled vessel</w:t>
      </w:r>
      <w:r w:rsidR="0087355B">
        <w:rPr>
          <w:color w:val="000000"/>
          <w:sz w:val="24"/>
          <w:szCs w:val="24"/>
        </w:rPr>
        <w:t>’s</w:t>
      </w:r>
      <w:r w:rsidR="00A058FA">
        <w:rPr>
          <w:color w:val="000000"/>
          <w:sz w:val="24"/>
          <w:szCs w:val="24"/>
        </w:rPr>
        <w:t xml:space="preserve"> </w:t>
      </w:r>
      <w:r w:rsidR="00D80D09">
        <w:rPr>
          <w:color w:val="000000"/>
          <w:sz w:val="24"/>
          <w:szCs w:val="24"/>
        </w:rPr>
        <w:t>catch</w:t>
      </w:r>
      <w:r w:rsidR="00A058FA">
        <w:rPr>
          <w:color w:val="000000"/>
          <w:sz w:val="24"/>
          <w:szCs w:val="24"/>
        </w:rPr>
        <w:t xml:space="preserve"> as follows. The </w:t>
      </w:r>
      <w:r w:rsidR="00A058FA" w:rsidRPr="006F0B75">
        <w:rPr>
          <w:i/>
          <w:color w:val="000000"/>
          <w:sz w:val="24"/>
          <w:szCs w:val="24"/>
        </w:rPr>
        <w:t>i</w:t>
      </w:r>
      <w:r w:rsidR="00A058FA">
        <w:rPr>
          <w:color w:val="000000"/>
          <w:sz w:val="24"/>
          <w:szCs w:val="24"/>
        </w:rPr>
        <w:t>-th length-class frequency was estimated as:</w:t>
      </w:r>
    </w:p>
    <w:p w:rsidR="00DF2A74" w:rsidRDefault="00DF2A74" w:rsidP="006F0B75">
      <w:pPr>
        <w:pStyle w:val="BodyText"/>
        <w:spacing w:line="360" w:lineRule="auto"/>
        <w:ind w:left="360"/>
        <w:jc w:val="both"/>
        <w:rPr>
          <w:color w:val="000000"/>
          <w:sz w:val="24"/>
          <w:szCs w:val="24"/>
        </w:rPr>
      </w:pPr>
    </w:p>
    <w:p w:rsidR="00D80D09" w:rsidRDefault="00D80D09" w:rsidP="006F0B75">
      <w:pPr>
        <w:pStyle w:val="BodyText"/>
        <w:spacing w:line="360" w:lineRule="auto"/>
        <w:ind w:left="360"/>
        <w:jc w:val="both"/>
        <w:rPr>
          <w:color w:val="000000"/>
          <w:sz w:val="24"/>
          <w:szCs w:val="24"/>
        </w:rPr>
      </w:pPr>
      <w:r>
        <w:rPr>
          <w:color w:val="000000"/>
          <w:sz w:val="24"/>
          <w:szCs w:val="24"/>
        </w:rPr>
        <w:t xml:space="preserve">  </w:t>
      </w:r>
      <m:oMath>
        <m:nary>
          <m:naryPr>
            <m:chr m:val="∑"/>
            <m:limLoc m:val="subSup"/>
            <m:ctrlPr>
              <w:rPr>
                <w:rFonts w:ascii="Cambria Math" w:hAnsi="Cambria Math"/>
                <w:i/>
                <w:color w:val="000000"/>
                <w:sz w:val="24"/>
                <w:szCs w:val="24"/>
              </w:rPr>
            </m:ctrlPr>
          </m:naryPr>
          <m:sub>
            <m:r>
              <w:rPr>
                <w:rFonts w:ascii="Cambria Math" w:hAnsi="Cambria Math"/>
                <w:color w:val="000000"/>
                <w:sz w:val="24"/>
                <w:szCs w:val="24"/>
              </w:rPr>
              <m:t>j=1</m:t>
            </m:r>
          </m:sub>
          <m:sup>
            <m:r>
              <w:rPr>
                <w:rFonts w:ascii="Cambria Math" w:hAnsi="Cambria Math"/>
                <w:color w:val="000000"/>
                <w:sz w:val="24"/>
                <w:szCs w:val="24"/>
              </w:rPr>
              <m:t>k</m:t>
            </m:r>
          </m:sup>
          <m:e>
            <m:sSub>
              <m:sSubPr>
                <m:ctrlPr>
                  <w:rPr>
                    <w:rFonts w:ascii="Cambria Math" w:hAnsi="Cambria Math"/>
                    <w:i/>
                    <w:color w:val="000000"/>
                    <w:sz w:val="24"/>
                    <w:szCs w:val="24"/>
                  </w:rPr>
                </m:ctrlPr>
              </m:sSubPr>
              <m:e>
                <m:r>
                  <w:rPr>
                    <w:rFonts w:ascii="Cambria Math" w:hAnsi="Cambria Math"/>
                    <w:color w:val="000000"/>
                    <w:sz w:val="24"/>
                    <w:szCs w:val="24"/>
                  </w:rPr>
                  <m:t>C</m:t>
                </m:r>
              </m:e>
              <m:sub>
                <m:r>
                  <w:rPr>
                    <w:rFonts w:ascii="Cambria Math" w:hAnsi="Cambria Math"/>
                    <w:color w:val="000000"/>
                    <w:sz w:val="24"/>
                    <w:szCs w:val="24"/>
                  </w:rPr>
                  <m:t>j</m:t>
                </m:r>
              </m:sub>
            </m:sSub>
          </m:e>
        </m:nary>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rPr>
                  <m:t>LFQ</m:t>
                </m:r>
              </m:e>
              <m:sub>
                <m:r>
                  <w:rPr>
                    <w:rFonts w:ascii="Cambria Math" w:hAnsi="Cambria Math"/>
                    <w:color w:val="000000"/>
                    <w:sz w:val="24"/>
                    <w:szCs w:val="24"/>
                  </w:rPr>
                  <m:t>j,i</m:t>
                </m:r>
              </m:sub>
            </m:sSub>
          </m:num>
          <m:den>
            <m:nary>
              <m:naryPr>
                <m:chr m:val="∑"/>
                <m:limLoc m:val="undOvr"/>
                <m:ctrlPr>
                  <w:rPr>
                    <w:rFonts w:ascii="Cambria Math" w:hAnsi="Cambria Math"/>
                    <w:i/>
                    <w:color w:val="000000"/>
                    <w:sz w:val="24"/>
                    <w:szCs w:val="24"/>
                  </w:rPr>
                </m:ctrlPr>
              </m:naryPr>
              <m:sub>
                <m:r>
                  <w:rPr>
                    <w:rFonts w:ascii="Cambria Math" w:hAnsi="Cambria Math"/>
                    <w:color w:val="000000"/>
                    <w:sz w:val="24"/>
                    <w:szCs w:val="24"/>
                  </w:rPr>
                  <m:t>i=1</m:t>
                </m:r>
              </m:sub>
              <m:sup>
                <m:r>
                  <w:rPr>
                    <w:rFonts w:ascii="Cambria Math" w:hAnsi="Cambria Math"/>
                    <w:color w:val="000000"/>
                    <w:sz w:val="24"/>
                    <w:szCs w:val="24"/>
                  </w:rPr>
                  <m:t>n</m:t>
                </m:r>
              </m:sup>
              <m:e>
                <m:sSub>
                  <m:sSubPr>
                    <m:ctrlPr>
                      <w:rPr>
                        <w:rFonts w:ascii="Cambria Math" w:hAnsi="Cambria Math"/>
                        <w:i/>
                        <w:color w:val="000000"/>
                        <w:sz w:val="24"/>
                        <w:szCs w:val="24"/>
                      </w:rPr>
                    </m:ctrlPr>
                  </m:sSubPr>
                  <m:e>
                    <m:r>
                      <w:rPr>
                        <w:rFonts w:ascii="Cambria Math" w:hAnsi="Cambria Math"/>
                        <w:color w:val="000000"/>
                        <w:sz w:val="24"/>
                        <w:szCs w:val="24"/>
                      </w:rPr>
                      <m:t>LFQ</m:t>
                    </m:r>
                  </m:e>
                  <m:sub>
                    <m:r>
                      <w:rPr>
                        <w:rFonts w:ascii="Cambria Math" w:hAnsi="Cambria Math"/>
                        <w:color w:val="000000"/>
                        <w:sz w:val="24"/>
                        <w:szCs w:val="24"/>
                      </w:rPr>
                      <m:t>j,i</m:t>
                    </m:r>
                  </m:sub>
                </m:sSub>
              </m:e>
            </m:nary>
          </m:den>
        </m:f>
      </m:oMath>
      <w:r>
        <w:rPr>
          <w:color w:val="000000"/>
          <w:sz w:val="24"/>
          <w:szCs w:val="24"/>
        </w:rPr>
        <w:t xml:space="preserve"> </w:t>
      </w:r>
      <w:r w:rsidR="00A058FA">
        <w:rPr>
          <w:color w:val="000000"/>
          <w:sz w:val="24"/>
          <w:szCs w:val="24"/>
        </w:rPr>
        <w:t xml:space="preserve">                                            </w:t>
      </w:r>
      <w:r w:rsidR="00A058FA">
        <w:rPr>
          <w:color w:val="000000"/>
          <w:sz w:val="24"/>
          <w:szCs w:val="24"/>
        </w:rPr>
        <w:tab/>
      </w:r>
      <w:r w:rsidR="00A058FA">
        <w:rPr>
          <w:color w:val="000000"/>
          <w:sz w:val="24"/>
          <w:szCs w:val="24"/>
        </w:rPr>
        <w:tab/>
      </w:r>
      <w:r w:rsidR="00A058FA">
        <w:rPr>
          <w:color w:val="000000"/>
          <w:sz w:val="24"/>
          <w:szCs w:val="24"/>
        </w:rPr>
        <w:tab/>
      </w:r>
      <w:r w:rsidR="00A058FA">
        <w:rPr>
          <w:color w:val="000000"/>
          <w:sz w:val="24"/>
          <w:szCs w:val="24"/>
        </w:rPr>
        <w:tab/>
        <w:t>(1)</w:t>
      </w:r>
    </w:p>
    <w:p w:rsidR="00DF2A74" w:rsidRDefault="00DF2A74" w:rsidP="006F0B75">
      <w:pPr>
        <w:pStyle w:val="BodyText"/>
        <w:spacing w:line="360" w:lineRule="auto"/>
        <w:ind w:left="360"/>
        <w:jc w:val="both"/>
        <w:rPr>
          <w:color w:val="000000"/>
          <w:sz w:val="24"/>
          <w:szCs w:val="24"/>
        </w:rPr>
      </w:pPr>
    </w:p>
    <w:p w:rsidR="00D80D09" w:rsidRDefault="00A058FA" w:rsidP="006F0B75">
      <w:pPr>
        <w:pStyle w:val="BodyText"/>
        <w:spacing w:line="360" w:lineRule="auto"/>
        <w:ind w:left="360"/>
        <w:jc w:val="both"/>
        <w:rPr>
          <w:color w:val="000000"/>
          <w:sz w:val="24"/>
          <w:szCs w:val="24"/>
        </w:rPr>
      </w:pPr>
      <w:r>
        <w:rPr>
          <w:color w:val="000000"/>
          <w:sz w:val="24"/>
          <w:szCs w:val="24"/>
        </w:rPr>
        <w:t xml:space="preserve">where </w:t>
      </w:r>
      <w:r w:rsidRPr="006F0B75">
        <w:rPr>
          <w:i/>
          <w:color w:val="000000"/>
          <w:sz w:val="24"/>
          <w:szCs w:val="24"/>
        </w:rPr>
        <w:t>k</w:t>
      </w:r>
      <w:r>
        <w:rPr>
          <w:color w:val="000000"/>
          <w:sz w:val="24"/>
          <w:szCs w:val="24"/>
        </w:rPr>
        <w:t xml:space="preserve"> = number of sampled vessels in an year; LFQ</w:t>
      </w:r>
      <w:r>
        <w:rPr>
          <w:color w:val="000000"/>
          <w:sz w:val="24"/>
          <w:szCs w:val="24"/>
          <w:vertAlign w:val="subscript"/>
        </w:rPr>
        <w:t>j,i</w:t>
      </w:r>
      <w:r>
        <w:rPr>
          <w:color w:val="000000"/>
          <w:sz w:val="24"/>
          <w:szCs w:val="24"/>
        </w:rPr>
        <w:t xml:space="preserve"> = number of crabs in the </w:t>
      </w:r>
      <w:r w:rsidRPr="006F0B75">
        <w:rPr>
          <w:i/>
          <w:color w:val="000000"/>
          <w:sz w:val="24"/>
          <w:szCs w:val="24"/>
        </w:rPr>
        <w:t>i</w:t>
      </w:r>
      <w:r>
        <w:rPr>
          <w:color w:val="000000"/>
          <w:sz w:val="24"/>
          <w:szCs w:val="24"/>
        </w:rPr>
        <w:t xml:space="preserve">-th length-class in the sample from </w:t>
      </w:r>
      <w:r w:rsidRPr="006F0B75">
        <w:rPr>
          <w:i/>
          <w:color w:val="000000"/>
          <w:sz w:val="24"/>
          <w:szCs w:val="24"/>
        </w:rPr>
        <w:t>j</w:t>
      </w:r>
      <w:r>
        <w:rPr>
          <w:color w:val="000000"/>
          <w:sz w:val="24"/>
          <w:szCs w:val="24"/>
        </w:rPr>
        <w:t xml:space="preserve">-th vessel. </w:t>
      </w:r>
      <w:r w:rsidR="001649E9">
        <w:rPr>
          <w:color w:val="000000"/>
          <w:sz w:val="24"/>
          <w:szCs w:val="24"/>
        </w:rPr>
        <w:t>C</w:t>
      </w:r>
      <w:r w:rsidR="001649E9" w:rsidRPr="001649E9">
        <w:rPr>
          <w:color w:val="000000"/>
          <w:sz w:val="24"/>
          <w:szCs w:val="24"/>
          <w:vertAlign w:val="subscript"/>
        </w:rPr>
        <w:t xml:space="preserve">j </w:t>
      </w:r>
      <w:r w:rsidR="001649E9">
        <w:rPr>
          <w:color w:val="000000"/>
          <w:sz w:val="24"/>
          <w:szCs w:val="24"/>
        </w:rPr>
        <w:t xml:space="preserve">= number of crabs caught by </w:t>
      </w:r>
      <w:r w:rsidR="001649E9" w:rsidRPr="006F0B75">
        <w:rPr>
          <w:i/>
          <w:color w:val="000000"/>
          <w:sz w:val="24"/>
          <w:szCs w:val="24"/>
        </w:rPr>
        <w:t>j</w:t>
      </w:r>
      <w:r w:rsidR="001649E9">
        <w:rPr>
          <w:color w:val="000000"/>
          <w:sz w:val="24"/>
          <w:szCs w:val="24"/>
        </w:rPr>
        <w:t xml:space="preserve">-th vessel. Then the relative frequency for the year was calculated and applied to the </w:t>
      </w:r>
      <w:r w:rsidR="0087355B">
        <w:rPr>
          <w:color w:val="000000"/>
          <w:sz w:val="24"/>
          <w:szCs w:val="24"/>
        </w:rPr>
        <w:t xml:space="preserve">annual </w:t>
      </w:r>
      <w:r w:rsidR="00AC0562">
        <w:rPr>
          <w:color w:val="000000"/>
          <w:sz w:val="24"/>
          <w:szCs w:val="24"/>
        </w:rPr>
        <w:t>retained</w:t>
      </w:r>
      <w:r w:rsidR="0087355B">
        <w:rPr>
          <w:color w:val="000000"/>
          <w:sz w:val="24"/>
          <w:szCs w:val="24"/>
        </w:rPr>
        <w:t xml:space="preserve"> </w:t>
      </w:r>
      <w:r w:rsidR="001649E9">
        <w:rPr>
          <w:color w:val="000000"/>
          <w:sz w:val="24"/>
          <w:szCs w:val="24"/>
        </w:rPr>
        <w:t>catch (in number</w:t>
      </w:r>
      <w:r w:rsidR="00670BA0">
        <w:rPr>
          <w:color w:val="000000"/>
          <w:sz w:val="24"/>
          <w:szCs w:val="24"/>
        </w:rPr>
        <w:t xml:space="preserve"> of crab</w:t>
      </w:r>
      <w:r w:rsidR="001649E9">
        <w:rPr>
          <w:color w:val="000000"/>
          <w:sz w:val="24"/>
          <w:szCs w:val="24"/>
        </w:rPr>
        <w:t>s) to obtain the catch by l</w:t>
      </w:r>
      <w:r w:rsidR="00670BA0">
        <w:rPr>
          <w:color w:val="000000"/>
          <w:sz w:val="24"/>
          <w:szCs w:val="24"/>
        </w:rPr>
        <w:t>ength-</w:t>
      </w:r>
      <w:r w:rsidR="0087355B">
        <w:rPr>
          <w:color w:val="000000"/>
          <w:sz w:val="24"/>
          <w:szCs w:val="24"/>
        </w:rPr>
        <w:t>class</w:t>
      </w:r>
      <w:r w:rsidR="001649E9">
        <w:rPr>
          <w:color w:val="000000"/>
          <w:sz w:val="24"/>
          <w:szCs w:val="24"/>
        </w:rPr>
        <w:t>.</w:t>
      </w:r>
    </w:p>
    <w:p w:rsidR="0013753A" w:rsidRDefault="0013753A" w:rsidP="006F0B75">
      <w:pPr>
        <w:pStyle w:val="BodyText"/>
        <w:spacing w:line="360" w:lineRule="auto"/>
        <w:ind w:left="360"/>
        <w:jc w:val="both"/>
        <w:rPr>
          <w:color w:val="000000"/>
          <w:sz w:val="24"/>
          <w:szCs w:val="24"/>
        </w:rPr>
      </w:pPr>
    </w:p>
    <w:p w:rsidR="00646675" w:rsidRDefault="008D72E8" w:rsidP="00646675">
      <w:pPr>
        <w:pStyle w:val="BodyText"/>
        <w:spacing w:line="360" w:lineRule="auto"/>
        <w:ind w:left="360"/>
        <w:jc w:val="both"/>
        <w:rPr>
          <w:color w:val="000000"/>
          <w:sz w:val="24"/>
          <w:szCs w:val="24"/>
        </w:rPr>
      </w:pPr>
      <w:r w:rsidRPr="009034A6">
        <w:rPr>
          <w:color w:val="000000"/>
          <w:sz w:val="24"/>
          <w:szCs w:val="24"/>
        </w:rPr>
        <w:t xml:space="preserve">The </w:t>
      </w:r>
      <w:r w:rsidR="0087355B">
        <w:rPr>
          <w:color w:val="000000"/>
          <w:sz w:val="24"/>
          <w:szCs w:val="24"/>
        </w:rPr>
        <w:t xml:space="preserve">annual </w:t>
      </w:r>
      <w:r w:rsidR="00AC0562">
        <w:rPr>
          <w:color w:val="000000"/>
          <w:sz w:val="24"/>
          <w:szCs w:val="24"/>
        </w:rPr>
        <w:t>total</w:t>
      </w:r>
      <w:r w:rsidRPr="009034A6">
        <w:rPr>
          <w:color w:val="000000"/>
          <w:sz w:val="24"/>
          <w:szCs w:val="24"/>
        </w:rPr>
        <w:t xml:space="preserve"> </w:t>
      </w:r>
      <w:r w:rsidR="00646675">
        <w:rPr>
          <w:color w:val="000000"/>
          <w:sz w:val="24"/>
          <w:szCs w:val="24"/>
        </w:rPr>
        <w:t xml:space="preserve">catch (in number of crabs) </w:t>
      </w:r>
      <w:r w:rsidR="0013753A">
        <w:rPr>
          <w:color w:val="000000"/>
          <w:sz w:val="24"/>
          <w:szCs w:val="24"/>
        </w:rPr>
        <w:t xml:space="preserve">was estimated by the observer nominal total CPUE multiplied by the total effort (number of pot lifts). The weighted relative length frequency distribution </w:t>
      </w:r>
      <w:r w:rsidR="00646675">
        <w:rPr>
          <w:color w:val="000000"/>
          <w:sz w:val="24"/>
          <w:szCs w:val="24"/>
        </w:rPr>
        <w:t xml:space="preserve">of the observer samples </w:t>
      </w:r>
      <w:r w:rsidR="0013753A">
        <w:rPr>
          <w:color w:val="000000"/>
          <w:sz w:val="24"/>
          <w:szCs w:val="24"/>
        </w:rPr>
        <w:t>was estimated using equation (1).  Ob</w:t>
      </w:r>
      <w:r w:rsidR="0055096B">
        <w:rPr>
          <w:color w:val="000000"/>
          <w:sz w:val="24"/>
          <w:szCs w:val="24"/>
        </w:rPr>
        <w:t xml:space="preserve">server </w:t>
      </w:r>
      <w:r w:rsidR="0013753A">
        <w:rPr>
          <w:color w:val="000000"/>
          <w:sz w:val="24"/>
          <w:szCs w:val="24"/>
        </w:rPr>
        <w:t xml:space="preserve">measurement of crab ranges from 20 to 220 mm CL. </w:t>
      </w:r>
      <w:r w:rsidR="003B0CCC">
        <w:rPr>
          <w:color w:val="000000"/>
          <w:sz w:val="24"/>
          <w:szCs w:val="24"/>
        </w:rPr>
        <w:t>To restrict the total number of crabs to the model assumed size range (</w:t>
      </w:r>
      <w:r w:rsidR="00653B45">
        <w:rPr>
          <w:color w:val="000000"/>
          <w:sz w:val="24"/>
          <w:szCs w:val="24"/>
        </w:rPr>
        <w:t>101</w:t>
      </w:r>
      <w:r w:rsidR="003B0CCC">
        <w:rPr>
          <w:color w:val="000000"/>
          <w:sz w:val="24"/>
          <w:szCs w:val="24"/>
        </w:rPr>
        <w:t>-</w:t>
      </w:r>
      <w:r w:rsidR="00561D54">
        <w:rPr>
          <w:color w:val="000000"/>
          <w:sz w:val="24"/>
          <w:szCs w:val="24"/>
        </w:rPr>
        <w:t xml:space="preserve">185 </w:t>
      </w:r>
      <w:r w:rsidR="003B0CCC">
        <w:rPr>
          <w:color w:val="000000"/>
          <w:sz w:val="24"/>
          <w:szCs w:val="24"/>
        </w:rPr>
        <w:t xml:space="preserve">mm CL), the proportion of observer total relative length frequency corresponds to this size range was used to multiply the total </w:t>
      </w:r>
      <w:r w:rsidR="00561D54">
        <w:rPr>
          <w:color w:val="000000"/>
          <w:sz w:val="24"/>
          <w:szCs w:val="24"/>
        </w:rPr>
        <w:t>catch (</w:t>
      </w:r>
      <w:r w:rsidR="003B0CCC">
        <w:rPr>
          <w:color w:val="000000"/>
          <w:sz w:val="24"/>
          <w:szCs w:val="24"/>
        </w:rPr>
        <w:t>number of crabs</w:t>
      </w:r>
      <w:r w:rsidR="00561D54">
        <w:rPr>
          <w:color w:val="000000"/>
          <w:sz w:val="24"/>
          <w:szCs w:val="24"/>
        </w:rPr>
        <w:t>)</w:t>
      </w:r>
      <w:r w:rsidR="003B0CCC">
        <w:rPr>
          <w:color w:val="000000"/>
          <w:sz w:val="24"/>
          <w:szCs w:val="24"/>
        </w:rPr>
        <w:t>. This total number of crabs was distributed i</w:t>
      </w:r>
      <w:r w:rsidR="00646675">
        <w:rPr>
          <w:color w:val="000000"/>
          <w:sz w:val="24"/>
          <w:szCs w:val="24"/>
        </w:rPr>
        <w:t>nto length-class</w:t>
      </w:r>
      <w:r w:rsidR="003B0CCC">
        <w:rPr>
          <w:color w:val="000000"/>
          <w:sz w:val="24"/>
          <w:szCs w:val="24"/>
        </w:rPr>
        <w:t xml:space="preserve"> </w:t>
      </w:r>
      <w:r w:rsidR="0055096B">
        <w:rPr>
          <w:color w:val="000000"/>
          <w:sz w:val="24"/>
          <w:szCs w:val="24"/>
        </w:rPr>
        <w:t>using the weighted relative length frequency.</w:t>
      </w:r>
      <w:r w:rsidR="003B0CCC">
        <w:rPr>
          <w:color w:val="000000"/>
          <w:sz w:val="24"/>
          <w:szCs w:val="24"/>
        </w:rPr>
        <w:t xml:space="preserve"> </w:t>
      </w:r>
      <w:r w:rsidR="0055096B">
        <w:rPr>
          <w:color w:val="000000"/>
          <w:sz w:val="24"/>
          <w:szCs w:val="24"/>
        </w:rPr>
        <w:t xml:space="preserve"> </w:t>
      </w:r>
      <w:r w:rsidR="00561D54">
        <w:rPr>
          <w:color w:val="000000"/>
          <w:sz w:val="24"/>
          <w:szCs w:val="24"/>
        </w:rPr>
        <w:t xml:space="preserve">The size range was further restricted to 101-170+ mm CL for modeling purpose because groundfish bycatch data have a number of zero entries at the 171-185 mm CL range.  </w:t>
      </w:r>
      <w:r w:rsidR="0055096B">
        <w:rPr>
          <w:color w:val="000000"/>
          <w:sz w:val="24"/>
          <w:szCs w:val="24"/>
        </w:rPr>
        <w:t xml:space="preserve">Note that the total crab catch by size that went into the model did not consider retained and discard components separately. However, once the model estimated the annual total catch, then retained catch can be deducted from this total and multiplied by an appropriate handling mortality (we used </w:t>
      </w:r>
      <w:r w:rsidR="00646675" w:rsidRPr="009034A6">
        <w:rPr>
          <w:color w:val="000000"/>
          <w:sz w:val="24"/>
          <w:szCs w:val="24"/>
        </w:rPr>
        <w:t xml:space="preserve">a 20% handling </w:t>
      </w:r>
      <w:r w:rsidR="00FD4E1E">
        <w:rPr>
          <w:color w:val="000000"/>
          <w:sz w:val="24"/>
          <w:szCs w:val="24"/>
        </w:rPr>
        <w:t xml:space="preserve"> mortality </w:t>
      </w:r>
      <w:r w:rsidR="00646675">
        <w:rPr>
          <w:sz w:val="24"/>
          <w:szCs w:val="24"/>
        </w:rPr>
        <w:t xml:space="preserve">(Siddeek et al., </w:t>
      </w:r>
      <w:r w:rsidR="00646675" w:rsidRPr="001B059E">
        <w:rPr>
          <w:sz w:val="24"/>
          <w:szCs w:val="24"/>
        </w:rPr>
        <w:t>200</w:t>
      </w:r>
      <w:r w:rsidR="00646675">
        <w:rPr>
          <w:sz w:val="24"/>
          <w:szCs w:val="24"/>
        </w:rPr>
        <w:t>5</w:t>
      </w:r>
      <w:r w:rsidR="00646675" w:rsidRPr="009034A6">
        <w:rPr>
          <w:sz w:val="24"/>
          <w:szCs w:val="24"/>
        </w:rPr>
        <w:t>)</w:t>
      </w:r>
      <w:r w:rsidR="00646675">
        <w:rPr>
          <w:sz w:val="24"/>
          <w:szCs w:val="24"/>
        </w:rPr>
        <w:t>)</w:t>
      </w:r>
      <w:r w:rsidR="003E0B87">
        <w:rPr>
          <w:sz w:val="24"/>
          <w:szCs w:val="24"/>
        </w:rPr>
        <w:t xml:space="preserve"> </w:t>
      </w:r>
      <w:r w:rsidR="00646675" w:rsidRPr="009034A6">
        <w:rPr>
          <w:color w:val="000000"/>
          <w:sz w:val="24"/>
          <w:szCs w:val="24"/>
        </w:rPr>
        <w:t xml:space="preserve">to obtain the </w:t>
      </w:r>
      <w:r w:rsidR="00646675">
        <w:rPr>
          <w:color w:val="000000"/>
          <w:sz w:val="24"/>
          <w:szCs w:val="24"/>
        </w:rPr>
        <w:t>discarded</w:t>
      </w:r>
      <w:r w:rsidR="00646675" w:rsidRPr="009034A6">
        <w:rPr>
          <w:color w:val="000000"/>
          <w:sz w:val="24"/>
          <w:szCs w:val="24"/>
        </w:rPr>
        <w:t xml:space="preserve"> (dead) catch.  </w:t>
      </w:r>
    </w:p>
    <w:p w:rsidR="00646675" w:rsidRDefault="00646675" w:rsidP="006F0B75">
      <w:pPr>
        <w:pStyle w:val="BodyText"/>
        <w:spacing w:line="360" w:lineRule="auto"/>
        <w:ind w:left="360"/>
        <w:jc w:val="both"/>
        <w:rPr>
          <w:color w:val="000000"/>
          <w:sz w:val="24"/>
          <w:szCs w:val="24"/>
        </w:rPr>
      </w:pPr>
    </w:p>
    <w:p w:rsidR="00E95E23" w:rsidRDefault="008D72E8" w:rsidP="006F0B75">
      <w:pPr>
        <w:pStyle w:val="BodyText"/>
        <w:spacing w:line="360" w:lineRule="auto"/>
        <w:ind w:left="360"/>
        <w:jc w:val="both"/>
        <w:rPr>
          <w:sz w:val="24"/>
          <w:szCs w:val="24"/>
        </w:rPr>
      </w:pPr>
      <w:r w:rsidRPr="009034A6">
        <w:rPr>
          <w:sz w:val="24"/>
          <w:szCs w:val="24"/>
        </w:rPr>
        <w:lastRenderedPageBreak/>
        <w:t>Observer data have been collected since 1988</w:t>
      </w:r>
      <w:r w:rsidR="00D835AE">
        <w:rPr>
          <w:sz w:val="24"/>
          <w:szCs w:val="24"/>
        </w:rPr>
        <w:t xml:space="preserve"> (</w:t>
      </w:r>
      <w:r w:rsidR="002A0297" w:rsidRPr="001F083A">
        <w:t>Moore</w:t>
      </w:r>
      <w:r w:rsidR="002A0297">
        <w:t xml:space="preserve"> et al.,</w:t>
      </w:r>
      <w:r w:rsidR="002A0297" w:rsidRPr="001F083A">
        <w:t xml:space="preserve"> 2000</w:t>
      </w:r>
      <w:r w:rsidR="002A0297">
        <w:t xml:space="preserve">; </w:t>
      </w:r>
      <w:r w:rsidR="00AF57DD" w:rsidRPr="001F083A">
        <w:t>Barnard</w:t>
      </w:r>
      <w:r w:rsidR="00AF57DD">
        <w:t xml:space="preserve"> et al.,</w:t>
      </w:r>
      <w:r w:rsidR="00AF57DD" w:rsidRPr="001F083A">
        <w:t xml:space="preserve"> 2001</w:t>
      </w:r>
      <w:r w:rsidR="00AF57DD">
        <w:t xml:space="preserve">; Barnard and Burt, 2004; </w:t>
      </w:r>
      <w:r w:rsidR="00D835AE">
        <w:rPr>
          <w:sz w:val="24"/>
          <w:szCs w:val="24"/>
        </w:rPr>
        <w:t>Gaeuman, 2011),</w:t>
      </w:r>
      <w:r w:rsidRPr="009034A6">
        <w:rPr>
          <w:sz w:val="24"/>
          <w:szCs w:val="24"/>
        </w:rPr>
        <w:t xml:space="preserve"> but initial years’ data are not comprehensive, so a shorter time series of data for the period 1990</w:t>
      </w:r>
      <w:r w:rsidR="00DF2A74">
        <w:rPr>
          <w:sz w:val="24"/>
          <w:szCs w:val="24"/>
        </w:rPr>
        <w:t>–</w:t>
      </w:r>
      <w:r w:rsidRPr="009034A6">
        <w:rPr>
          <w:sz w:val="24"/>
          <w:szCs w:val="24"/>
        </w:rPr>
        <w:t>20</w:t>
      </w:r>
      <w:r>
        <w:rPr>
          <w:sz w:val="24"/>
          <w:szCs w:val="24"/>
        </w:rPr>
        <w:t>1</w:t>
      </w:r>
      <w:r w:rsidR="00584659">
        <w:rPr>
          <w:sz w:val="24"/>
          <w:szCs w:val="24"/>
        </w:rPr>
        <w:t>2</w:t>
      </w:r>
      <w:r w:rsidRPr="009034A6">
        <w:rPr>
          <w:sz w:val="24"/>
          <w:szCs w:val="24"/>
        </w:rPr>
        <w:t xml:space="preserve"> was selected for this analysis. </w:t>
      </w:r>
      <w:r>
        <w:rPr>
          <w:sz w:val="24"/>
          <w:szCs w:val="24"/>
        </w:rPr>
        <w:t>O</w:t>
      </w:r>
      <w:r w:rsidR="00BA508D">
        <w:rPr>
          <w:sz w:val="24"/>
          <w:szCs w:val="24"/>
        </w:rPr>
        <w:t>nboard o</w:t>
      </w:r>
      <w:r>
        <w:rPr>
          <w:sz w:val="24"/>
          <w:szCs w:val="24"/>
        </w:rPr>
        <w:t>bservers count and measure entire sampled pot content of crabs and categorize it into number of females, sublegal males, retained legal males, and non-retained legal males.</w:t>
      </w:r>
      <w:r w:rsidR="00BA508D">
        <w:rPr>
          <w:sz w:val="24"/>
          <w:szCs w:val="24"/>
        </w:rPr>
        <w:t xml:space="preserve"> Annual </w:t>
      </w:r>
      <w:r w:rsidR="0063781A">
        <w:rPr>
          <w:sz w:val="24"/>
          <w:szCs w:val="24"/>
        </w:rPr>
        <w:t xml:space="preserve">mean </w:t>
      </w:r>
      <w:r w:rsidR="00C552AA">
        <w:rPr>
          <w:sz w:val="24"/>
          <w:szCs w:val="24"/>
        </w:rPr>
        <w:t xml:space="preserve">nominal </w:t>
      </w:r>
      <w:r w:rsidR="00BA508D">
        <w:rPr>
          <w:sz w:val="24"/>
          <w:szCs w:val="24"/>
        </w:rPr>
        <w:t>CPUE</w:t>
      </w:r>
      <w:r w:rsidR="0063781A">
        <w:rPr>
          <w:sz w:val="24"/>
          <w:szCs w:val="24"/>
        </w:rPr>
        <w:t xml:space="preserve"> of </w:t>
      </w:r>
      <w:r w:rsidR="00D47482">
        <w:rPr>
          <w:sz w:val="24"/>
          <w:szCs w:val="24"/>
        </w:rPr>
        <w:t>retained and total</w:t>
      </w:r>
      <w:r w:rsidR="0063781A">
        <w:rPr>
          <w:sz w:val="24"/>
          <w:szCs w:val="24"/>
        </w:rPr>
        <w:t xml:space="preserve"> crabs were estimated considering the whole season’s record</w:t>
      </w:r>
      <w:r w:rsidR="00D921AC">
        <w:rPr>
          <w:sz w:val="24"/>
          <w:szCs w:val="24"/>
        </w:rPr>
        <w:t>s</w:t>
      </w:r>
      <w:r w:rsidR="0063781A">
        <w:rPr>
          <w:sz w:val="24"/>
          <w:szCs w:val="24"/>
        </w:rPr>
        <w:t xml:space="preserve"> of sampled pots</w:t>
      </w:r>
      <w:r w:rsidR="00D47482">
        <w:rPr>
          <w:sz w:val="24"/>
          <w:szCs w:val="24"/>
        </w:rPr>
        <w:t xml:space="preserve"> (Tables 2</w:t>
      </w:r>
      <w:r w:rsidR="0087355B">
        <w:rPr>
          <w:sz w:val="24"/>
          <w:szCs w:val="24"/>
        </w:rPr>
        <w:t xml:space="preserve"> and </w:t>
      </w:r>
      <w:r w:rsidR="00E34475">
        <w:rPr>
          <w:sz w:val="24"/>
          <w:szCs w:val="24"/>
        </w:rPr>
        <w:t>13</w:t>
      </w:r>
      <w:r w:rsidR="009A63C1">
        <w:rPr>
          <w:sz w:val="24"/>
          <w:szCs w:val="24"/>
        </w:rPr>
        <w:t>)</w:t>
      </w:r>
      <w:r w:rsidR="0063781A">
        <w:rPr>
          <w:sz w:val="24"/>
          <w:szCs w:val="24"/>
        </w:rPr>
        <w:t xml:space="preserve">.  </w:t>
      </w:r>
      <w:r w:rsidR="00BA508D">
        <w:rPr>
          <w:sz w:val="24"/>
          <w:szCs w:val="24"/>
        </w:rPr>
        <w:t xml:space="preserve"> </w:t>
      </w:r>
      <w:r w:rsidR="0087355B">
        <w:rPr>
          <w:sz w:val="24"/>
          <w:szCs w:val="24"/>
        </w:rPr>
        <w:t>For model fitting</w:t>
      </w:r>
      <w:r w:rsidR="00D921AC">
        <w:rPr>
          <w:sz w:val="24"/>
          <w:szCs w:val="24"/>
        </w:rPr>
        <w:t>, the CPUE time series was further restricted to 199</w:t>
      </w:r>
      <w:r w:rsidR="00D80D09">
        <w:rPr>
          <w:sz w:val="24"/>
          <w:szCs w:val="24"/>
        </w:rPr>
        <w:t>5</w:t>
      </w:r>
      <w:r w:rsidR="00DF2A74">
        <w:rPr>
          <w:sz w:val="24"/>
          <w:szCs w:val="24"/>
        </w:rPr>
        <w:t>–</w:t>
      </w:r>
      <w:r w:rsidR="00D921AC">
        <w:rPr>
          <w:sz w:val="24"/>
          <w:szCs w:val="24"/>
        </w:rPr>
        <w:t>201</w:t>
      </w:r>
      <w:r w:rsidR="00D47482">
        <w:rPr>
          <w:sz w:val="24"/>
          <w:szCs w:val="24"/>
        </w:rPr>
        <w:t>2</w:t>
      </w:r>
      <w:r w:rsidR="00D921AC">
        <w:rPr>
          <w:sz w:val="24"/>
          <w:szCs w:val="24"/>
        </w:rPr>
        <w:t xml:space="preserve"> becau</w:t>
      </w:r>
      <w:r w:rsidR="008A5FE7">
        <w:rPr>
          <w:sz w:val="24"/>
          <w:szCs w:val="24"/>
        </w:rPr>
        <w:t xml:space="preserve">se the reliability of </w:t>
      </w:r>
      <w:r w:rsidR="00D921AC">
        <w:rPr>
          <w:sz w:val="24"/>
          <w:szCs w:val="24"/>
        </w:rPr>
        <w:t>categorization</w:t>
      </w:r>
      <w:r w:rsidR="008A5FE7">
        <w:rPr>
          <w:sz w:val="24"/>
          <w:szCs w:val="24"/>
        </w:rPr>
        <w:t xml:space="preserve"> of crabs by observers </w:t>
      </w:r>
      <w:r w:rsidR="00F320B1">
        <w:rPr>
          <w:sz w:val="24"/>
          <w:szCs w:val="24"/>
        </w:rPr>
        <w:t>improved</w:t>
      </w:r>
      <w:r w:rsidR="008A5FE7">
        <w:rPr>
          <w:sz w:val="24"/>
          <w:szCs w:val="24"/>
        </w:rPr>
        <w:t xml:space="preserve"> after 199</w:t>
      </w:r>
      <w:r w:rsidR="00D80D09">
        <w:rPr>
          <w:sz w:val="24"/>
          <w:szCs w:val="24"/>
        </w:rPr>
        <w:t>5</w:t>
      </w:r>
      <w:r w:rsidR="00D921AC">
        <w:rPr>
          <w:sz w:val="24"/>
          <w:szCs w:val="24"/>
        </w:rPr>
        <w:t xml:space="preserve">. </w:t>
      </w:r>
      <w:r w:rsidRPr="009034A6">
        <w:rPr>
          <w:sz w:val="24"/>
          <w:szCs w:val="24"/>
        </w:rPr>
        <w:t>Length-specifi</w:t>
      </w:r>
      <w:r w:rsidR="008A5FE7">
        <w:rPr>
          <w:sz w:val="24"/>
          <w:szCs w:val="24"/>
        </w:rPr>
        <w:t xml:space="preserve">c CPUE data collected by </w:t>
      </w:r>
      <w:r w:rsidRPr="009034A6">
        <w:rPr>
          <w:sz w:val="24"/>
          <w:szCs w:val="24"/>
        </w:rPr>
        <w:t>observers provide information on a wider size range of the stock than does the commercial catch length frequen</w:t>
      </w:r>
      <w:r w:rsidR="00D921AC">
        <w:rPr>
          <w:sz w:val="24"/>
          <w:szCs w:val="24"/>
        </w:rPr>
        <w:t xml:space="preserve">cy data obtained from mostly </w:t>
      </w:r>
      <w:r w:rsidRPr="009034A6">
        <w:rPr>
          <w:sz w:val="24"/>
          <w:szCs w:val="24"/>
        </w:rPr>
        <w:t xml:space="preserve">legal-sized </w:t>
      </w:r>
      <w:r w:rsidR="00D921AC">
        <w:rPr>
          <w:sz w:val="24"/>
          <w:szCs w:val="24"/>
        </w:rPr>
        <w:t xml:space="preserve">landed </w:t>
      </w:r>
      <w:r w:rsidRPr="009034A6">
        <w:rPr>
          <w:sz w:val="24"/>
          <w:szCs w:val="24"/>
        </w:rPr>
        <w:t xml:space="preserve">males.  </w:t>
      </w:r>
    </w:p>
    <w:p w:rsidR="0087355B" w:rsidRPr="00E95E23" w:rsidRDefault="0087355B" w:rsidP="006F0B75">
      <w:pPr>
        <w:pStyle w:val="BodyText"/>
        <w:spacing w:line="360" w:lineRule="auto"/>
        <w:ind w:left="360"/>
        <w:jc w:val="both"/>
        <w:rPr>
          <w:sz w:val="24"/>
          <w:szCs w:val="24"/>
        </w:rPr>
      </w:pPr>
      <w:r w:rsidRPr="00E95E23">
        <w:rPr>
          <w:sz w:val="24"/>
          <w:szCs w:val="24"/>
        </w:rPr>
        <w:t>There were significant changes in fishing practice due to changes in management regulation (e.g., since 1996/97 constant TAC and since 2005/06 crab rationalization), pot configuration (increase in escape web on the pot door to 9</w:t>
      </w:r>
      <w:r w:rsidR="00F320B1">
        <w:rPr>
          <w:sz w:val="24"/>
          <w:szCs w:val="24"/>
        </w:rPr>
        <w:t>”</w:t>
      </w:r>
      <w:r w:rsidR="00F320B1" w:rsidRPr="00F320B1">
        <w:rPr>
          <w:sz w:val="24"/>
          <w:szCs w:val="24"/>
        </w:rPr>
        <w:t xml:space="preserve"> </w:t>
      </w:r>
      <w:r w:rsidR="00F320B1" w:rsidRPr="00E95E23">
        <w:rPr>
          <w:sz w:val="24"/>
          <w:szCs w:val="24"/>
        </w:rPr>
        <w:t>since 1999</w:t>
      </w:r>
      <w:r w:rsidRPr="00E95E23">
        <w:rPr>
          <w:sz w:val="24"/>
          <w:szCs w:val="24"/>
        </w:rPr>
        <w:t xml:space="preserve">), and improvement in observer recording </w:t>
      </w:r>
      <w:r w:rsidR="00D72867">
        <w:rPr>
          <w:sz w:val="24"/>
          <w:szCs w:val="24"/>
        </w:rPr>
        <w:t xml:space="preserve">in Aleutian Islands golden king crab fisheries </w:t>
      </w:r>
      <w:r w:rsidRPr="00E95E23">
        <w:rPr>
          <w:sz w:val="24"/>
          <w:szCs w:val="24"/>
        </w:rPr>
        <w:t xml:space="preserve">(since 1998). These changes prompted us to consider </w:t>
      </w:r>
      <w:r>
        <w:rPr>
          <w:sz w:val="24"/>
          <w:szCs w:val="24"/>
        </w:rPr>
        <w:t>two</w:t>
      </w:r>
      <w:r w:rsidRPr="00E95E23">
        <w:rPr>
          <w:sz w:val="24"/>
          <w:szCs w:val="24"/>
        </w:rPr>
        <w:t xml:space="preserve"> sets of catchability and selectivity </w:t>
      </w:r>
      <w:r w:rsidR="00834060">
        <w:rPr>
          <w:sz w:val="24"/>
          <w:szCs w:val="24"/>
        </w:rPr>
        <w:t xml:space="preserve">(total and retained) </w:t>
      </w:r>
      <w:r w:rsidRPr="00E95E23">
        <w:rPr>
          <w:sz w:val="24"/>
          <w:szCs w:val="24"/>
        </w:rPr>
        <w:t>parameters</w:t>
      </w:r>
      <w:r>
        <w:rPr>
          <w:sz w:val="24"/>
          <w:szCs w:val="24"/>
        </w:rPr>
        <w:t xml:space="preserve"> for the periods 1985</w:t>
      </w:r>
      <w:r w:rsidR="00DF2A74">
        <w:rPr>
          <w:sz w:val="24"/>
          <w:szCs w:val="24"/>
        </w:rPr>
        <w:t>–</w:t>
      </w:r>
      <w:r>
        <w:rPr>
          <w:sz w:val="24"/>
          <w:szCs w:val="24"/>
        </w:rPr>
        <w:t>2004 and 2005</w:t>
      </w:r>
      <w:r w:rsidR="00DF2A74">
        <w:rPr>
          <w:sz w:val="24"/>
          <w:szCs w:val="24"/>
        </w:rPr>
        <w:t>–</w:t>
      </w:r>
      <w:r>
        <w:rPr>
          <w:sz w:val="24"/>
          <w:szCs w:val="24"/>
        </w:rPr>
        <w:t>201</w:t>
      </w:r>
      <w:r w:rsidR="00834060">
        <w:rPr>
          <w:sz w:val="24"/>
          <w:szCs w:val="24"/>
        </w:rPr>
        <w:t>2</w:t>
      </w:r>
      <w:r w:rsidRPr="00E95E23">
        <w:rPr>
          <w:sz w:val="24"/>
          <w:szCs w:val="24"/>
        </w:rPr>
        <w:t xml:space="preserve">. </w:t>
      </w:r>
    </w:p>
    <w:p w:rsidR="001926B1" w:rsidRDefault="001926B1">
      <w:pPr>
        <w:rPr>
          <w:i/>
          <w:sz w:val="24"/>
          <w:szCs w:val="24"/>
        </w:rPr>
      </w:pPr>
    </w:p>
    <w:p w:rsidR="0087355B" w:rsidRDefault="0087355B" w:rsidP="0087355B">
      <w:pPr>
        <w:pStyle w:val="BodyText"/>
        <w:spacing w:line="360" w:lineRule="auto"/>
        <w:ind w:left="1530"/>
        <w:jc w:val="both"/>
        <w:rPr>
          <w:sz w:val="24"/>
          <w:szCs w:val="24"/>
        </w:rPr>
      </w:pPr>
    </w:p>
    <w:p w:rsidR="00F91435" w:rsidRPr="00EF775C" w:rsidRDefault="001653E8" w:rsidP="00D72867">
      <w:pPr>
        <w:pStyle w:val="ListParagraph"/>
        <w:numPr>
          <w:ilvl w:val="0"/>
          <w:numId w:val="2"/>
        </w:numPr>
        <w:spacing w:line="360" w:lineRule="auto"/>
        <w:ind w:left="360"/>
        <w:rPr>
          <w:rFonts w:ascii="Arial" w:hAnsi="Arial"/>
          <w:b/>
          <w:i/>
          <w:sz w:val="28"/>
          <w:szCs w:val="24"/>
        </w:rPr>
      </w:pPr>
      <w:r w:rsidRPr="00EF775C">
        <w:rPr>
          <w:rFonts w:ascii="Arial" w:hAnsi="Arial"/>
          <w:b/>
          <w:i/>
          <w:sz w:val="28"/>
          <w:szCs w:val="24"/>
        </w:rPr>
        <w:t>Analytic</w:t>
      </w:r>
      <w:r w:rsidR="00F91435" w:rsidRPr="00EF775C">
        <w:rPr>
          <w:rFonts w:ascii="Arial" w:hAnsi="Arial"/>
          <w:b/>
          <w:i/>
          <w:sz w:val="28"/>
          <w:szCs w:val="24"/>
        </w:rPr>
        <w:t xml:space="preserve"> Approach</w:t>
      </w:r>
    </w:p>
    <w:p w:rsidR="001653E8" w:rsidRDefault="001653E8" w:rsidP="007C3C7A">
      <w:pPr>
        <w:pStyle w:val="BodyText"/>
        <w:numPr>
          <w:ilvl w:val="0"/>
          <w:numId w:val="1"/>
        </w:numPr>
        <w:spacing w:line="360" w:lineRule="auto"/>
        <w:jc w:val="both"/>
        <w:rPr>
          <w:i/>
          <w:sz w:val="24"/>
          <w:szCs w:val="24"/>
        </w:rPr>
      </w:pPr>
      <w:r w:rsidRPr="001653E8">
        <w:rPr>
          <w:i/>
          <w:sz w:val="24"/>
          <w:szCs w:val="24"/>
        </w:rPr>
        <w:t>History of modeling approaches for this stock</w:t>
      </w:r>
    </w:p>
    <w:p w:rsidR="001653E8" w:rsidRDefault="00A37B31" w:rsidP="00D72867">
      <w:pPr>
        <w:pStyle w:val="BodyText"/>
        <w:spacing w:line="360" w:lineRule="auto"/>
        <w:ind w:left="720"/>
        <w:jc w:val="both"/>
        <w:rPr>
          <w:sz w:val="24"/>
          <w:szCs w:val="24"/>
        </w:rPr>
      </w:pPr>
      <w:r>
        <w:rPr>
          <w:sz w:val="24"/>
          <w:szCs w:val="24"/>
        </w:rPr>
        <w:t xml:space="preserve">The model is under </w:t>
      </w:r>
      <w:r w:rsidR="005C54AF">
        <w:rPr>
          <w:sz w:val="24"/>
          <w:szCs w:val="24"/>
        </w:rPr>
        <w:t>development</w:t>
      </w:r>
      <w:r>
        <w:rPr>
          <w:sz w:val="24"/>
          <w:szCs w:val="24"/>
        </w:rPr>
        <w:t>,</w:t>
      </w:r>
      <w:r w:rsidR="005C54AF">
        <w:rPr>
          <w:sz w:val="24"/>
          <w:szCs w:val="24"/>
        </w:rPr>
        <w:t xml:space="preserve"> </w:t>
      </w:r>
      <w:r w:rsidR="00006FF7">
        <w:rPr>
          <w:sz w:val="24"/>
          <w:szCs w:val="24"/>
        </w:rPr>
        <w:t xml:space="preserve">and </w:t>
      </w:r>
      <w:r w:rsidR="005C54AF">
        <w:rPr>
          <w:sz w:val="24"/>
          <w:szCs w:val="24"/>
        </w:rPr>
        <w:t>yet to be accepted for OFL and ABC setting.</w:t>
      </w:r>
    </w:p>
    <w:p w:rsidR="001926B1" w:rsidRPr="001653E8" w:rsidRDefault="001926B1" w:rsidP="001653E8">
      <w:pPr>
        <w:pStyle w:val="BodyText"/>
        <w:spacing w:line="360" w:lineRule="auto"/>
        <w:jc w:val="both"/>
        <w:rPr>
          <w:sz w:val="24"/>
          <w:szCs w:val="24"/>
        </w:rPr>
      </w:pPr>
    </w:p>
    <w:p w:rsidR="005C64AF" w:rsidRPr="008B62DE" w:rsidRDefault="008B62DE" w:rsidP="007C3C7A">
      <w:pPr>
        <w:pStyle w:val="BodyText"/>
        <w:numPr>
          <w:ilvl w:val="0"/>
          <w:numId w:val="1"/>
        </w:numPr>
        <w:spacing w:line="360" w:lineRule="auto"/>
        <w:jc w:val="both"/>
        <w:rPr>
          <w:i/>
          <w:sz w:val="24"/>
          <w:szCs w:val="24"/>
        </w:rPr>
      </w:pPr>
      <w:r>
        <w:rPr>
          <w:i/>
          <w:sz w:val="24"/>
          <w:szCs w:val="24"/>
        </w:rPr>
        <w:t xml:space="preserve">Model </w:t>
      </w:r>
      <w:r w:rsidR="001653E8">
        <w:rPr>
          <w:i/>
          <w:sz w:val="24"/>
          <w:szCs w:val="24"/>
        </w:rPr>
        <w:t>Description</w:t>
      </w:r>
    </w:p>
    <w:p w:rsidR="00A23462" w:rsidRDefault="005C64AF" w:rsidP="00AA3A84">
      <w:pPr>
        <w:pStyle w:val="BodyText"/>
        <w:numPr>
          <w:ilvl w:val="0"/>
          <w:numId w:val="5"/>
        </w:numPr>
        <w:spacing w:line="360" w:lineRule="auto"/>
        <w:ind w:left="1080"/>
        <w:jc w:val="both"/>
        <w:rPr>
          <w:sz w:val="24"/>
          <w:szCs w:val="24"/>
        </w:rPr>
      </w:pPr>
      <w:r>
        <w:rPr>
          <w:sz w:val="24"/>
          <w:szCs w:val="24"/>
        </w:rPr>
        <w:t>The under</w:t>
      </w:r>
      <w:r w:rsidR="005C54AF">
        <w:rPr>
          <w:sz w:val="24"/>
          <w:szCs w:val="24"/>
        </w:rPr>
        <w:t>lying population dynamics model is</w:t>
      </w:r>
      <w:r>
        <w:rPr>
          <w:sz w:val="24"/>
          <w:szCs w:val="24"/>
        </w:rPr>
        <w:t xml:space="preserve"> </w:t>
      </w:r>
      <w:r w:rsidR="005C54AF">
        <w:rPr>
          <w:sz w:val="24"/>
          <w:szCs w:val="24"/>
        </w:rPr>
        <w:t xml:space="preserve">male-only and </w:t>
      </w:r>
      <w:r>
        <w:rPr>
          <w:sz w:val="24"/>
          <w:szCs w:val="24"/>
        </w:rPr>
        <w:t>length-based</w:t>
      </w:r>
      <w:r w:rsidR="005C54AF">
        <w:rPr>
          <w:sz w:val="24"/>
          <w:szCs w:val="24"/>
        </w:rPr>
        <w:t xml:space="preserve"> (Appendix A)</w:t>
      </w:r>
      <w:r>
        <w:rPr>
          <w:sz w:val="24"/>
          <w:szCs w:val="24"/>
        </w:rPr>
        <w:t xml:space="preserve">. </w:t>
      </w:r>
      <w:r w:rsidR="008A6272" w:rsidRPr="008A6272">
        <w:rPr>
          <w:sz w:val="24"/>
          <w:szCs w:val="24"/>
        </w:rPr>
        <w:t xml:space="preserve">This model combines commercial retained </w:t>
      </w:r>
      <w:r w:rsidR="00A23462">
        <w:rPr>
          <w:sz w:val="24"/>
          <w:szCs w:val="24"/>
        </w:rPr>
        <w:t>catch, total</w:t>
      </w:r>
      <w:r w:rsidR="008A6272" w:rsidRPr="008A6272">
        <w:rPr>
          <w:sz w:val="24"/>
          <w:szCs w:val="24"/>
        </w:rPr>
        <w:t xml:space="preserve"> catch, groundfish fishery </w:t>
      </w:r>
      <w:r w:rsidR="00BA508D">
        <w:rPr>
          <w:sz w:val="24"/>
          <w:szCs w:val="24"/>
        </w:rPr>
        <w:t>discarded</w:t>
      </w:r>
      <w:r w:rsidR="008A6272" w:rsidRPr="008A6272">
        <w:rPr>
          <w:sz w:val="24"/>
          <w:szCs w:val="24"/>
        </w:rPr>
        <w:t xml:space="preserve"> catch, </w:t>
      </w:r>
      <w:r w:rsidR="00C80DEF">
        <w:rPr>
          <w:sz w:val="24"/>
          <w:szCs w:val="24"/>
        </w:rPr>
        <w:t xml:space="preserve">standardized </w:t>
      </w:r>
      <w:r w:rsidR="008A6272" w:rsidRPr="008A6272">
        <w:rPr>
          <w:sz w:val="24"/>
          <w:szCs w:val="24"/>
        </w:rPr>
        <w:t xml:space="preserve">observer </w:t>
      </w:r>
      <w:r w:rsidR="00A23462">
        <w:rPr>
          <w:sz w:val="24"/>
          <w:szCs w:val="24"/>
        </w:rPr>
        <w:t xml:space="preserve">legal size </w:t>
      </w:r>
      <w:r w:rsidR="008A6272" w:rsidRPr="008A6272">
        <w:rPr>
          <w:sz w:val="24"/>
          <w:szCs w:val="24"/>
        </w:rPr>
        <w:t>catch-per-unit-effort (CPUE)</w:t>
      </w:r>
      <w:r w:rsidR="00A23462">
        <w:rPr>
          <w:sz w:val="24"/>
          <w:szCs w:val="24"/>
        </w:rPr>
        <w:t xml:space="preserve"> indices</w:t>
      </w:r>
      <w:r w:rsidR="008A6272" w:rsidRPr="008A6272">
        <w:rPr>
          <w:sz w:val="24"/>
          <w:szCs w:val="24"/>
        </w:rPr>
        <w:t xml:space="preserve">, </w:t>
      </w:r>
      <w:r w:rsidR="00A23462">
        <w:rPr>
          <w:sz w:val="24"/>
          <w:szCs w:val="24"/>
        </w:rPr>
        <w:t>fishery retained catch size composition, total</w:t>
      </w:r>
      <w:r w:rsidR="008A6272" w:rsidRPr="008A6272">
        <w:rPr>
          <w:sz w:val="24"/>
          <w:szCs w:val="24"/>
        </w:rPr>
        <w:t xml:space="preserve"> </w:t>
      </w:r>
      <w:r w:rsidR="00A23462">
        <w:rPr>
          <w:sz w:val="24"/>
          <w:szCs w:val="24"/>
        </w:rPr>
        <w:t xml:space="preserve">catch </w:t>
      </w:r>
      <w:r w:rsidR="008A6272" w:rsidRPr="008A6272">
        <w:rPr>
          <w:sz w:val="24"/>
          <w:szCs w:val="24"/>
        </w:rPr>
        <w:t xml:space="preserve">size composition, groundfish discard </w:t>
      </w:r>
      <w:r w:rsidR="00A23462">
        <w:rPr>
          <w:sz w:val="24"/>
          <w:szCs w:val="24"/>
        </w:rPr>
        <w:t xml:space="preserve">catch </w:t>
      </w:r>
      <w:r w:rsidR="008A6272" w:rsidRPr="008A6272">
        <w:rPr>
          <w:sz w:val="24"/>
          <w:szCs w:val="24"/>
        </w:rPr>
        <w:t>size composit</w:t>
      </w:r>
      <w:r w:rsidR="00A23462">
        <w:rPr>
          <w:sz w:val="24"/>
          <w:szCs w:val="24"/>
        </w:rPr>
        <w:t xml:space="preserve">ion, </w:t>
      </w:r>
      <w:r w:rsidR="008A6272" w:rsidRPr="008A6272">
        <w:rPr>
          <w:sz w:val="24"/>
          <w:szCs w:val="24"/>
        </w:rPr>
        <w:t xml:space="preserve">and </w:t>
      </w:r>
      <w:r w:rsidR="00A23462">
        <w:rPr>
          <w:sz w:val="24"/>
          <w:szCs w:val="24"/>
        </w:rPr>
        <w:t xml:space="preserve">tag recaptures by release-recapture length </w:t>
      </w:r>
      <w:r w:rsidR="008A6272" w:rsidRPr="008A6272">
        <w:rPr>
          <w:sz w:val="24"/>
          <w:szCs w:val="24"/>
        </w:rPr>
        <w:t>to estimate stock assessment parameters.</w:t>
      </w:r>
    </w:p>
    <w:p w:rsidR="00C953F0" w:rsidRDefault="008A6272" w:rsidP="00AA3A84">
      <w:pPr>
        <w:pStyle w:val="BodyText"/>
        <w:spacing w:line="360" w:lineRule="auto"/>
        <w:ind w:left="1080" w:hanging="360"/>
        <w:jc w:val="both"/>
        <w:rPr>
          <w:sz w:val="24"/>
          <w:szCs w:val="24"/>
        </w:rPr>
      </w:pPr>
      <w:r w:rsidRPr="008A6272">
        <w:rPr>
          <w:sz w:val="24"/>
          <w:szCs w:val="24"/>
        </w:rPr>
        <w:t xml:space="preserve"> </w:t>
      </w:r>
    </w:p>
    <w:p w:rsidR="00C86259" w:rsidRDefault="008A6272" w:rsidP="00D72867">
      <w:pPr>
        <w:pStyle w:val="BodyText"/>
        <w:spacing w:line="360" w:lineRule="auto"/>
        <w:ind w:left="1080"/>
        <w:jc w:val="both"/>
        <w:rPr>
          <w:sz w:val="24"/>
          <w:szCs w:val="24"/>
        </w:rPr>
      </w:pPr>
      <w:r w:rsidRPr="008A6272">
        <w:rPr>
          <w:sz w:val="24"/>
          <w:szCs w:val="24"/>
        </w:rPr>
        <w:lastRenderedPageBreak/>
        <w:t xml:space="preserve">The data series used in the current assessment for </w:t>
      </w:r>
      <w:r w:rsidR="00263E2D">
        <w:rPr>
          <w:sz w:val="24"/>
          <w:szCs w:val="24"/>
        </w:rPr>
        <w:t>EAG</w:t>
      </w:r>
      <w:r w:rsidRPr="008A6272">
        <w:rPr>
          <w:sz w:val="24"/>
          <w:szCs w:val="24"/>
        </w:rPr>
        <w:t xml:space="preserve"> ranges from 1985/86 to 20</w:t>
      </w:r>
      <w:r w:rsidR="00C953F0">
        <w:rPr>
          <w:sz w:val="24"/>
          <w:szCs w:val="24"/>
        </w:rPr>
        <w:t>1</w:t>
      </w:r>
      <w:r w:rsidR="00A23462">
        <w:rPr>
          <w:sz w:val="24"/>
          <w:szCs w:val="24"/>
        </w:rPr>
        <w:t>2</w:t>
      </w:r>
      <w:r w:rsidR="00C953F0">
        <w:rPr>
          <w:sz w:val="24"/>
          <w:szCs w:val="24"/>
        </w:rPr>
        <w:t>/1</w:t>
      </w:r>
      <w:r w:rsidR="00A23462">
        <w:rPr>
          <w:sz w:val="24"/>
          <w:szCs w:val="24"/>
        </w:rPr>
        <w:t>3</w:t>
      </w:r>
      <w:r w:rsidRPr="008A6272">
        <w:rPr>
          <w:sz w:val="24"/>
          <w:szCs w:val="24"/>
        </w:rPr>
        <w:t xml:space="preserve"> for retained catch bi</w:t>
      </w:r>
      <w:r w:rsidR="00C80DEF">
        <w:rPr>
          <w:sz w:val="24"/>
          <w:szCs w:val="24"/>
        </w:rPr>
        <w:t>omass</w:t>
      </w:r>
      <w:r w:rsidR="00A23462">
        <w:rPr>
          <w:sz w:val="24"/>
          <w:szCs w:val="24"/>
        </w:rPr>
        <w:t xml:space="preserve"> and</w:t>
      </w:r>
      <w:r w:rsidR="00C80DEF">
        <w:rPr>
          <w:sz w:val="24"/>
          <w:szCs w:val="24"/>
        </w:rPr>
        <w:t xml:space="preserve"> </w:t>
      </w:r>
      <w:r w:rsidR="00895840">
        <w:rPr>
          <w:sz w:val="24"/>
          <w:szCs w:val="24"/>
        </w:rPr>
        <w:t>size composition;</w:t>
      </w:r>
      <w:r w:rsidR="00C953F0">
        <w:rPr>
          <w:sz w:val="24"/>
          <w:szCs w:val="24"/>
        </w:rPr>
        <w:t xml:space="preserve"> </w:t>
      </w:r>
      <w:r w:rsidR="00A23462">
        <w:rPr>
          <w:sz w:val="24"/>
          <w:szCs w:val="24"/>
        </w:rPr>
        <w:t>1995/96</w:t>
      </w:r>
      <w:r w:rsidR="00C953F0">
        <w:rPr>
          <w:sz w:val="24"/>
          <w:szCs w:val="24"/>
        </w:rPr>
        <w:t xml:space="preserve"> to 201</w:t>
      </w:r>
      <w:r w:rsidR="00A23462">
        <w:rPr>
          <w:sz w:val="24"/>
          <w:szCs w:val="24"/>
        </w:rPr>
        <w:t>2</w:t>
      </w:r>
      <w:r w:rsidR="00C953F0">
        <w:rPr>
          <w:sz w:val="24"/>
          <w:szCs w:val="24"/>
        </w:rPr>
        <w:t>/1</w:t>
      </w:r>
      <w:r w:rsidR="00A23462">
        <w:rPr>
          <w:sz w:val="24"/>
          <w:szCs w:val="24"/>
        </w:rPr>
        <w:t>3</w:t>
      </w:r>
      <w:r w:rsidRPr="008A6272">
        <w:rPr>
          <w:sz w:val="24"/>
          <w:szCs w:val="24"/>
        </w:rPr>
        <w:t xml:space="preserve"> for </w:t>
      </w:r>
      <w:r w:rsidR="00C953F0">
        <w:rPr>
          <w:sz w:val="24"/>
          <w:szCs w:val="24"/>
        </w:rPr>
        <w:t xml:space="preserve">standardized </w:t>
      </w:r>
      <w:r w:rsidR="00A23462">
        <w:rPr>
          <w:sz w:val="24"/>
          <w:szCs w:val="24"/>
        </w:rPr>
        <w:t>legal size crab</w:t>
      </w:r>
      <w:r w:rsidR="00895840">
        <w:rPr>
          <w:sz w:val="24"/>
          <w:szCs w:val="24"/>
        </w:rPr>
        <w:t xml:space="preserve"> </w:t>
      </w:r>
      <w:r w:rsidR="00C80DEF">
        <w:rPr>
          <w:sz w:val="24"/>
          <w:szCs w:val="24"/>
        </w:rPr>
        <w:t xml:space="preserve">observer </w:t>
      </w:r>
      <w:r w:rsidR="00895840" w:rsidRPr="008A6272">
        <w:rPr>
          <w:sz w:val="24"/>
          <w:szCs w:val="24"/>
        </w:rPr>
        <w:t>CPUE</w:t>
      </w:r>
      <w:r w:rsidR="00C80DEF">
        <w:rPr>
          <w:sz w:val="24"/>
          <w:szCs w:val="24"/>
        </w:rPr>
        <w:t xml:space="preserve"> index</w:t>
      </w:r>
      <w:r w:rsidR="00D56A77">
        <w:rPr>
          <w:sz w:val="24"/>
          <w:szCs w:val="24"/>
        </w:rPr>
        <w:t>;</w:t>
      </w:r>
      <w:r w:rsidR="00895840">
        <w:rPr>
          <w:sz w:val="24"/>
          <w:szCs w:val="24"/>
        </w:rPr>
        <w:t xml:space="preserve"> </w:t>
      </w:r>
      <w:r w:rsidR="00D56A77">
        <w:rPr>
          <w:sz w:val="24"/>
          <w:szCs w:val="24"/>
        </w:rPr>
        <w:t>1990/91 to 2012/13</w:t>
      </w:r>
      <w:r w:rsidR="00D56A77" w:rsidRPr="008A6272">
        <w:rPr>
          <w:sz w:val="24"/>
          <w:szCs w:val="24"/>
        </w:rPr>
        <w:t xml:space="preserve"> </w:t>
      </w:r>
      <w:r w:rsidR="00C86259">
        <w:rPr>
          <w:sz w:val="24"/>
          <w:szCs w:val="24"/>
        </w:rPr>
        <w:t xml:space="preserve">pot </w:t>
      </w:r>
      <w:r w:rsidR="00D56A77">
        <w:rPr>
          <w:sz w:val="24"/>
          <w:szCs w:val="24"/>
        </w:rPr>
        <w:t xml:space="preserve">total </w:t>
      </w:r>
      <w:r w:rsidR="00371BAF">
        <w:rPr>
          <w:sz w:val="24"/>
          <w:szCs w:val="24"/>
        </w:rPr>
        <w:t>catch b</w:t>
      </w:r>
      <w:r w:rsidR="00D56A77">
        <w:rPr>
          <w:sz w:val="24"/>
          <w:szCs w:val="24"/>
        </w:rPr>
        <w:t>iomass</w:t>
      </w:r>
      <w:r w:rsidR="00C80DEF">
        <w:rPr>
          <w:sz w:val="24"/>
          <w:szCs w:val="24"/>
        </w:rPr>
        <w:t xml:space="preserve"> and </w:t>
      </w:r>
      <w:r w:rsidR="00D56A77">
        <w:rPr>
          <w:sz w:val="24"/>
          <w:szCs w:val="24"/>
        </w:rPr>
        <w:t>total catch</w:t>
      </w:r>
      <w:r w:rsidR="00371BAF">
        <w:rPr>
          <w:sz w:val="24"/>
          <w:szCs w:val="24"/>
        </w:rPr>
        <w:t xml:space="preserve"> </w:t>
      </w:r>
      <w:r w:rsidRPr="008A6272">
        <w:rPr>
          <w:sz w:val="24"/>
          <w:szCs w:val="24"/>
        </w:rPr>
        <w:t>length composi</w:t>
      </w:r>
      <w:r w:rsidR="00895840">
        <w:rPr>
          <w:sz w:val="24"/>
          <w:szCs w:val="24"/>
        </w:rPr>
        <w:t>tion;</w:t>
      </w:r>
      <w:r w:rsidR="00D56A77">
        <w:rPr>
          <w:sz w:val="24"/>
          <w:szCs w:val="24"/>
        </w:rPr>
        <w:t xml:space="preserve"> </w:t>
      </w:r>
      <w:r w:rsidR="00895840">
        <w:rPr>
          <w:sz w:val="24"/>
          <w:szCs w:val="24"/>
        </w:rPr>
        <w:t>1995/96 to 201</w:t>
      </w:r>
      <w:r w:rsidR="00D56A77">
        <w:rPr>
          <w:sz w:val="24"/>
          <w:szCs w:val="24"/>
        </w:rPr>
        <w:t>2</w:t>
      </w:r>
      <w:r w:rsidR="00895840">
        <w:rPr>
          <w:sz w:val="24"/>
          <w:szCs w:val="24"/>
        </w:rPr>
        <w:t>/1</w:t>
      </w:r>
      <w:r w:rsidR="00D56A77">
        <w:rPr>
          <w:sz w:val="24"/>
          <w:szCs w:val="24"/>
        </w:rPr>
        <w:t>3</w:t>
      </w:r>
      <w:r w:rsidRPr="008A6272">
        <w:rPr>
          <w:sz w:val="24"/>
          <w:szCs w:val="24"/>
        </w:rPr>
        <w:t xml:space="preserve"> for groundfish fishery </w:t>
      </w:r>
      <w:r w:rsidR="00895840">
        <w:rPr>
          <w:sz w:val="24"/>
          <w:szCs w:val="24"/>
        </w:rPr>
        <w:t xml:space="preserve">male </w:t>
      </w:r>
      <w:r w:rsidRPr="008A6272">
        <w:rPr>
          <w:sz w:val="24"/>
          <w:szCs w:val="24"/>
        </w:rPr>
        <w:t>bycatch biomass and size composition</w:t>
      </w:r>
      <w:r w:rsidR="00D56A77">
        <w:rPr>
          <w:sz w:val="24"/>
          <w:szCs w:val="24"/>
        </w:rPr>
        <w:t>; and 1991, 1997, 2000, 2003, and 2006 releases and up to 2012 recapture time period for tagging  information.</w:t>
      </w:r>
    </w:p>
    <w:p w:rsidR="0086352E" w:rsidRDefault="0086352E" w:rsidP="00AA3A84">
      <w:pPr>
        <w:pStyle w:val="BodyText"/>
        <w:spacing w:line="360" w:lineRule="auto"/>
        <w:ind w:left="1080" w:hanging="360"/>
        <w:jc w:val="both"/>
        <w:rPr>
          <w:sz w:val="24"/>
          <w:szCs w:val="24"/>
        </w:rPr>
      </w:pPr>
    </w:p>
    <w:p w:rsidR="00895840" w:rsidRDefault="00895840" w:rsidP="00D72867">
      <w:pPr>
        <w:pStyle w:val="BodyText"/>
        <w:spacing w:line="360" w:lineRule="auto"/>
        <w:ind w:left="1080"/>
        <w:jc w:val="both"/>
        <w:rPr>
          <w:sz w:val="24"/>
          <w:szCs w:val="24"/>
        </w:rPr>
      </w:pPr>
      <w:r w:rsidRPr="008A6272">
        <w:rPr>
          <w:sz w:val="24"/>
          <w:szCs w:val="24"/>
        </w:rPr>
        <w:t>The data series</w:t>
      </w:r>
      <w:r>
        <w:rPr>
          <w:sz w:val="24"/>
          <w:szCs w:val="24"/>
        </w:rPr>
        <w:t xml:space="preserve"> used </w:t>
      </w:r>
      <w:r w:rsidRPr="008A6272">
        <w:rPr>
          <w:sz w:val="24"/>
          <w:szCs w:val="24"/>
        </w:rPr>
        <w:t xml:space="preserve">for the </w:t>
      </w:r>
      <w:r>
        <w:rPr>
          <w:sz w:val="24"/>
          <w:szCs w:val="24"/>
        </w:rPr>
        <w:t>WAG</w:t>
      </w:r>
      <w:r w:rsidRPr="008A6272">
        <w:rPr>
          <w:sz w:val="24"/>
          <w:szCs w:val="24"/>
        </w:rPr>
        <w:t xml:space="preserve"> ranges </w:t>
      </w:r>
      <w:r w:rsidR="00D56A77">
        <w:rPr>
          <w:sz w:val="24"/>
          <w:szCs w:val="24"/>
        </w:rPr>
        <w:t>are the same as those for EAG.</w:t>
      </w:r>
    </w:p>
    <w:p w:rsidR="003F4415" w:rsidRDefault="003F4415" w:rsidP="00AA3A84">
      <w:pPr>
        <w:pStyle w:val="BodyText"/>
        <w:spacing w:line="360" w:lineRule="auto"/>
        <w:ind w:left="1080" w:hanging="360"/>
        <w:jc w:val="both"/>
        <w:rPr>
          <w:i/>
          <w:sz w:val="24"/>
          <w:szCs w:val="24"/>
        </w:rPr>
      </w:pPr>
    </w:p>
    <w:p w:rsidR="00D76E41" w:rsidRDefault="00C86259" w:rsidP="00AA3A84">
      <w:pPr>
        <w:pStyle w:val="BodyText"/>
        <w:numPr>
          <w:ilvl w:val="0"/>
          <w:numId w:val="5"/>
        </w:numPr>
        <w:spacing w:line="360" w:lineRule="auto"/>
        <w:ind w:left="1080"/>
        <w:jc w:val="both"/>
        <w:rPr>
          <w:sz w:val="24"/>
          <w:szCs w:val="24"/>
        </w:rPr>
      </w:pPr>
      <w:r>
        <w:rPr>
          <w:sz w:val="24"/>
          <w:szCs w:val="24"/>
        </w:rPr>
        <w:t>Software: AD model builder</w:t>
      </w:r>
      <w:r w:rsidR="003E0B87">
        <w:rPr>
          <w:sz w:val="24"/>
          <w:szCs w:val="24"/>
        </w:rPr>
        <w:t xml:space="preserve"> (Fournier et al., 2012)</w:t>
      </w:r>
      <w:r w:rsidR="00855B8C">
        <w:rPr>
          <w:sz w:val="24"/>
          <w:szCs w:val="24"/>
        </w:rPr>
        <w:t>.</w:t>
      </w:r>
    </w:p>
    <w:p w:rsidR="00C86259" w:rsidRDefault="00C86259" w:rsidP="00AA3A84">
      <w:pPr>
        <w:pStyle w:val="BodyText"/>
        <w:spacing w:line="360" w:lineRule="auto"/>
        <w:ind w:left="1080" w:hanging="360"/>
        <w:jc w:val="both"/>
        <w:rPr>
          <w:sz w:val="24"/>
          <w:szCs w:val="24"/>
        </w:rPr>
      </w:pPr>
      <w:r>
        <w:rPr>
          <w:sz w:val="24"/>
          <w:szCs w:val="24"/>
        </w:rPr>
        <w:t xml:space="preserve"> </w:t>
      </w:r>
    </w:p>
    <w:p w:rsidR="00C86259" w:rsidRDefault="00C86259" w:rsidP="00AA3A84">
      <w:pPr>
        <w:pStyle w:val="BodyText"/>
        <w:spacing w:line="360" w:lineRule="auto"/>
        <w:ind w:left="1080" w:hanging="360"/>
        <w:jc w:val="both"/>
        <w:rPr>
          <w:sz w:val="24"/>
          <w:szCs w:val="24"/>
        </w:rPr>
      </w:pPr>
      <w:r>
        <w:rPr>
          <w:sz w:val="24"/>
          <w:szCs w:val="24"/>
        </w:rPr>
        <w:t>c.</w:t>
      </w:r>
      <w:r w:rsidR="00DF2A74">
        <w:rPr>
          <w:sz w:val="24"/>
          <w:szCs w:val="24"/>
        </w:rPr>
        <w:t>–</w:t>
      </w:r>
      <w:r>
        <w:rPr>
          <w:sz w:val="24"/>
          <w:szCs w:val="24"/>
        </w:rPr>
        <w:t xml:space="preserve">f.  Details </w:t>
      </w:r>
      <w:r w:rsidR="00FB6D63">
        <w:rPr>
          <w:sz w:val="24"/>
          <w:szCs w:val="24"/>
        </w:rPr>
        <w:t xml:space="preserve">are given </w:t>
      </w:r>
      <w:r>
        <w:rPr>
          <w:sz w:val="24"/>
          <w:szCs w:val="24"/>
        </w:rPr>
        <w:t>in Appendix A.</w:t>
      </w:r>
    </w:p>
    <w:p w:rsidR="00786ADE" w:rsidRDefault="00C86259" w:rsidP="00D72867">
      <w:pPr>
        <w:pStyle w:val="BodyText"/>
        <w:numPr>
          <w:ilvl w:val="0"/>
          <w:numId w:val="26"/>
        </w:numPr>
        <w:spacing w:line="360" w:lineRule="auto"/>
        <w:ind w:left="1080"/>
        <w:jc w:val="both"/>
        <w:rPr>
          <w:sz w:val="24"/>
          <w:szCs w:val="24"/>
        </w:rPr>
      </w:pPr>
      <w:r>
        <w:rPr>
          <w:sz w:val="24"/>
          <w:szCs w:val="24"/>
        </w:rPr>
        <w:t xml:space="preserve">Critical assumptions and consequences of assumption failures: </w:t>
      </w:r>
      <w:r w:rsidR="00ED02A3">
        <w:rPr>
          <w:sz w:val="24"/>
          <w:szCs w:val="24"/>
        </w:rPr>
        <w:t xml:space="preserve"> We kept </w:t>
      </w:r>
      <w:r w:rsidRPr="00F710D9">
        <w:rPr>
          <w:i/>
          <w:sz w:val="24"/>
          <w:szCs w:val="24"/>
        </w:rPr>
        <w:t>M</w:t>
      </w:r>
      <w:r w:rsidR="00FB6D63">
        <w:rPr>
          <w:sz w:val="24"/>
          <w:szCs w:val="24"/>
        </w:rPr>
        <w:t xml:space="preserve">  constant at </w:t>
      </w:r>
      <w:r w:rsidR="006C3BE2">
        <w:rPr>
          <w:sz w:val="24"/>
          <w:szCs w:val="24"/>
        </w:rPr>
        <w:t xml:space="preserve">0.18, </w:t>
      </w:r>
      <w:r w:rsidR="008814DC">
        <w:rPr>
          <w:sz w:val="24"/>
          <w:szCs w:val="24"/>
        </w:rPr>
        <w:t>the groundfish selectivity to full selection</w:t>
      </w:r>
      <w:r w:rsidR="006C3BE2">
        <w:rPr>
          <w:sz w:val="24"/>
          <w:szCs w:val="24"/>
        </w:rPr>
        <w:t xml:space="preserve"> (sel</w:t>
      </w:r>
      <w:r w:rsidR="00F15C1A">
        <w:rPr>
          <w:sz w:val="24"/>
          <w:szCs w:val="24"/>
        </w:rPr>
        <w:t xml:space="preserve">ectivity = 1), </w:t>
      </w:r>
      <w:r w:rsidR="008814DC">
        <w:rPr>
          <w:sz w:val="24"/>
          <w:szCs w:val="24"/>
        </w:rPr>
        <w:t>not considered legal size discard</w:t>
      </w:r>
      <w:r w:rsidR="00F15C1A">
        <w:rPr>
          <w:sz w:val="24"/>
          <w:szCs w:val="24"/>
        </w:rPr>
        <w:t xml:space="preserve">, and fixed the growth matrix gamma function variation parameter </w:t>
      </w:r>
      <w:r w:rsidR="006C3BE2">
        <w:rPr>
          <w:sz w:val="24"/>
          <w:szCs w:val="24"/>
        </w:rPr>
        <w:t>(</w:t>
      </w:r>
      <w:r w:rsidR="006C3BE2" w:rsidRPr="007D297A">
        <w:rPr>
          <w:i/>
          <w:sz w:val="24"/>
          <w:szCs w:val="24"/>
        </w:rPr>
        <w:t>β</w:t>
      </w:r>
      <w:r w:rsidR="006C3BE2">
        <w:rPr>
          <w:sz w:val="24"/>
          <w:szCs w:val="24"/>
        </w:rPr>
        <w:t>) at</w:t>
      </w:r>
      <w:r w:rsidR="00F15C1A">
        <w:rPr>
          <w:sz w:val="24"/>
          <w:szCs w:val="24"/>
        </w:rPr>
        <w:t xml:space="preserve"> </w:t>
      </w:r>
      <w:r w:rsidR="006C3BE2">
        <w:rPr>
          <w:sz w:val="24"/>
          <w:szCs w:val="24"/>
        </w:rPr>
        <w:t>0.74</w:t>
      </w:r>
      <w:r w:rsidR="008814DC">
        <w:rPr>
          <w:sz w:val="24"/>
          <w:szCs w:val="24"/>
        </w:rPr>
        <w:t>.</w:t>
      </w:r>
      <w:r w:rsidR="006C3BE2">
        <w:rPr>
          <w:sz w:val="24"/>
          <w:szCs w:val="24"/>
        </w:rPr>
        <w:t xml:space="preserve"> These fixed values invariably reduced the number of model parameters to be estimated and helped in convergence. </w:t>
      </w:r>
      <w:r>
        <w:rPr>
          <w:sz w:val="24"/>
          <w:szCs w:val="24"/>
        </w:rPr>
        <w:t xml:space="preserve">We assumed different </w:t>
      </w:r>
      <w:r w:rsidRPr="00F710D9">
        <w:rPr>
          <w:i/>
          <w:sz w:val="24"/>
          <w:szCs w:val="24"/>
        </w:rPr>
        <w:t>q</w:t>
      </w:r>
      <w:r>
        <w:rPr>
          <w:sz w:val="24"/>
          <w:szCs w:val="24"/>
        </w:rPr>
        <w:t>’</w:t>
      </w:r>
      <w:r w:rsidR="00F710D9">
        <w:rPr>
          <w:sz w:val="24"/>
          <w:szCs w:val="24"/>
        </w:rPr>
        <w:t xml:space="preserve">s </w:t>
      </w:r>
      <w:r w:rsidR="009A627B">
        <w:rPr>
          <w:sz w:val="24"/>
          <w:szCs w:val="24"/>
        </w:rPr>
        <w:t xml:space="preserve">(scaling parameter for standardized CPUE in the  model) </w:t>
      </w:r>
      <w:r w:rsidR="00F710D9">
        <w:rPr>
          <w:sz w:val="24"/>
          <w:szCs w:val="24"/>
        </w:rPr>
        <w:t>and logistic s</w:t>
      </w:r>
      <w:r>
        <w:rPr>
          <w:sz w:val="24"/>
          <w:szCs w:val="24"/>
        </w:rPr>
        <w:t xml:space="preserve">electivity </w:t>
      </w:r>
      <w:r w:rsidR="00B03589">
        <w:rPr>
          <w:sz w:val="24"/>
          <w:szCs w:val="24"/>
        </w:rPr>
        <w:t xml:space="preserve">patterns </w:t>
      </w:r>
      <w:r>
        <w:rPr>
          <w:sz w:val="24"/>
          <w:szCs w:val="24"/>
        </w:rPr>
        <w:t>for different periods</w:t>
      </w:r>
      <w:r w:rsidR="00ED02A3">
        <w:rPr>
          <w:sz w:val="24"/>
          <w:szCs w:val="24"/>
        </w:rPr>
        <w:t xml:space="preserve"> for the pot fishery</w:t>
      </w:r>
      <w:r w:rsidR="00396638">
        <w:rPr>
          <w:sz w:val="24"/>
          <w:szCs w:val="24"/>
        </w:rPr>
        <w:t xml:space="preserve">, &lt; </w:t>
      </w:r>
      <w:r>
        <w:rPr>
          <w:sz w:val="24"/>
          <w:szCs w:val="24"/>
        </w:rPr>
        <w:t>2004 and &gt;= 2005</w:t>
      </w:r>
      <w:r w:rsidR="00B03589">
        <w:rPr>
          <w:sz w:val="24"/>
          <w:szCs w:val="24"/>
        </w:rPr>
        <w:t xml:space="preserve">.  </w:t>
      </w:r>
      <w:r w:rsidR="00EA2990">
        <w:rPr>
          <w:sz w:val="24"/>
          <w:szCs w:val="24"/>
        </w:rPr>
        <w:t>B</w:t>
      </w:r>
      <w:r w:rsidR="00423D25">
        <w:rPr>
          <w:sz w:val="24"/>
          <w:szCs w:val="24"/>
        </w:rPr>
        <w:t>e</w:t>
      </w:r>
      <w:r w:rsidR="00EA2990">
        <w:rPr>
          <w:sz w:val="24"/>
          <w:szCs w:val="24"/>
        </w:rPr>
        <w:t xml:space="preserve">cause of the lack of annual </w:t>
      </w:r>
      <w:r w:rsidR="00A553E9">
        <w:rPr>
          <w:sz w:val="24"/>
          <w:szCs w:val="24"/>
        </w:rPr>
        <w:t xml:space="preserve">stock survey we relied heavily on </w:t>
      </w:r>
      <w:r w:rsidR="001B31D8">
        <w:rPr>
          <w:sz w:val="24"/>
          <w:szCs w:val="24"/>
        </w:rPr>
        <w:t xml:space="preserve">standardized </w:t>
      </w:r>
      <w:r w:rsidR="00A553E9">
        <w:rPr>
          <w:sz w:val="24"/>
          <w:szCs w:val="24"/>
        </w:rPr>
        <w:t xml:space="preserve">CPUE </w:t>
      </w:r>
      <w:r w:rsidR="001B31D8">
        <w:rPr>
          <w:sz w:val="24"/>
          <w:szCs w:val="24"/>
        </w:rPr>
        <w:t xml:space="preserve">indices </w:t>
      </w:r>
      <w:r w:rsidR="00A553E9">
        <w:rPr>
          <w:sz w:val="24"/>
          <w:szCs w:val="24"/>
        </w:rPr>
        <w:t xml:space="preserve">and catch information to determine the stock abundance trends in both regions. </w:t>
      </w:r>
      <w:r w:rsidR="009A627B">
        <w:rPr>
          <w:sz w:val="24"/>
          <w:szCs w:val="24"/>
        </w:rPr>
        <w:t xml:space="preserve"> The CPUE standardization followed the following GLM fitting procedure for EAG and WAG, respectively: </w:t>
      </w:r>
    </w:p>
    <w:p w:rsidR="00755051" w:rsidRDefault="00755051" w:rsidP="009A627B">
      <w:pPr>
        <w:pStyle w:val="BodyText"/>
        <w:spacing w:line="360" w:lineRule="auto"/>
        <w:ind w:left="1080"/>
        <w:jc w:val="both"/>
        <w:rPr>
          <w:sz w:val="24"/>
          <w:szCs w:val="24"/>
        </w:rPr>
      </w:pPr>
    </w:p>
    <w:p w:rsidR="009A627B" w:rsidRPr="009A627B" w:rsidRDefault="009A627B" w:rsidP="009A627B">
      <w:pPr>
        <w:pStyle w:val="BodyText"/>
        <w:spacing w:line="360" w:lineRule="auto"/>
        <w:ind w:left="1080"/>
        <w:jc w:val="both"/>
        <w:rPr>
          <w:sz w:val="24"/>
          <w:szCs w:val="24"/>
        </w:rPr>
      </w:pPr>
      <w:r w:rsidRPr="009A627B">
        <w:rPr>
          <w:sz w:val="24"/>
          <w:szCs w:val="24"/>
        </w:rPr>
        <w:t>We considered the</w:t>
      </w:r>
      <w:r w:rsidR="00755051">
        <w:rPr>
          <w:sz w:val="24"/>
          <w:szCs w:val="24"/>
        </w:rPr>
        <w:t xml:space="preserve"> </w:t>
      </w:r>
      <w:r w:rsidRPr="009A627B">
        <w:rPr>
          <w:sz w:val="24"/>
          <w:szCs w:val="24"/>
        </w:rPr>
        <w:t>negative binomial GLM on positive and zero catches</w:t>
      </w:r>
      <w:r w:rsidR="00755051">
        <w:rPr>
          <w:sz w:val="24"/>
          <w:szCs w:val="24"/>
        </w:rPr>
        <w:t xml:space="preserve"> to select the explanatory variables. The response variable CPUE is the observer sample catch record for a pot haul. W</w:t>
      </w:r>
      <w:r w:rsidRPr="009A627B">
        <w:rPr>
          <w:sz w:val="24"/>
          <w:szCs w:val="24"/>
        </w:rPr>
        <w:t>e assumed the null model to be</w:t>
      </w:r>
    </w:p>
    <w:p w:rsidR="009A627B" w:rsidRDefault="009A627B" w:rsidP="00755051">
      <w:pPr>
        <w:pStyle w:val="ListParagraph"/>
        <w:autoSpaceDE w:val="0"/>
        <w:autoSpaceDN w:val="0"/>
        <w:adjustRightInd w:val="0"/>
        <w:spacing w:line="360" w:lineRule="auto"/>
      </w:pPr>
    </w:p>
    <w:p w:rsidR="009A627B" w:rsidRDefault="009374C7" w:rsidP="00755051">
      <w:pPr>
        <w:pStyle w:val="ListParagraph"/>
        <w:autoSpaceDE w:val="0"/>
        <w:autoSpaceDN w:val="0"/>
        <w:adjustRightInd w:val="0"/>
        <w:spacing w:line="360" w:lineRule="auto"/>
      </w:pPr>
      <m:oMath>
        <m:sSub>
          <m:sSubPr>
            <m:ctrlPr>
              <w:rPr>
                <w:rFonts w:ascii="Cambria Math" w:hAnsi="Cambria Math"/>
              </w:rPr>
            </m:ctrlPr>
          </m:sSubPr>
          <m:e>
            <m:r>
              <w:rPr>
                <w:rFonts w:ascii="Cambria Math" w:hAnsi="Cambria Math"/>
              </w:rPr>
              <m:t>CPUE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Year</m:t>
            </m:r>
          </m:e>
          <m:sub>
            <m:sSub>
              <m:sSubPr>
                <m:ctrlPr>
                  <w:rPr>
                    <w:rFonts w:ascii="Cambria Math" w:hAnsi="Cambria Math"/>
                    <w:i/>
                  </w:rPr>
                </m:ctrlPr>
              </m:sSubPr>
              <m:e>
                <m:r>
                  <w:rPr>
                    <w:rFonts w:ascii="Cambria Math" w:hAnsi="Cambria Math"/>
                  </w:rPr>
                  <m:t>y</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oMath>
      <w:r w:rsidR="009A627B">
        <w:t xml:space="preserve"> .              </w:t>
      </w:r>
      <w:r w:rsidR="00755051">
        <w:t xml:space="preserve">                   </w:t>
      </w:r>
      <w:r w:rsidR="009A627B">
        <w:tab/>
        <w:t xml:space="preserve">          </w:t>
      </w:r>
      <w:r w:rsidR="009A627B">
        <w:tab/>
        <w:t>(</w:t>
      </w:r>
      <w:r w:rsidR="00755051">
        <w:t>2</w:t>
      </w:r>
      <w:r w:rsidR="009A627B">
        <w:t>)</w:t>
      </w:r>
    </w:p>
    <w:p w:rsidR="009A627B" w:rsidRDefault="009A627B" w:rsidP="00755051">
      <w:pPr>
        <w:pStyle w:val="ListParagraph"/>
        <w:autoSpaceDE w:val="0"/>
        <w:autoSpaceDN w:val="0"/>
        <w:adjustRightInd w:val="0"/>
        <w:spacing w:line="360" w:lineRule="auto"/>
      </w:pPr>
    </w:p>
    <w:p w:rsidR="009A627B" w:rsidRDefault="009A627B" w:rsidP="00755051">
      <w:pPr>
        <w:pStyle w:val="ListParagraph"/>
        <w:autoSpaceDE w:val="0"/>
        <w:autoSpaceDN w:val="0"/>
        <w:adjustRightInd w:val="0"/>
        <w:spacing w:line="360" w:lineRule="auto"/>
      </w:pPr>
      <w:r>
        <w:t>The maximum set of model terms offered to the stepwise selection procedure was:</w:t>
      </w:r>
    </w:p>
    <w:p w:rsidR="009A627B" w:rsidRDefault="009A627B" w:rsidP="00755051">
      <w:pPr>
        <w:pStyle w:val="ListParagraph"/>
        <w:autoSpaceDE w:val="0"/>
        <w:autoSpaceDN w:val="0"/>
        <w:adjustRightInd w:val="0"/>
        <w:spacing w:line="360" w:lineRule="auto"/>
      </w:pPr>
    </w:p>
    <w:p w:rsidR="009A627B" w:rsidRDefault="009374C7" w:rsidP="00F07A58">
      <w:pPr>
        <w:pStyle w:val="ListParagraph"/>
        <w:autoSpaceDE w:val="0"/>
        <w:autoSpaceDN w:val="0"/>
        <w:adjustRightInd w:val="0"/>
        <w:spacing w:line="360" w:lineRule="auto"/>
      </w:pPr>
      <m:oMath>
        <m:sSub>
          <m:sSubPr>
            <m:ctrlPr>
              <w:rPr>
                <w:rFonts w:ascii="Cambria Math" w:hAnsi="Cambria Math"/>
              </w:rPr>
            </m:ctrlPr>
          </m:sSubPr>
          <m:e>
            <m:r>
              <w:rPr>
                <w:rFonts w:ascii="Cambria Math" w:hAnsi="Cambria Math"/>
              </w:rPr>
              <m:t>CPUE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Year</m:t>
            </m:r>
          </m:e>
          <m:sub>
            <m:sSub>
              <m:sSubPr>
                <m:ctrlPr>
                  <w:rPr>
                    <w:rFonts w:ascii="Cambria Math" w:hAnsi="Cambria Math"/>
                    <w:i/>
                  </w:rPr>
                </m:ctrlPr>
              </m:sSubPr>
              <m:e>
                <m:r>
                  <w:rPr>
                    <w:rFonts w:ascii="Cambria Math" w:hAnsi="Cambria Math"/>
                  </w:rPr>
                  <m:t>y</m:t>
                </m:r>
              </m:e>
              <m:sub>
                <m:r>
                  <w:rPr>
                    <w:rFonts w:ascii="Cambria Math" w:hAnsi="Cambria Math"/>
                  </w:rPr>
                  <m:t>i</m:t>
                </m:r>
              </m:sub>
            </m:sSub>
          </m:sub>
        </m:sSub>
        <m:r>
          <w:rPr>
            <w:rFonts w:ascii="Cambria Math" w:hAnsi="Cambria Math"/>
          </w:rPr>
          <m:t>+ns</m:t>
        </m:r>
        <m:d>
          <m:dPr>
            <m:ctrlPr>
              <w:rPr>
                <w:rFonts w:ascii="Cambria Math" w:hAnsi="Cambria Math"/>
                <w:i/>
              </w:rPr>
            </m:ctrlPr>
          </m:dPr>
          <m:e>
            <m:sSub>
              <m:sSubPr>
                <m:ctrlPr>
                  <w:rPr>
                    <w:rFonts w:ascii="Cambria Math" w:hAnsi="Cambria Math"/>
                    <w:i/>
                  </w:rPr>
                </m:ctrlPr>
              </m:sSubPr>
              <m:e>
                <m:r>
                  <w:rPr>
                    <w:rFonts w:ascii="Cambria Math" w:hAnsi="Cambria Math"/>
                  </w:rPr>
                  <m:t>Soak</m:t>
                </m:r>
              </m:e>
              <m:sub>
                <m:r>
                  <w:rPr>
                    <w:rFonts w:ascii="Cambria Math" w:hAnsi="Cambria Math"/>
                  </w:rPr>
                  <m:t>si</m:t>
                </m:r>
              </m:sub>
            </m:sSub>
            <m:r>
              <w:rPr>
                <w:rFonts w:ascii="Cambria Math" w:hAnsi="Cambria Math"/>
              </w:rPr>
              <m:t>,df</m:t>
            </m:r>
          </m:e>
        </m:d>
        <m:r>
          <w:rPr>
            <w:rFonts w:ascii="Cambria Math" w:hAnsi="Cambria Math"/>
          </w:rPr>
          <m:t>+</m:t>
        </m:r>
        <m:sSub>
          <m:sSubPr>
            <m:ctrlPr>
              <w:rPr>
                <w:rFonts w:ascii="Cambria Math" w:hAnsi="Cambria Math"/>
                <w:i/>
              </w:rPr>
            </m:ctrlPr>
          </m:sSubPr>
          <m:e>
            <m:r>
              <w:rPr>
                <w:rFonts w:ascii="Cambria Math" w:hAnsi="Cambria Math"/>
              </w:rPr>
              <m:t>Month</m:t>
            </m:r>
          </m:e>
          <m:sub>
            <m:sSub>
              <m:sSubPr>
                <m:ctrlPr>
                  <w:rPr>
                    <w:rFonts w:ascii="Cambria Math" w:hAnsi="Cambria Math"/>
                    <w:i/>
                  </w:rPr>
                </m:ctrlPr>
              </m:sSubPr>
              <m:e>
                <m:r>
                  <w:rPr>
                    <w:rFonts w:ascii="Cambria Math" w:hAnsi="Cambria Math"/>
                  </w:rPr>
                  <m:t>m</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Area</m:t>
            </m:r>
          </m:e>
          <m:sub>
            <m:r>
              <w:rPr>
                <w:rFonts w:ascii="Cambria Math" w:hAnsi="Cambria Math"/>
              </w:rPr>
              <m:t>ai</m:t>
            </m:r>
          </m:sub>
        </m:sSub>
        <m:r>
          <w:rPr>
            <w:rFonts w:ascii="Cambria Math" w:hAnsi="Cambria Math"/>
          </w:rPr>
          <m:t>+</m:t>
        </m:r>
        <m:sSub>
          <m:sSubPr>
            <m:ctrlPr>
              <w:rPr>
                <w:rFonts w:ascii="Cambria Math" w:hAnsi="Cambria Math"/>
                <w:i/>
              </w:rPr>
            </m:ctrlPr>
          </m:sSubPr>
          <m:e>
            <m:r>
              <w:rPr>
                <w:rFonts w:ascii="Cambria Math" w:hAnsi="Cambria Math"/>
              </w:rPr>
              <m:t>Vessel</m:t>
            </m:r>
          </m:e>
          <m:sub>
            <m:r>
              <w:rPr>
                <w:rFonts w:ascii="Cambria Math" w:hAnsi="Cambria Math"/>
              </w:rPr>
              <m:t>vi</m:t>
            </m:r>
          </m:sub>
        </m:sSub>
        <m:r>
          <w:rPr>
            <w:rFonts w:ascii="Cambria Math" w:hAnsi="Cambria Math"/>
          </w:rPr>
          <m:t>+</m:t>
        </m:r>
        <m:sSub>
          <m:sSubPr>
            <m:ctrlPr>
              <w:rPr>
                <w:rFonts w:ascii="Cambria Math" w:hAnsi="Cambria Math"/>
                <w:i/>
              </w:rPr>
            </m:ctrlPr>
          </m:sSubPr>
          <m:e>
            <m:r>
              <w:rPr>
                <w:rFonts w:ascii="Cambria Math" w:hAnsi="Cambria Math"/>
              </w:rPr>
              <m:t>Captain</m:t>
            </m:r>
          </m:e>
          <m:sub>
            <m:r>
              <w:rPr>
                <w:rFonts w:ascii="Cambria Math" w:hAnsi="Cambria Math"/>
              </w:rPr>
              <m:t>ci</m:t>
            </m:r>
          </m:sub>
        </m:sSub>
        <m:r>
          <w:rPr>
            <w:rFonts w:ascii="Cambria Math" w:hAnsi="Cambria Math"/>
          </w:rPr>
          <m:t>+</m:t>
        </m:r>
        <m:sSub>
          <m:sSubPr>
            <m:ctrlPr>
              <w:rPr>
                <w:rFonts w:ascii="Cambria Math" w:hAnsi="Cambria Math"/>
                <w:i/>
              </w:rPr>
            </m:ctrlPr>
          </m:sSubPr>
          <m:e>
            <m:r>
              <w:rPr>
                <w:rFonts w:ascii="Cambria Math" w:hAnsi="Cambria Math"/>
              </w:rPr>
              <m:t>Gear</m:t>
            </m:r>
          </m:e>
          <m:sub>
            <m:r>
              <w:rPr>
                <w:rFonts w:ascii="Cambria Math" w:hAnsi="Cambria Math"/>
              </w:rPr>
              <m:t>gi</m:t>
            </m:r>
          </m:sub>
        </m:sSub>
        <m:r>
          <w:rPr>
            <w:rFonts w:ascii="Cambria Math" w:hAnsi="Cambria Math"/>
          </w:rPr>
          <m:t>+ns</m:t>
        </m:r>
        <m:d>
          <m:dPr>
            <m:ctrlPr>
              <w:rPr>
                <w:rFonts w:ascii="Cambria Math" w:hAnsi="Cambria Math"/>
                <w:i/>
              </w:rPr>
            </m:ctrlPr>
          </m:dPr>
          <m:e>
            <m:sSub>
              <m:sSubPr>
                <m:ctrlPr>
                  <w:rPr>
                    <w:rFonts w:ascii="Cambria Math" w:hAnsi="Cambria Math"/>
                    <w:i/>
                  </w:rPr>
                </m:ctrlPr>
              </m:sSubPr>
              <m:e>
                <m:r>
                  <w:rPr>
                    <w:rFonts w:ascii="Cambria Math" w:hAnsi="Cambria Math"/>
                  </w:rPr>
                  <m:t>Depth</m:t>
                </m:r>
              </m:e>
              <m:sub>
                <m:r>
                  <w:rPr>
                    <w:rFonts w:ascii="Cambria Math" w:hAnsi="Cambria Math"/>
                  </w:rPr>
                  <m:t>di</m:t>
                </m:r>
              </m:sub>
            </m:sSub>
            <m:r>
              <w:rPr>
                <w:rFonts w:ascii="Cambria Math" w:hAnsi="Cambria Math"/>
              </w:rPr>
              <m:t>,df</m:t>
            </m:r>
          </m:e>
        </m:d>
        <m:r>
          <w:rPr>
            <w:rFonts w:ascii="Cambria Math" w:hAnsi="Cambria Math"/>
          </w:rPr>
          <m:t>+ns(</m:t>
        </m:r>
        <m:sSub>
          <m:sSubPr>
            <m:ctrlPr>
              <w:rPr>
                <w:rFonts w:ascii="Cambria Math" w:hAnsi="Cambria Math"/>
                <w:i/>
              </w:rPr>
            </m:ctrlPr>
          </m:sSubPr>
          <m:e>
            <m:r>
              <w:rPr>
                <w:rFonts w:ascii="Cambria Math" w:hAnsi="Cambria Math"/>
              </w:rPr>
              <m:t>VesSoak</m:t>
            </m:r>
          </m:e>
          <m:sub>
            <m:r>
              <w:rPr>
                <w:rFonts w:ascii="Cambria Math" w:hAnsi="Cambria Math"/>
              </w:rPr>
              <m:t>vsi</m:t>
            </m:r>
          </m:sub>
        </m:sSub>
        <m:r>
          <w:rPr>
            <w:rFonts w:ascii="Cambria Math" w:hAnsi="Cambria Math"/>
          </w:rPr>
          <m:t>,df)+</m:t>
        </m:r>
        <m:sSub>
          <m:sSubPr>
            <m:ctrlPr>
              <w:rPr>
                <w:rFonts w:ascii="Cambria Math" w:hAnsi="Cambria Math"/>
                <w:i/>
              </w:rPr>
            </m:ctrlPr>
          </m:sSubPr>
          <m:e>
            <m:r>
              <w:rPr>
                <w:rFonts w:ascii="Cambria Math" w:hAnsi="Cambria Math"/>
              </w:rPr>
              <m:t>ε</m:t>
            </m:r>
          </m:e>
          <m:sub>
            <m:r>
              <w:rPr>
                <w:rFonts w:ascii="Cambria Math" w:hAnsi="Cambria Math"/>
              </w:rPr>
              <m:t>i</m:t>
            </m:r>
          </m:sub>
        </m:sSub>
      </m:oMath>
      <w:r w:rsidR="009A627B">
        <w:t xml:space="preserve"> ,                                                                                                                              </w:t>
      </w:r>
    </w:p>
    <w:p w:rsidR="009A627B" w:rsidRDefault="009A627B" w:rsidP="00755051">
      <w:pPr>
        <w:pStyle w:val="ListParagraph"/>
        <w:autoSpaceDE w:val="0"/>
        <w:autoSpaceDN w:val="0"/>
        <w:adjustRightInd w:val="0"/>
        <w:spacing w:line="360" w:lineRule="auto"/>
      </w:pPr>
      <w:r>
        <w:t xml:space="preserve">    </w:t>
      </w:r>
      <w:r>
        <w:tab/>
      </w:r>
      <w:r>
        <w:tab/>
      </w:r>
      <w:r>
        <w:tab/>
      </w:r>
      <w:r>
        <w:tab/>
      </w:r>
      <w:r>
        <w:tab/>
      </w:r>
      <w:r>
        <w:tab/>
      </w:r>
      <w:r>
        <w:tab/>
      </w:r>
      <w:r>
        <w:tab/>
      </w:r>
      <w:r>
        <w:tab/>
      </w:r>
      <w:r>
        <w:tab/>
      </w:r>
      <w:r>
        <w:tab/>
        <w:t xml:space="preserve">          </w:t>
      </w:r>
      <w:r>
        <w:tab/>
        <w:t>(</w:t>
      </w:r>
      <w:r w:rsidR="00755051">
        <w:t>3</w:t>
      </w:r>
      <w:r>
        <w:t>)</w:t>
      </w:r>
    </w:p>
    <w:p w:rsidR="00331C16" w:rsidRDefault="009A627B" w:rsidP="00331C16">
      <w:pPr>
        <w:pStyle w:val="ListParagraph"/>
        <w:autoSpaceDE w:val="0"/>
        <w:autoSpaceDN w:val="0"/>
        <w:adjustRightInd w:val="0"/>
        <w:spacing w:line="360" w:lineRule="auto"/>
      </w:pPr>
      <w:r>
        <w:t>We used a log link function and a dispersion parameter (</w:t>
      </w:r>
      <w:r>
        <w:rPr>
          <w:i/>
        </w:rPr>
        <w:sym w:font="Symbol" w:char="F071"/>
      </w:r>
      <w:r>
        <w:t>) value in the GLM fitting process</w:t>
      </w:r>
      <w:r w:rsidR="00D30E5C">
        <w:t xml:space="preserve"> (September 2013 CPT presentation)</w:t>
      </w:r>
      <w:r>
        <w:t xml:space="preserve">. </w:t>
      </w:r>
    </w:p>
    <w:p w:rsidR="009A627B" w:rsidRDefault="000F5EF8" w:rsidP="00331C16">
      <w:pPr>
        <w:pStyle w:val="ListParagraph"/>
        <w:autoSpaceDE w:val="0"/>
        <w:autoSpaceDN w:val="0"/>
        <w:adjustRightInd w:val="0"/>
        <w:spacing w:line="360" w:lineRule="auto"/>
      </w:pPr>
      <w:r>
        <w:t>The final models for EAG were:</w:t>
      </w:r>
    </w:p>
    <w:p w:rsidR="009A627B" w:rsidRDefault="009A627B" w:rsidP="00331C16">
      <w:pPr>
        <w:pStyle w:val="ListParagraph"/>
      </w:pPr>
    </w:p>
    <w:p w:rsidR="009A627B" w:rsidRDefault="000F5EF8" w:rsidP="00755051">
      <w:pPr>
        <w:pStyle w:val="BodyText"/>
        <w:spacing w:line="360" w:lineRule="auto"/>
        <w:ind w:left="1080"/>
        <w:jc w:val="both"/>
      </w:pPr>
      <w:r w:rsidRPr="00081A30">
        <w:t xml:space="preserve">CPUE = Year+Gear+Captain+Soak </w:t>
      </w:r>
      <w:r w:rsidR="00331C16">
        <w:t>(forced in)</w:t>
      </w:r>
      <w:r w:rsidRPr="00081A30">
        <w:t xml:space="preserve"> </w:t>
      </w:r>
      <w:r>
        <w:t xml:space="preserve"> </w:t>
      </w:r>
      <w:r w:rsidR="00331C16">
        <w:t xml:space="preserve">  (4)        </w:t>
      </w:r>
      <w:r>
        <w:t>for the 1995-2004 period, and</w:t>
      </w:r>
    </w:p>
    <w:p w:rsidR="000F5EF8" w:rsidRDefault="00081A30" w:rsidP="00755051">
      <w:pPr>
        <w:pStyle w:val="BodyText"/>
        <w:spacing w:line="360" w:lineRule="auto"/>
        <w:ind w:left="1080"/>
        <w:jc w:val="both"/>
      </w:pPr>
      <w:r>
        <w:t xml:space="preserve">CPUE = Year + Captain + Soak + Gear </w:t>
      </w:r>
      <w:r w:rsidR="00331C16">
        <w:t xml:space="preserve">  </w:t>
      </w:r>
      <w:r>
        <w:t xml:space="preserve"> </w:t>
      </w:r>
      <w:r w:rsidR="00331C16">
        <w:t xml:space="preserve">            (5) </w:t>
      </w:r>
      <w:r>
        <w:t>for the 2005-2012 period</w:t>
      </w:r>
    </w:p>
    <w:p w:rsidR="00081A30" w:rsidRDefault="00081A30" w:rsidP="00081A30">
      <w:pPr>
        <w:pStyle w:val="ListParagraph"/>
        <w:autoSpaceDE w:val="0"/>
        <w:autoSpaceDN w:val="0"/>
        <w:adjustRightInd w:val="0"/>
        <w:spacing w:line="360" w:lineRule="auto"/>
      </w:pPr>
      <w:r>
        <w:t>The final models for WAG were:</w:t>
      </w:r>
    </w:p>
    <w:p w:rsidR="00081A30" w:rsidRDefault="00081A30" w:rsidP="00081A30">
      <w:pPr>
        <w:pStyle w:val="BodyText"/>
        <w:spacing w:line="360" w:lineRule="auto"/>
        <w:ind w:left="1080"/>
        <w:jc w:val="both"/>
      </w:pPr>
      <w:r>
        <w:t xml:space="preserve"> CPUE = Year + Captain + Gear + Soak  </w:t>
      </w:r>
      <w:r w:rsidRPr="00081A30">
        <w:t xml:space="preserve">  </w:t>
      </w:r>
      <w:r>
        <w:t xml:space="preserve"> </w:t>
      </w:r>
      <w:r w:rsidR="00D30E5C">
        <w:t xml:space="preserve">          (6) </w:t>
      </w:r>
      <w:r>
        <w:t>for the 1995-2004 period, and</w:t>
      </w:r>
    </w:p>
    <w:p w:rsidR="00081A30" w:rsidRDefault="00081A30" w:rsidP="00081A30">
      <w:pPr>
        <w:pStyle w:val="ListParagraph"/>
        <w:autoSpaceDE w:val="0"/>
        <w:autoSpaceDN w:val="0"/>
        <w:adjustRightInd w:val="0"/>
        <w:spacing w:line="360" w:lineRule="auto"/>
      </w:pPr>
      <w:r>
        <w:t xml:space="preserve">      CPUE = Year + Captain + Depth+ Soak </w:t>
      </w:r>
      <w:r w:rsidR="00331C16">
        <w:t xml:space="preserve">(forced in)  </w:t>
      </w:r>
      <w:r w:rsidR="00D30E5C">
        <w:t xml:space="preserve">    (7)  </w:t>
      </w:r>
      <w:r>
        <w:t>for the 2005-2012 period.</w:t>
      </w:r>
    </w:p>
    <w:p w:rsidR="00081A30" w:rsidRDefault="00081A30" w:rsidP="00755051">
      <w:pPr>
        <w:pStyle w:val="BodyText"/>
        <w:spacing w:line="360" w:lineRule="auto"/>
        <w:ind w:left="1080"/>
        <w:jc w:val="both"/>
      </w:pPr>
    </w:p>
    <w:p w:rsidR="00D30E5C" w:rsidRDefault="00D30E5C" w:rsidP="00755051">
      <w:pPr>
        <w:pStyle w:val="BodyText"/>
        <w:spacing w:line="360" w:lineRule="auto"/>
        <w:ind w:left="1080"/>
        <w:jc w:val="both"/>
      </w:pPr>
      <w:r>
        <w:t xml:space="preserve">Figures 7 and 29 </w:t>
      </w:r>
      <w:r w:rsidR="00372AC2">
        <w:t xml:space="preserve">depict </w:t>
      </w:r>
      <w:r>
        <w:t>the trends in nominal and standardized CPUE indices for EAG and WAG, respectively.</w:t>
      </w:r>
    </w:p>
    <w:p w:rsidR="00CB35ED" w:rsidRDefault="00CB35ED" w:rsidP="00755051">
      <w:pPr>
        <w:pStyle w:val="BodyText"/>
        <w:spacing w:line="360" w:lineRule="auto"/>
        <w:ind w:left="1080"/>
        <w:jc w:val="both"/>
      </w:pPr>
      <w:r>
        <w:t>We also used the standardiz</w:t>
      </w:r>
      <w:r w:rsidR="00FB674C">
        <w:t>ed CPUE indices</w:t>
      </w:r>
      <w:r>
        <w:t xml:space="preserve"> to transform the nominal CPUE values into standardized CPUE values by </w:t>
      </w:r>
      <w:r w:rsidR="00FB674C">
        <w:t xml:space="preserve">first calculating </w:t>
      </w:r>
      <w:r>
        <w:t xml:space="preserve">the geometric </w:t>
      </w:r>
      <w:r w:rsidR="00FB674C">
        <w:t>mean</w:t>
      </w:r>
      <w:r>
        <w:t xml:space="preserve"> </w:t>
      </w:r>
      <w:r w:rsidR="00FB674C">
        <w:t xml:space="preserve">of nominal CPUE </w:t>
      </w:r>
      <w:r>
        <w:t>for each period (1</w:t>
      </w:r>
      <w:r w:rsidR="00FB674C">
        <w:t xml:space="preserve">995-2004 and 2005-2012) and then multiplying each period’s annual CPUE indices by </w:t>
      </w:r>
      <w:r>
        <w:t xml:space="preserve"> </w:t>
      </w:r>
      <w:r w:rsidR="00FB674C">
        <w:t>the respective period’s geometric mean</w:t>
      </w:r>
      <w:r w:rsidR="00C034AF">
        <w:t xml:space="preserve"> (Starr, 2012)</w:t>
      </w:r>
      <w:r w:rsidR="00FB674C">
        <w:t>. The geometric mean formula is</w:t>
      </w:r>
    </w:p>
    <w:p w:rsidR="00FB674C" w:rsidRDefault="00FB674C" w:rsidP="00755051">
      <w:pPr>
        <w:pStyle w:val="BodyText"/>
        <w:spacing w:line="360" w:lineRule="auto"/>
        <w:ind w:left="1080"/>
        <w:jc w:val="both"/>
      </w:pPr>
    </w:p>
    <w:p w:rsidR="00FB674C" w:rsidRDefault="009374C7" w:rsidP="00755051">
      <w:pPr>
        <w:pStyle w:val="BodyText"/>
        <w:spacing w:line="360" w:lineRule="auto"/>
        <w:ind w:left="1080"/>
        <w:jc w:val="both"/>
      </w:pPr>
      <m:oMath>
        <m:sSub>
          <m:sSubPr>
            <m:ctrlPr>
              <w:rPr>
                <w:rFonts w:ascii="Cambria Math" w:hAnsi="Cambria Math"/>
                <w:i/>
              </w:rPr>
            </m:ctrlPr>
          </m:sSubPr>
          <m:e>
            <m:acc>
              <m:accPr>
                <m:ctrlPr>
                  <w:rPr>
                    <w:rFonts w:ascii="Cambria Math" w:hAnsi="Cambria Math"/>
                    <w:i/>
                  </w:rPr>
                </m:ctrlPr>
              </m:accPr>
              <m:e>
                <m:r>
                  <w:rPr>
                    <w:rFonts w:ascii="Cambria Math" w:hAnsi="Cambria Math"/>
                  </w:rPr>
                  <m:t>GM</m:t>
                </m:r>
              </m:e>
            </m:acc>
          </m:e>
          <m:sub>
            <m:r>
              <w:rPr>
                <w:rFonts w:ascii="Cambria Math" w:hAnsi="Cambria Math"/>
              </w:rPr>
              <m:t>period i</m:t>
            </m:r>
          </m:sub>
        </m:sSub>
        <m:r>
          <w:rPr>
            <w:rFonts w:ascii="Cambria Math" w:hAnsi="Cambria Math"/>
          </w:rPr>
          <m:t xml:space="preserve">= </m:t>
        </m:r>
        <m:sSup>
          <m:sSupPr>
            <m:ctrlPr>
              <w:rPr>
                <w:rFonts w:ascii="Cambria Math" w:hAnsi="Cambria Math"/>
                <w:i/>
              </w:rPr>
            </m:ctrlPr>
          </m:sSupPr>
          <m:e>
            <m:r>
              <w:rPr>
                <w:rFonts w:ascii="Cambria Math" w:hAnsi="Cambria Math"/>
              </w:rPr>
              <m:t>e</m:t>
            </m:r>
          </m:e>
          <m:sup>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j</m:t>
                    </m:r>
                  </m:sub>
                  <m:sup/>
                  <m:e>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CPUE</m:t>
                        </m:r>
                      </m:e>
                      <m:sub>
                        <m:r>
                          <w:rPr>
                            <w:rFonts w:ascii="Cambria Math" w:hAnsi="Cambria Math"/>
                          </w:rPr>
                          <m:t>j</m:t>
                        </m:r>
                      </m:sub>
                    </m:sSub>
                    <m:r>
                      <w:rPr>
                        <w:rFonts w:ascii="Cambria Math" w:hAnsi="Cambria Math"/>
                      </w:rPr>
                      <m:t>)</m:t>
                    </m:r>
                  </m:e>
                </m:nary>
              </m:num>
              <m:den>
                <m:sSub>
                  <m:sSubPr>
                    <m:ctrlPr>
                      <w:rPr>
                        <w:rFonts w:ascii="Cambria Math" w:hAnsi="Cambria Math"/>
                        <w:i/>
                      </w:rPr>
                    </m:ctrlPr>
                  </m:sSubPr>
                  <m:e>
                    <m:r>
                      <w:rPr>
                        <w:rFonts w:ascii="Cambria Math" w:hAnsi="Cambria Math"/>
                      </w:rPr>
                      <m:t>n</m:t>
                    </m:r>
                  </m:e>
                  <m:sub>
                    <m:r>
                      <w:rPr>
                        <w:rFonts w:ascii="Cambria Math" w:hAnsi="Cambria Math"/>
                      </w:rPr>
                      <m:t>i</m:t>
                    </m:r>
                  </m:sub>
                </m:sSub>
              </m:den>
            </m:f>
          </m:sup>
        </m:sSup>
      </m:oMath>
      <w:r w:rsidR="00FA0288">
        <w:t xml:space="preserve">                                                                      (8)</w:t>
      </w:r>
    </w:p>
    <w:p w:rsidR="00CB35ED" w:rsidRDefault="00CB35ED" w:rsidP="00755051">
      <w:pPr>
        <w:pStyle w:val="BodyText"/>
        <w:spacing w:line="360" w:lineRule="auto"/>
        <w:ind w:left="1080"/>
        <w:jc w:val="both"/>
      </w:pPr>
      <w:r>
        <w:t xml:space="preserve"> </w:t>
      </w:r>
      <w:r w:rsidR="00FB674C">
        <w:t xml:space="preserve">Where </w:t>
      </w:r>
      <w:r w:rsidR="00FA0288">
        <w:t>GM is the geometric mean of CPUE for the period i and n</w:t>
      </w:r>
      <w:r w:rsidR="00FA0288" w:rsidRPr="00FA0288">
        <w:rPr>
          <w:vertAlign w:val="subscript"/>
        </w:rPr>
        <w:t>i</w:t>
      </w:r>
      <w:r w:rsidR="00FA0288">
        <w:t xml:space="preserve"> is the number of years in period i.</w:t>
      </w:r>
    </w:p>
    <w:p w:rsidR="0062000C" w:rsidRDefault="0062000C" w:rsidP="0062000C">
      <w:pPr>
        <w:pStyle w:val="BodyText"/>
        <w:spacing w:line="360" w:lineRule="auto"/>
        <w:jc w:val="both"/>
      </w:pPr>
    </w:p>
    <w:p w:rsidR="00081A30" w:rsidRPr="000F5EF8" w:rsidRDefault="00081A30" w:rsidP="00755051">
      <w:pPr>
        <w:pStyle w:val="BodyText"/>
        <w:spacing w:line="360" w:lineRule="auto"/>
        <w:ind w:left="1080"/>
        <w:jc w:val="both"/>
        <w:rPr>
          <w:sz w:val="24"/>
          <w:szCs w:val="24"/>
        </w:rPr>
      </w:pPr>
    </w:p>
    <w:p w:rsidR="009A627B" w:rsidRDefault="0062000C" w:rsidP="00755051">
      <w:pPr>
        <w:pStyle w:val="BodyText"/>
        <w:spacing w:line="360" w:lineRule="auto"/>
        <w:ind w:left="1080"/>
        <w:jc w:val="both"/>
        <w:rPr>
          <w:sz w:val="24"/>
          <w:szCs w:val="24"/>
        </w:rPr>
      </w:pPr>
      <w:r>
        <w:rPr>
          <w:sz w:val="24"/>
          <w:szCs w:val="24"/>
        </w:rPr>
        <w:t>We have provided the nominal CPUE standardized in this way in Tables 2 and 13 for EAG and WAG, respectively.</w:t>
      </w:r>
    </w:p>
    <w:p w:rsidR="006C7E54" w:rsidRDefault="006C7E54" w:rsidP="00D72867">
      <w:pPr>
        <w:pStyle w:val="BodyText"/>
        <w:numPr>
          <w:ilvl w:val="0"/>
          <w:numId w:val="26"/>
        </w:numPr>
        <w:spacing w:line="360" w:lineRule="auto"/>
        <w:ind w:left="1080"/>
        <w:jc w:val="both"/>
        <w:rPr>
          <w:sz w:val="24"/>
          <w:szCs w:val="24"/>
        </w:rPr>
      </w:pPr>
      <w:r w:rsidRPr="00F320B1">
        <w:rPr>
          <w:sz w:val="24"/>
          <w:szCs w:val="24"/>
        </w:rPr>
        <w:t>Changes to any of the above since the previous assessment: Does not apply for this assessment since the model has not yet been used.</w:t>
      </w:r>
    </w:p>
    <w:p w:rsidR="00E6406E" w:rsidRPr="00F320B1" w:rsidRDefault="00E6406E" w:rsidP="00D72867">
      <w:pPr>
        <w:pStyle w:val="BodyText"/>
        <w:numPr>
          <w:ilvl w:val="0"/>
          <w:numId w:val="26"/>
        </w:numPr>
        <w:spacing w:line="360" w:lineRule="auto"/>
        <w:ind w:left="1080"/>
        <w:jc w:val="both"/>
        <w:rPr>
          <w:sz w:val="24"/>
          <w:szCs w:val="24"/>
        </w:rPr>
      </w:pPr>
      <w:r w:rsidRPr="00F320B1">
        <w:rPr>
          <w:sz w:val="24"/>
          <w:szCs w:val="24"/>
        </w:rPr>
        <w:t xml:space="preserve">Model code </w:t>
      </w:r>
      <w:r w:rsidR="00786ADE" w:rsidRPr="00F320B1">
        <w:rPr>
          <w:sz w:val="24"/>
          <w:szCs w:val="24"/>
        </w:rPr>
        <w:t xml:space="preserve">has been checked by </w:t>
      </w:r>
      <w:r w:rsidR="00E43A0D" w:rsidRPr="00F320B1">
        <w:rPr>
          <w:sz w:val="24"/>
          <w:szCs w:val="24"/>
        </w:rPr>
        <w:t xml:space="preserve">one of </w:t>
      </w:r>
      <w:r w:rsidR="00786ADE" w:rsidRPr="00F320B1">
        <w:rPr>
          <w:sz w:val="24"/>
          <w:szCs w:val="24"/>
        </w:rPr>
        <w:t xml:space="preserve">the co-authors and validated. The code </w:t>
      </w:r>
      <w:r w:rsidRPr="00F320B1">
        <w:rPr>
          <w:sz w:val="24"/>
          <w:szCs w:val="24"/>
        </w:rPr>
        <w:t>is available from the author.</w:t>
      </w:r>
    </w:p>
    <w:p w:rsidR="009D3B78" w:rsidRDefault="009D3B78" w:rsidP="00C86259">
      <w:pPr>
        <w:pStyle w:val="BodyText"/>
        <w:spacing w:line="360" w:lineRule="auto"/>
        <w:ind w:left="360"/>
        <w:jc w:val="both"/>
        <w:rPr>
          <w:sz w:val="24"/>
          <w:szCs w:val="24"/>
        </w:rPr>
      </w:pPr>
    </w:p>
    <w:p w:rsidR="00E6406E" w:rsidRPr="00E6406E" w:rsidRDefault="00E6406E" w:rsidP="007C3C7A">
      <w:pPr>
        <w:pStyle w:val="BodyText"/>
        <w:numPr>
          <w:ilvl w:val="0"/>
          <w:numId w:val="1"/>
        </w:numPr>
        <w:spacing w:line="360" w:lineRule="auto"/>
        <w:jc w:val="both"/>
        <w:rPr>
          <w:i/>
          <w:sz w:val="24"/>
          <w:szCs w:val="24"/>
        </w:rPr>
      </w:pPr>
      <w:r>
        <w:rPr>
          <w:i/>
          <w:sz w:val="24"/>
          <w:szCs w:val="24"/>
        </w:rPr>
        <w:t>Model Selection and Evaluation</w:t>
      </w:r>
    </w:p>
    <w:p w:rsidR="0036448D" w:rsidRDefault="00E6406E" w:rsidP="00D72867">
      <w:pPr>
        <w:pStyle w:val="BodyText"/>
        <w:numPr>
          <w:ilvl w:val="0"/>
          <w:numId w:val="6"/>
        </w:numPr>
        <w:spacing w:line="360" w:lineRule="auto"/>
        <w:ind w:left="1080"/>
        <w:jc w:val="both"/>
        <w:rPr>
          <w:sz w:val="24"/>
          <w:szCs w:val="24"/>
        </w:rPr>
      </w:pPr>
      <w:r>
        <w:rPr>
          <w:sz w:val="24"/>
          <w:szCs w:val="24"/>
        </w:rPr>
        <w:lastRenderedPageBreak/>
        <w:t xml:space="preserve">Description of alternative model configurations: </w:t>
      </w:r>
    </w:p>
    <w:p w:rsidR="0036448D" w:rsidRDefault="0036448D" w:rsidP="00D72867">
      <w:pPr>
        <w:pStyle w:val="BodyText"/>
        <w:spacing w:line="360" w:lineRule="auto"/>
        <w:ind w:left="1080"/>
        <w:jc w:val="both"/>
        <w:rPr>
          <w:sz w:val="24"/>
          <w:szCs w:val="24"/>
        </w:rPr>
      </w:pPr>
      <w:r>
        <w:rPr>
          <w:sz w:val="24"/>
          <w:szCs w:val="24"/>
        </w:rPr>
        <w:t xml:space="preserve">We considered </w:t>
      </w:r>
      <w:r w:rsidR="00A26DAE">
        <w:rPr>
          <w:sz w:val="24"/>
          <w:szCs w:val="24"/>
        </w:rPr>
        <w:t xml:space="preserve">two </w:t>
      </w:r>
      <w:r>
        <w:rPr>
          <w:sz w:val="24"/>
          <w:szCs w:val="24"/>
        </w:rPr>
        <w:t>similar scenarios for EAG (details</w:t>
      </w:r>
      <w:r w:rsidR="003B6575">
        <w:rPr>
          <w:sz w:val="24"/>
          <w:szCs w:val="24"/>
        </w:rPr>
        <w:t xml:space="preserve"> are</w:t>
      </w:r>
      <w:r>
        <w:rPr>
          <w:sz w:val="24"/>
          <w:szCs w:val="24"/>
        </w:rPr>
        <w:t xml:space="preserve"> in Table 3) and WAG (details </w:t>
      </w:r>
      <w:r w:rsidR="003B6575">
        <w:rPr>
          <w:sz w:val="24"/>
          <w:szCs w:val="24"/>
        </w:rPr>
        <w:t xml:space="preserve">are </w:t>
      </w:r>
      <w:r>
        <w:rPr>
          <w:sz w:val="24"/>
          <w:szCs w:val="24"/>
        </w:rPr>
        <w:t xml:space="preserve">in Table </w:t>
      </w:r>
      <w:r w:rsidR="00691915">
        <w:rPr>
          <w:sz w:val="24"/>
          <w:szCs w:val="24"/>
        </w:rPr>
        <w:t>14</w:t>
      </w:r>
      <w:r>
        <w:rPr>
          <w:sz w:val="24"/>
          <w:szCs w:val="24"/>
        </w:rPr>
        <w:t xml:space="preserve">) and presented OFL and ABC results for </w:t>
      </w:r>
      <w:r w:rsidR="00A26DAE">
        <w:rPr>
          <w:sz w:val="24"/>
          <w:szCs w:val="24"/>
        </w:rPr>
        <w:t>both</w:t>
      </w:r>
      <w:r>
        <w:rPr>
          <w:sz w:val="24"/>
          <w:szCs w:val="24"/>
        </w:rPr>
        <w:t xml:space="preserve"> scenarios. The </w:t>
      </w:r>
      <w:r w:rsidR="00A26DAE">
        <w:rPr>
          <w:sz w:val="24"/>
          <w:szCs w:val="24"/>
        </w:rPr>
        <w:t xml:space="preserve">two </w:t>
      </w:r>
      <w:r>
        <w:rPr>
          <w:sz w:val="24"/>
          <w:szCs w:val="24"/>
        </w:rPr>
        <w:t>scenarios revolve</w:t>
      </w:r>
      <w:r w:rsidR="003B6575">
        <w:rPr>
          <w:sz w:val="24"/>
          <w:szCs w:val="24"/>
        </w:rPr>
        <w:t>d</w:t>
      </w:r>
      <w:r>
        <w:rPr>
          <w:sz w:val="24"/>
          <w:szCs w:val="24"/>
        </w:rPr>
        <w:t xml:space="preserve"> around:</w:t>
      </w:r>
    </w:p>
    <w:p w:rsidR="0036448D" w:rsidRDefault="0036448D" w:rsidP="00AA3A84">
      <w:pPr>
        <w:pStyle w:val="BodyText"/>
        <w:spacing w:line="360" w:lineRule="auto"/>
        <w:ind w:left="1080"/>
        <w:jc w:val="both"/>
        <w:rPr>
          <w:sz w:val="24"/>
          <w:szCs w:val="24"/>
        </w:rPr>
      </w:pPr>
    </w:p>
    <w:p w:rsidR="0036448D" w:rsidRDefault="0036448D" w:rsidP="00AA3A84">
      <w:pPr>
        <w:pStyle w:val="BodyText"/>
        <w:spacing w:line="360" w:lineRule="auto"/>
        <w:ind w:left="1080"/>
        <w:jc w:val="both"/>
        <w:rPr>
          <w:sz w:val="24"/>
          <w:szCs w:val="24"/>
        </w:rPr>
      </w:pPr>
      <w:r>
        <w:rPr>
          <w:sz w:val="24"/>
          <w:szCs w:val="24"/>
        </w:rPr>
        <w:t>Scenario 1: Determination of size transition matrix ignoring pseudo molt probability;</w:t>
      </w:r>
    </w:p>
    <w:p w:rsidR="0036448D" w:rsidRDefault="0036448D" w:rsidP="00A26DAE">
      <w:pPr>
        <w:pStyle w:val="BodyText"/>
        <w:spacing w:line="360" w:lineRule="auto"/>
        <w:ind w:left="1080"/>
        <w:jc w:val="both"/>
        <w:rPr>
          <w:sz w:val="24"/>
          <w:szCs w:val="24"/>
        </w:rPr>
      </w:pPr>
      <w:r>
        <w:rPr>
          <w:sz w:val="24"/>
          <w:szCs w:val="24"/>
        </w:rPr>
        <w:t xml:space="preserve">Scenario </w:t>
      </w:r>
      <w:r w:rsidR="00A26DAE">
        <w:rPr>
          <w:sz w:val="24"/>
          <w:szCs w:val="24"/>
        </w:rPr>
        <w:t>2</w:t>
      </w:r>
      <w:r>
        <w:rPr>
          <w:sz w:val="24"/>
          <w:szCs w:val="24"/>
        </w:rPr>
        <w:t xml:space="preserve">: Determination of size transition matrix </w:t>
      </w:r>
      <w:r w:rsidR="00CB35ED">
        <w:rPr>
          <w:sz w:val="24"/>
          <w:szCs w:val="24"/>
        </w:rPr>
        <w:t xml:space="preserve">considering </w:t>
      </w:r>
      <w:r>
        <w:rPr>
          <w:sz w:val="24"/>
          <w:szCs w:val="24"/>
        </w:rPr>
        <w:t>logistic pseudo molt probability.</w:t>
      </w:r>
    </w:p>
    <w:p w:rsidR="0036448D" w:rsidRDefault="0036448D" w:rsidP="00AA3A84">
      <w:pPr>
        <w:pStyle w:val="BodyText"/>
        <w:spacing w:line="360" w:lineRule="auto"/>
        <w:ind w:left="1080"/>
        <w:jc w:val="both"/>
        <w:rPr>
          <w:sz w:val="24"/>
          <w:szCs w:val="24"/>
        </w:rPr>
      </w:pPr>
    </w:p>
    <w:p w:rsidR="00E6406E" w:rsidRDefault="00AF0FAE" w:rsidP="00D72867">
      <w:pPr>
        <w:pStyle w:val="BodyText"/>
        <w:numPr>
          <w:ilvl w:val="0"/>
          <w:numId w:val="6"/>
        </w:numPr>
        <w:spacing w:line="360" w:lineRule="auto"/>
        <w:ind w:left="1080"/>
        <w:jc w:val="both"/>
        <w:rPr>
          <w:sz w:val="24"/>
          <w:szCs w:val="24"/>
        </w:rPr>
      </w:pPr>
      <w:r>
        <w:rPr>
          <w:sz w:val="24"/>
          <w:szCs w:val="24"/>
        </w:rPr>
        <w:t>No change</w:t>
      </w:r>
      <w:r w:rsidR="00D02243">
        <w:rPr>
          <w:sz w:val="24"/>
          <w:szCs w:val="24"/>
        </w:rPr>
        <w:t xml:space="preserve"> suggested</w:t>
      </w:r>
      <w:r>
        <w:rPr>
          <w:sz w:val="24"/>
          <w:szCs w:val="24"/>
        </w:rPr>
        <w:t>, entire time period</w:t>
      </w:r>
      <w:r w:rsidR="005022A6">
        <w:rPr>
          <w:sz w:val="24"/>
          <w:szCs w:val="24"/>
        </w:rPr>
        <w:t xml:space="preserve"> 1985/86</w:t>
      </w:r>
      <w:r w:rsidR="00DF2A74">
        <w:rPr>
          <w:sz w:val="24"/>
          <w:szCs w:val="24"/>
        </w:rPr>
        <w:t>–</w:t>
      </w:r>
      <w:r w:rsidR="005022A6">
        <w:rPr>
          <w:sz w:val="24"/>
          <w:szCs w:val="24"/>
        </w:rPr>
        <w:t>201</w:t>
      </w:r>
      <w:r w:rsidR="00D02243">
        <w:rPr>
          <w:sz w:val="24"/>
          <w:szCs w:val="24"/>
        </w:rPr>
        <w:t>2</w:t>
      </w:r>
      <w:r w:rsidR="005022A6">
        <w:rPr>
          <w:sz w:val="24"/>
          <w:szCs w:val="24"/>
        </w:rPr>
        <w:t>/1</w:t>
      </w:r>
      <w:r w:rsidR="00D02243">
        <w:rPr>
          <w:sz w:val="24"/>
          <w:szCs w:val="24"/>
        </w:rPr>
        <w:t>3</w:t>
      </w:r>
      <w:r w:rsidR="00855B8C">
        <w:rPr>
          <w:sz w:val="24"/>
          <w:szCs w:val="24"/>
        </w:rPr>
        <w:t xml:space="preserve"> </w:t>
      </w:r>
      <w:r>
        <w:rPr>
          <w:sz w:val="24"/>
          <w:szCs w:val="24"/>
        </w:rPr>
        <w:t xml:space="preserve">was used to define </w:t>
      </w:r>
      <w:r w:rsidRPr="00AF0FAE">
        <w:rPr>
          <w:i/>
          <w:sz w:val="24"/>
          <w:szCs w:val="24"/>
        </w:rPr>
        <w:t>B</w:t>
      </w:r>
      <w:r w:rsidR="00D02243">
        <w:rPr>
          <w:i/>
          <w:sz w:val="24"/>
          <w:szCs w:val="24"/>
          <w:vertAlign w:val="subscript"/>
        </w:rPr>
        <w:t>current</w:t>
      </w:r>
      <w:r w:rsidRPr="00AF0FAE">
        <w:rPr>
          <w:i/>
          <w:sz w:val="24"/>
          <w:szCs w:val="24"/>
        </w:rPr>
        <w:t>/B</w:t>
      </w:r>
      <w:r w:rsidRPr="00AF0FAE">
        <w:rPr>
          <w:i/>
          <w:sz w:val="24"/>
          <w:szCs w:val="24"/>
          <w:vertAlign w:val="subscript"/>
        </w:rPr>
        <w:t>ref</w:t>
      </w:r>
      <w:r>
        <w:rPr>
          <w:sz w:val="24"/>
          <w:szCs w:val="24"/>
        </w:rPr>
        <w:t>.</w:t>
      </w:r>
    </w:p>
    <w:p w:rsidR="00AF0FAE" w:rsidRDefault="00AF0FAE" w:rsidP="00AA3A84">
      <w:pPr>
        <w:pStyle w:val="BodyText"/>
        <w:numPr>
          <w:ilvl w:val="0"/>
          <w:numId w:val="6"/>
        </w:numPr>
        <w:spacing w:line="360" w:lineRule="auto"/>
        <w:ind w:left="1080"/>
        <w:jc w:val="both"/>
        <w:rPr>
          <w:sz w:val="24"/>
          <w:szCs w:val="24"/>
        </w:rPr>
      </w:pPr>
      <w:r>
        <w:rPr>
          <w:sz w:val="24"/>
          <w:szCs w:val="24"/>
        </w:rPr>
        <w:t xml:space="preserve">Progression of results: </w:t>
      </w:r>
      <w:r w:rsidR="00F409F9">
        <w:rPr>
          <w:sz w:val="24"/>
          <w:szCs w:val="24"/>
        </w:rPr>
        <w:t xml:space="preserve">Model </w:t>
      </w:r>
      <w:r w:rsidR="00122FE5">
        <w:rPr>
          <w:sz w:val="24"/>
          <w:szCs w:val="24"/>
        </w:rPr>
        <w:t xml:space="preserve">was not previously </w:t>
      </w:r>
      <w:r w:rsidR="00F409F9">
        <w:rPr>
          <w:sz w:val="24"/>
          <w:szCs w:val="24"/>
        </w:rPr>
        <w:t>used, so, n</w:t>
      </w:r>
      <w:r>
        <w:rPr>
          <w:sz w:val="24"/>
          <w:szCs w:val="24"/>
        </w:rPr>
        <w:t>ot applicable.</w:t>
      </w:r>
    </w:p>
    <w:p w:rsidR="003F4415" w:rsidRDefault="00AF0FAE" w:rsidP="00AA3A84">
      <w:pPr>
        <w:pStyle w:val="BodyText"/>
        <w:numPr>
          <w:ilvl w:val="0"/>
          <w:numId w:val="6"/>
        </w:numPr>
        <w:spacing w:line="360" w:lineRule="auto"/>
        <w:ind w:left="1080"/>
        <w:jc w:val="both"/>
        <w:rPr>
          <w:sz w:val="24"/>
          <w:szCs w:val="24"/>
        </w:rPr>
      </w:pPr>
      <w:r w:rsidRPr="003F4415">
        <w:rPr>
          <w:sz w:val="24"/>
          <w:szCs w:val="24"/>
        </w:rPr>
        <w:t xml:space="preserve">Evidence of search for balance between realistic and simpler models: </w:t>
      </w:r>
      <w:r w:rsidR="00D02243">
        <w:rPr>
          <w:sz w:val="24"/>
          <w:szCs w:val="24"/>
        </w:rPr>
        <w:t xml:space="preserve">Unlike annually surveyed stocks, Aleutian Islands golden king crab stock biomass is difficult to track and essential biological parameters are </w:t>
      </w:r>
      <w:r w:rsidR="00AA3A84">
        <w:rPr>
          <w:sz w:val="24"/>
          <w:szCs w:val="24"/>
        </w:rPr>
        <w:t>assumed based on knowledge from</w:t>
      </w:r>
      <w:r w:rsidR="00D02243">
        <w:rPr>
          <w:sz w:val="24"/>
          <w:szCs w:val="24"/>
        </w:rPr>
        <w:t xml:space="preserve"> red king crab stock (e.g., </w:t>
      </w:r>
      <w:r w:rsidR="00D02243" w:rsidRPr="00D02243">
        <w:rPr>
          <w:i/>
          <w:sz w:val="24"/>
          <w:szCs w:val="24"/>
        </w:rPr>
        <w:t>M</w:t>
      </w:r>
      <w:r w:rsidR="00D02243">
        <w:rPr>
          <w:sz w:val="24"/>
          <w:szCs w:val="24"/>
        </w:rPr>
        <w:t xml:space="preserve"> of 0.18 and pot fishery handling mortality rate of 0.2)</w:t>
      </w:r>
      <w:r w:rsidR="00AA3A84">
        <w:rPr>
          <w:sz w:val="24"/>
          <w:szCs w:val="24"/>
        </w:rPr>
        <w:t xml:space="preserve"> due to a lack of species/stock specific information</w:t>
      </w:r>
      <w:r w:rsidR="0088725A">
        <w:rPr>
          <w:sz w:val="24"/>
          <w:szCs w:val="24"/>
        </w:rPr>
        <w:t>.</w:t>
      </w:r>
      <w:r w:rsidR="00D02243">
        <w:rPr>
          <w:sz w:val="24"/>
          <w:szCs w:val="24"/>
        </w:rPr>
        <w:t xml:space="preserve"> We fixed a number of model parameters after initially running the model with all parameters floated to reduce</w:t>
      </w:r>
      <w:r w:rsidR="00FF5B73">
        <w:rPr>
          <w:sz w:val="24"/>
          <w:szCs w:val="24"/>
        </w:rPr>
        <w:t xml:space="preserve"> the number</w:t>
      </w:r>
      <w:r w:rsidR="00D02243">
        <w:rPr>
          <w:sz w:val="24"/>
          <w:szCs w:val="24"/>
        </w:rPr>
        <w:t xml:space="preserve"> of parameters</w:t>
      </w:r>
      <w:r w:rsidR="00FF5B73">
        <w:rPr>
          <w:sz w:val="24"/>
          <w:szCs w:val="24"/>
        </w:rPr>
        <w:t xml:space="preserve"> to be estimated (e.g., groundfish bycatch selectivity parameters were fixed and growth increment variation was fixed). The </w:t>
      </w:r>
      <w:r w:rsidR="006B3036">
        <w:rPr>
          <w:sz w:val="24"/>
          <w:szCs w:val="24"/>
        </w:rPr>
        <w:t xml:space="preserve">two </w:t>
      </w:r>
      <w:r w:rsidR="00FF5B73">
        <w:rPr>
          <w:sz w:val="24"/>
          <w:szCs w:val="24"/>
        </w:rPr>
        <w:t xml:space="preserve">scenarios also considered different configuration of parameters to select the parsimonious models. </w:t>
      </w:r>
      <w:r w:rsidR="00006FF7">
        <w:rPr>
          <w:sz w:val="24"/>
          <w:szCs w:val="24"/>
        </w:rPr>
        <w:t xml:space="preserve">The results </w:t>
      </w:r>
      <w:r w:rsidR="00FF5B73">
        <w:rPr>
          <w:sz w:val="24"/>
          <w:szCs w:val="24"/>
        </w:rPr>
        <w:t xml:space="preserve">of the </w:t>
      </w:r>
      <w:r w:rsidR="006B3036">
        <w:rPr>
          <w:sz w:val="24"/>
          <w:szCs w:val="24"/>
        </w:rPr>
        <w:t xml:space="preserve">two </w:t>
      </w:r>
      <w:r w:rsidR="00FF5B73">
        <w:rPr>
          <w:sz w:val="24"/>
          <w:szCs w:val="24"/>
        </w:rPr>
        <w:t xml:space="preserve">scenarios </w:t>
      </w:r>
      <w:r w:rsidR="00006FF7">
        <w:rPr>
          <w:sz w:val="24"/>
          <w:szCs w:val="24"/>
        </w:rPr>
        <w:t xml:space="preserve">are provided in </w:t>
      </w:r>
      <w:r w:rsidR="00FF5B73">
        <w:rPr>
          <w:sz w:val="24"/>
          <w:szCs w:val="24"/>
        </w:rPr>
        <w:t xml:space="preserve">a number of </w:t>
      </w:r>
      <w:r w:rsidR="00006FF7">
        <w:rPr>
          <w:sz w:val="24"/>
          <w:szCs w:val="24"/>
        </w:rPr>
        <w:t>t</w:t>
      </w:r>
      <w:r w:rsidR="00930286">
        <w:rPr>
          <w:sz w:val="24"/>
          <w:szCs w:val="24"/>
        </w:rPr>
        <w:t>ables.</w:t>
      </w:r>
    </w:p>
    <w:p w:rsidR="00AF0FAE" w:rsidRPr="00AF0FAE" w:rsidRDefault="00AF0FAE" w:rsidP="00AA3A84">
      <w:pPr>
        <w:pStyle w:val="BodyText"/>
        <w:numPr>
          <w:ilvl w:val="0"/>
          <w:numId w:val="6"/>
        </w:numPr>
        <w:spacing w:line="360" w:lineRule="auto"/>
        <w:ind w:left="1080"/>
        <w:jc w:val="both"/>
        <w:rPr>
          <w:sz w:val="24"/>
          <w:szCs w:val="24"/>
        </w:rPr>
      </w:pPr>
      <w:r>
        <w:rPr>
          <w:color w:val="000000"/>
          <w:sz w:val="24"/>
          <w:szCs w:val="24"/>
        </w:rPr>
        <w:t>Convergence status</w:t>
      </w:r>
      <w:r w:rsidR="008525A7">
        <w:rPr>
          <w:color w:val="000000"/>
          <w:sz w:val="24"/>
          <w:szCs w:val="24"/>
        </w:rPr>
        <w:t xml:space="preserve"> and criteria</w:t>
      </w:r>
      <w:r>
        <w:rPr>
          <w:color w:val="000000"/>
          <w:sz w:val="24"/>
          <w:szCs w:val="24"/>
        </w:rPr>
        <w:t xml:space="preserve">: </w:t>
      </w:r>
      <w:r w:rsidR="008525A7">
        <w:rPr>
          <w:color w:val="000000"/>
          <w:sz w:val="24"/>
          <w:szCs w:val="24"/>
        </w:rPr>
        <w:t>ADMB default convergence criteria</w:t>
      </w:r>
      <w:r>
        <w:rPr>
          <w:color w:val="000000"/>
          <w:sz w:val="24"/>
          <w:szCs w:val="24"/>
        </w:rPr>
        <w:t>.</w:t>
      </w:r>
    </w:p>
    <w:p w:rsidR="00FF5B73" w:rsidRDefault="007D33AA" w:rsidP="00AA3A84">
      <w:pPr>
        <w:pStyle w:val="BodyText"/>
        <w:numPr>
          <w:ilvl w:val="0"/>
          <w:numId w:val="6"/>
        </w:numPr>
        <w:spacing w:line="360" w:lineRule="auto"/>
        <w:ind w:left="1080"/>
        <w:jc w:val="both"/>
        <w:rPr>
          <w:sz w:val="24"/>
          <w:szCs w:val="24"/>
        </w:rPr>
      </w:pPr>
      <w:r>
        <w:rPr>
          <w:sz w:val="24"/>
          <w:szCs w:val="24"/>
        </w:rPr>
        <w:t xml:space="preserve">Table of the sample sizes assumed for the size compositional data: </w:t>
      </w:r>
    </w:p>
    <w:p w:rsidR="00FF5B73" w:rsidRDefault="00FF5B73" w:rsidP="00D72867">
      <w:pPr>
        <w:pStyle w:val="BodyText"/>
        <w:spacing w:line="360" w:lineRule="auto"/>
        <w:ind w:left="1080"/>
        <w:jc w:val="both"/>
        <w:rPr>
          <w:sz w:val="24"/>
          <w:szCs w:val="24"/>
        </w:rPr>
      </w:pPr>
      <w:r>
        <w:rPr>
          <w:sz w:val="24"/>
          <w:szCs w:val="24"/>
        </w:rPr>
        <w:t>We estimated the input e</w:t>
      </w:r>
      <w:r w:rsidRPr="004C46E9">
        <w:rPr>
          <w:sz w:val="24"/>
          <w:szCs w:val="24"/>
        </w:rPr>
        <w:t>ffec</w:t>
      </w:r>
      <w:r>
        <w:rPr>
          <w:sz w:val="24"/>
          <w:szCs w:val="24"/>
        </w:rPr>
        <w:t xml:space="preserve">tive sample sizes </w:t>
      </w:r>
      <w:r w:rsidRPr="004C46E9">
        <w:rPr>
          <w:sz w:val="24"/>
          <w:szCs w:val="24"/>
        </w:rPr>
        <w:t>as min(0.</w:t>
      </w:r>
      <w:r>
        <w:rPr>
          <w:sz w:val="24"/>
          <w:szCs w:val="24"/>
        </w:rPr>
        <w:t xml:space="preserve">01*observed sample size, N) </w:t>
      </w:r>
      <w:r w:rsidRPr="004C46E9">
        <w:rPr>
          <w:sz w:val="24"/>
          <w:szCs w:val="24"/>
        </w:rPr>
        <w:t xml:space="preserve">for </w:t>
      </w:r>
      <w:r>
        <w:rPr>
          <w:sz w:val="24"/>
          <w:szCs w:val="24"/>
        </w:rPr>
        <w:t xml:space="preserve">retained </w:t>
      </w:r>
      <w:r w:rsidRPr="004C46E9">
        <w:rPr>
          <w:sz w:val="24"/>
          <w:szCs w:val="24"/>
        </w:rPr>
        <w:t>catch</w:t>
      </w:r>
      <w:r>
        <w:rPr>
          <w:sz w:val="24"/>
          <w:szCs w:val="24"/>
        </w:rPr>
        <w:t xml:space="preserve">, </w:t>
      </w:r>
      <w:r w:rsidRPr="004C46E9">
        <w:rPr>
          <w:sz w:val="24"/>
          <w:szCs w:val="24"/>
        </w:rPr>
        <w:t xml:space="preserve"> min(0.</w:t>
      </w:r>
      <w:r>
        <w:rPr>
          <w:sz w:val="24"/>
          <w:szCs w:val="24"/>
        </w:rPr>
        <w:t xml:space="preserve">001*observed sample size, N) for total catch, </w:t>
      </w:r>
      <w:r w:rsidRPr="004C46E9">
        <w:rPr>
          <w:sz w:val="24"/>
          <w:szCs w:val="24"/>
        </w:rPr>
        <w:t>and</w:t>
      </w:r>
      <w:r>
        <w:rPr>
          <w:sz w:val="24"/>
          <w:szCs w:val="24"/>
        </w:rPr>
        <w:t xml:space="preserve"> </w:t>
      </w:r>
      <w:r w:rsidRPr="004C46E9">
        <w:rPr>
          <w:sz w:val="24"/>
          <w:szCs w:val="24"/>
        </w:rPr>
        <w:t>min(0.</w:t>
      </w:r>
      <w:r>
        <w:rPr>
          <w:sz w:val="24"/>
          <w:szCs w:val="24"/>
        </w:rPr>
        <w:t xml:space="preserve">1*observed sample size, N) </w:t>
      </w:r>
      <w:r w:rsidRPr="004C46E9">
        <w:rPr>
          <w:sz w:val="24"/>
          <w:szCs w:val="24"/>
        </w:rPr>
        <w:t xml:space="preserve"> </w:t>
      </w:r>
      <w:r>
        <w:rPr>
          <w:sz w:val="24"/>
          <w:szCs w:val="24"/>
        </w:rPr>
        <w:t>for groundfish bycatch,</w:t>
      </w:r>
      <w:r w:rsidRPr="004C46E9">
        <w:rPr>
          <w:sz w:val="24"/>
          <w:szCs w:val="24"/>
        </w:rPr>
        <w:t xml:space="preserve"> where N is the maximum sa</w:t>
      </w:r>
      <w:r>
        <w:rPr>
          <w:sz w:val="24"/>
          <w:szCs w:val="24"/>
        </w:rPr>
        <w:t xml:space="preserve">mple size (200 for retained catch, 125 for total catch, and 20 or 30 for groundfish by catch (see Tables 3 and </w:t>
      </w:r>
      <w:r w:rsidR="006B3036">
        <w:rPr>
          <w:sz w:val="24"/>
          <w:szCs w:val="24"/>
        </w:rPr>
        <w:t xml:space="preserve">14 </w:t>
      </w:r>
      <w:r>
        <w:rPr>
          <w:sz w:val="24"/>
          <w:szCs w:val="24"/>
        </w:rPr>
        <w:t>for details))</w:t>
      </w:r>
      <w:r w:rsidRPr="004C46E9">
        <w:rPr>
          <w:sz w:val="24"/>
          <w:szCs w:val="24"/>
        </w:rPr>
        <w:t xml:space="preserve">. </w:t>
      </w:r>
      <w:r>
        <w:rPr>
          <w:sz w:val="24"/>
          <w:szCs w:val="24"/>
        </w:rPr>
        <w:t>We estimated the predicted effective sample size from observed effective sample size</w:t>
      </w:r>
      <w:r w:rsidRPr="004C46E9">
        <w:rPr>
          <w:sz w:val="24"/>
          <w:szCs w:val="24"/>
        </w:rPr>
        <w:t xml:space="preserve"> as follows:</w:t>
      </w:r>
    </w:p>
    <w:p w:rsidR="00FF5B73" w:rsidRDefault="00FF5B73" w:rsidP="00AA3A84">
      <w:pPr>
        <w:pStyle w:val="BodyText"/>
        <w:spacing w:line="360" w:lineRule="auto"/>
        <w:ind w:left="1080" w:hanging="360"/>
        <w:jc w:val="both"/>
        <w:rPr>
          <w:sz w:val="24"/>
          <w:szCs w:val="24"/>
        </w:rPr>
      </w:pPr>
    </w:p>
    <w:p w:rsidR="00FF5B73" w:rsidRDefault="009374C7" w:rsidP="00AA3A84">
      <w:pPr>
        <w:pStyle w:val="BodyText"/>
        <w:spacing w:line="360" w:lineRule="auto"/>
        <w:ind w:left="1080" w:hanging="360"/>
        <w:jc w:val="both"/>
        <w:rPr>
          <w:sz w:val="24"/>
          <w:szCs w:val="24"/>
        </w:rPr>
      </w:pPr>
      <w:r>
        <w:rPr>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8" type="#_x0000_t75" style="position:absolute;left:0;text-align:left;margin-left:58.45pt;margin-top:5.45pt;width:180pt;height:31.55pt;z-index:251658240" filled="t">
            <v:imagedata r:id="rId9" o:title=""/>
          </v:shape>
          <o:OLEObject Type="Embed" ProgID="Unknown" ShapeID="_x0000_s1148" DrawAspect="Content" ObjectID="_1460439788" r:id="rId10"/>
        </w:pict>
      </w:r>
      <w:r w:rsidR="00FF5B73">
        <w:rPr>
          <w:sz w:val="24"/>
          <w:szCs w:val="24"/>
        </w:rPr>
        <w:tab/>
      </w:r>
      <w:r w:rsidR="00FF5B73">
        <w:rPr>
          <w:sz w:val="24"/>
          <w:szCs w:val="24"/>
        </w:rPr>
        <w:tab/>
      </w:r>
      <w:r w:rsidR="00FF5B73">
        <w:rPr>
          <w:sz w:val="24"/>
          <w:szCs w:val="24"/>
        </w:rPr>
        <w:tab/>
      </w:r>
      <w:r w:rsidR="00FF5B73">
        <w:rPr>
          <w:sz w:val="24"/>
          <w:szCs w:val="24"/>
        </w:rPr>
        <w:tab/>
      </w:r>
      <w:r w:rsidR="00FF5B73">
        <w:rPr>
          <w:sz w:val="24"/>
          <w:szCs w:val="24"/>
        </w:rPr>
        <w:tab/>
      </w:r>
      <w:r w:rsidR="00FF5B73">
        <w:rPr>
          <w:sz w:val="24"/>
          <w:szCs w:val="24"/>
        </w:rPr>
        <w:tab/>
      </w:r>
      <w:r w:rsidR="00FF5B73">
        <w:rPr>
          <w:sz w:val="24"/>
          <w:szCs w:val="24"/>
        </w:rPr>
        <w:tab/>
      </w:r>
      <w:r w:rsidR="00FF5B73">
        <w:rPr>
          <w:sz w:val="24"/>
          <w:szCs w:val="24"/>
        </w:rPr>
        <w:tab/>
      </w:r>
      <w:r w:rsidR="00FF5B73">
        <w:rPr>
          <w:sz w:val="24"/>
          <w:szCs w:val="24"/>
        </w:rPr>
        <w:tab/>
      </w:r>
      <w:r w:rsidR="00FF5B73">
        <w:rPr>
          <w:sz w:val="24"/>
          <w:szCs w:val="24"/>
        </w:rPr>
        <w:tab/>
      </w:r>
      <w:r w:rsidR="00FF5B73">
        <w:rPr>
          <w:sz w:val="24"/>
          <w:szCs w:val="24"/>
        </w:rPr>
        <w:tab/>
        <w:t>(</w:t>
      </w:r>
      <w:r w:rsidR="006F37B0">
        <w:rPr>
          <w:sz w:val="24"/>
          <w:szCs w:val="24"/>
        </w:rPr>
        <w:t>9</w:t>
      </w:r>
      <w:r w:rsidR="00FF5B73">
        <w:rPr>
          <w:sz w:val="24"/>
          <w:szCs w:val="24"/>
        </w:rPr>
        <w:t>)</w:t>
      </w:r>
    </w:p>
    <w:p w:rsidR="00FF5B73" w:rsidRPr="004C46E9" w:rsidRDefault="00FF5B73" w:rsidP="00AA3A84">
      <w:pPr>
        <w:pStyle w:val="BodyText"/>
        <w:spacing w:line="360" w:lineRule="auto"/>
        <w:ind w:left="1080" w:hanging="360"/>
        <w:jc w:val="both"/>
        <w:rPr>
          <w:sz w:val="24"/>
          <w:szCs w:val="24"/>
        </w:rPr>
      </w:pPr>
      <w:r w:rsidRPr="004C46E9">
        <w:rPr>
          <w:sz w:val="24"/>
          <w:szCs w:val="24"/>
        </w:rPr>
        <w:t xml:space="preserve">   </w:t>
      </w:r>
    </w:p>
    <w:p w:rsidR="00FF5B73" w:rsidRPr="004C46E9" w:rsidRDefault="00FF5B73" w:rsidP="00AA3A84">
      <w:pPr>
        <w:pStyle w:val="BodyText"/>
        <w:spacing w:line="360" w:lineRule="auto"/>
        <w:ind w:left="1080" w:hanging="360"/>
        <w:jc w:val="both"/>
        <w:rPr>
          <w:sz w:val="24"/>
          <w:szCs w:val="24"/>
        </w:rPr>
      </w:pPr>
      <w:r w:rsidRPr="004C46E9">
        <w:rPr>
          <w:sz w:val="24"/>
          <w:szCs w:val="24"/>
        </w:rPr>
        <w:t xml:space="preserve"> </w:t>
      </w:r>
      <w:r>
        <w:rPr>
          <w:sz w:val="24"/>
          <w:szCs w:val="24"/>
        </w:rPr>
        <w:t xml:space="preserve"> </w:t>
      </w:r>
    </w:p>
    <w:p w:rsidR="00FF5B73" w:rsidRPr="004C46E9" w:rsidRDefault="00FF5B73" w:rsidP="00D72867">
      <w:pPr>
        <w:pStyle w:val="BodyText"/>
        <w:spacing w:line="360" w:lineRule="auto"/>
        <w:ind w:left="1080"/>
        <w:jc w:val="both"/>
        <w:rPr>
          <w:sz w:val="24"/>
          <w:szCs w:val="24"/>
        </w:rPr>
      </w:pPr>
      <w:r w:rsidRPr="004C46E9">
        <w:rPr>
          <w:sz w:val="24"/>
          <w:szCs w:val="24"/>
        </w:rPr>
        <w:t xml:space="preserve">where </w:t>
      </w:r>
      <w:r w:rsidRPr="004C46E9">
        <w:rPr>
          <w:sz w:val="24"/>
          <w:szCs w:val="24"/>
        </w:rPr>
        <w:object w:dxaOrig="380" w:dyaOrig="420">
          <v:shape id="_x0000_i1026" type="#_x0000_t75" style="width:19.85pt;height:22.95pt" o:ole="">
            <v:imagedata r:id="rId11" o:title=""/>
          </v:shape>
          <o:OLEObject Type="Embed" ProgID="Equation.3" ShapeID="_x0000_i1026" DrawAspect="Content" ObjectID="_1460439699" r:id="rId12"/>
        </w:object>
      </w:r>
      <w:r w:rsidRPr="004C46E9">
        <w:rPr>
          <w:sz w:val="24"/>
          <w:szCs w:val="24"/>
        </w:rPr>
        <w:t xml:space="preserve"> and </w:t>
      </w:r>
      <w:r>
        <w:rPr>
          <w:sz w:val="24"/>
          <w:szCs w:val="24"/>
        </w:rPr>
        <w:t>P</w:t>
      </w:r>
      <w:r>
        <w:rPr>
          <w:sz w:val="24"/>
          <w:szCs w:val="24"/>
          <w:vertAlign w:val="subscript"/>
        </w:rPr>
        <w:t xml:space="preserve">y,l </w:t>
      </w:r>
      <w:r>
        <w:rPr>
          <w:sz w:val="24"/>
          <w:szCs w:val="24"/>
        </w:rPr>
        <w:t xml:space="preserve"> are</w:t>
      </w:r>
      <w:r w:rsidRPr="004C46E9">
        <w:rPr>
          <w:sz w:val="24"/>
          <w:szCs w:val="24"/>
        </w:rPr>
        <w:t xml:space="preserve"> estimated and observed size compositions in year y</w:t>
      </w:r>
      <w:r>
        <w:rPr>
          <w:sz w:val="24"/>
          <w:szCs w:val="24"/>
        </w:rPr>
        <w:t xml:space="preserve"> and length class</w:t>
      </w:r>
      <w:r w:rsidRPr="004C46E9">
        <w:rPr>
          <w:sz w:val="24"/>
          <w:szCs w:val="24"/>
        </w:rPr>
        <w:t xml:space="preserve"> </w:t>
      </w:r>
      <w:r w:rsidRPr="004A7616">
        <w:rPr>
          <w:i/>
          <w:sz w:val="24"/>
          <w:szCs w:val="24"/>
        </w:rPr>
        <w:t>l</w:t>
      </w:r>
      <w:r w:rsidRPr="004C46E9">
        <w:rPr>
          <w:sz w:val="24"/>
          <w:szCs w:val="24"/>
        </w:rPr>
        <w:t xml:space="preserve">, respectively. </w:t>
      </w:r>
      <w:r>
        <w:rPr>
          <w:sz w:val="24"/>
          <w:szCs w:val="24"/>
        </w:rPr>
        <w:t xml:space="preserve"> We plotted the predicted effective sample sizes against the input effective sample sizes. </w:t>
      </w:r>
    </w:p>
    <w:p w:rsidR="00F71E8B" w:rsidRPr="00AA3A84" w:rsidRDefault="00F71E8B" w:rsidP="00D72867">
      <w:pPr>
        <w:pStyle w:val="BodyText"/>
        <w:numPr>
          <w:ilvl w:val="0"/>
          <w:numId w:val="6"/>
        </w:numPr>
        <w:tabs>
          <w:tab w:val="left" w:pos="1440"/>
        </w:tabs>
        <w:spacing w:line="360" w:lineRule="auto"/>
        <w:ind w:left="1080"/>
        <w:jc w:val="both"/>
        <w:rPr>
          <w:sz w:val="24"/>
          <w:szCs w:val="24"/>
        </w:rPr>
      </w:pPr>
      <w:r>
        <w:rPr>
          <w:sz w:val="24"/>
          <w:szCs w:val="24"/>
        </w:rPr>
        <w:t>Do parameter estimates make sense</w:t>
      </w:r>
      <w:r w:rsidR="00AA3A84">
        <w:rPr>
          <w:sz w:val="24"/>
          <w:szCs w:val="24"/>
        </w:rPr>
        <w:t xml:space="preserve">? </w:t>
      </w:r>
      <w:r w:rsidR="00AA3A84" w:rsidRPr="00AA3A84">
        <w:rPr>
          <w:sz w:val="24"/>
          <w:szCs w:val="24"/>
        </w:rPr>
        <w:t xml:space="preserve">The </w:t>
      </w:r>
      <w:r w:rsidR="00117424">
        <w:rPr>
          <w:sz w:val="24"/>
          <w:szCs w:val="24"/>
        </w:rPr>
        <w:t xml:space="preserve">estimated parameter values are within the bounds and various plots support that the parameter values are </w:t>
      </w:r>
      <w:r w:rsidR="00BA4A9B" w:rsidRPr="00AA3A84">
        <w:rPr>
          <w:sz w:val="24"/>
          <w:szCs w:val="24"/>
        </w:rPr>
        <w:t xml:space="preserve"> reasonable for a</w:t>
      </w:r>
      <w:r w:rsidR="00962D91" w:rsidRPr="00AA3A84">
        <w:rPr>
          <w:sz w:val="24"/>
          <w:szCs w:val="24"/>
        </w:rPr>
        <w:t xml:space="preserve"> fixed</w:t>
      </w:r>
      <w:r w:rsidR="00BA4A9B" w:rsidRPr="00AA3A84">
        <w:rPr>
          <w:sz w:val="24"/>
          <w:szCs w:val="24"/>
        </w:rPr>
        <w:t xml:space="preserve"> </w:t>
      </w:r>
      <w:r w:rsidR="00BA4A9B" w:rsidRPr="00AA3A84">
        <w:rPr>
          <w:i/>
          <w:sz w:val="24"/>
          <w:szCs w:val="24"/>
        </w:rPr>
        <w:t>M</w:t>
      </w:r>
      <w:r w:rsidR="00D41BEE" w:rsidRPr="00AA3A84">
        <w:rPr>
          <w:sz w:val="24"/>
          <w:szCs w:val="24"/>
        </w:rPr>
        <w:t xml:space="preserve"> of 0.18</w:t>
      </w:r>
      <w:r w:rsidR="006F37B0">
        <w:rPr>
          <w:sz w:val="24"/>
          <w:szCs w:val="24"/>
        </w:rPr>
        <w:t xml:space="preserve"> for this stock</w:t>
      </w:r>
      <w:r w:rsidR="00D41BEE" w:rsidRPr="00AA3A84">
        <w:rPr>
          <w:sz w:val="24"/>
          <w:szCs w:val="24"/>
        </w:rPr>
        <w:t>.</w:t>
      </w:r>
      <w:r w:rsidR="00B848F6" w:rsidRPr="00AA3A84">
        <w:rPr>
          <w:sz w:val="24"/>
          <w:szCs w:val="24"/>
        </w:rPr>
        <w:t xml:space="preserve"> </w:t>
      </w:r>
      <w:r w:rsidR="00BA4A9B" w:rsidRPr="00AA3A84">
        <w:rPr>
          <w:sz w:val="24"/>
          <w:szCs w:val="24"/>
        </w:rPr>
        <w:t xml:space="preserve"> </w:t>
      </w:r>
    </w:p>
    <w:p w:rsidR="00BA4A9B" w:rsidRDefault="00E81391" w:rsidP="00AA3A84">
      <w:pPr>
        <w:pStyle w:val="BodyText"/>
        <w:numPr>
          <w:ilvl w:val="0"/>
          <w:numId w:val="6"/>
        </w:numPr>
        <w:tabs>
          <w:tab w:val="left" w:pos="1440"/>
        </w:tabs>
        <w:spacing w:line="360" w:lineRule="auto"/>
        <w:ind w:left="1080"/>
        <w:jc w:val="both"/>
        <w:rPr>
          <w:sz w:val="24"/>
          <w:szCs w:val="24"/>
        </w:rPr>
      </w:pPr>
      <w:r>
        <w:rPr>
          <w:sz w:val="24"/>
          <w:szCs w:val="24"/>
        </w:rPr>
        <w:t xml:space="preserve">Model selection criteria: </w:t>
      </w:r>
      <w:r w:rsidR="00F03FE0">
        <w:rPr>
          <w:sz w:val="24"/>
          <w:szCs w:val="24"/>
        </w:rPr>
        <w:t xml:space="preserve">We used a number of </w:t>
      </w:r>
      <w:r w:rsidR="00117424">
        <w:rPr>
          <w:sz w:val="24"/>
          <w:szCs w:val="24"/>
        </w:rPr>
        <w:t xml:space="preserve">diagnostic </w:t>
      </w:r>
      <w:r w:rsidR="00F03FE0">
        <w:rPr>
          <w:sz w:val="24"/>
          <w:szCs w:val="24"/>
        </w:rPr>
        <w:t>crit</w:t>
      </w:r>
      <w:r w:rsidR="00122FE5">
        <w:rPr>
          <w:sz w:val="24"/>
          <w:szCs w:val="24"/>
        </w:rPr>
        <w:t>eria to select the base model</w:t>
      </w:r>
      <w:r w:rsidR="00962D91">
        <w:rPr>
          <w:sz w:val="24"/>
          <w:szCs w:val="24"/>
        </w:rPr>
        <w:t xml:space="preserve"> </w:t>
      </w:r>
      <w:r w:rsidR="00006FF7">
        <w:rPr>
          <w:sz w:val="24"/>
          <w:szCs w:val="24"/>
        </w:rPr>
        <w:t>over</w:t>
      </w:r>
      <w:r w:rsidR="00F03FE0">
        <w:rPr>
          <w:sz w:val="24"/>
          <w:szCs w:val="24"/>
        </w:rPr>
        <w:t xml:space="preserve"> the </w:t>
      </w:r>
      <w:r w:rsidR="00966825">
        <w:rPr>
          <w:sz w:val="24"/>
          <w:szCs w:val="24"/>
        </w:rPr>
        <w:t xml:space="preserve">other </w:t>
      </w:r>
      <w:r w:rsidR="00117424">
        <w:rPr>
          <w:sz w:val="24"/>
          <w:szCs w:val="24"/>
        </w:rPr>
        <w:t>model</w:t>
      </w:r>
      <w:r w:rsidR="00F03FE0">
        <w:rPr>
          <w:sz w:val="24"/>
          <w:szCs w:val="24"/>
        </w:rPr>
        <w:t xml:space="preserve">: </w:t>
      </w:r>
      <w:r w:rsidR="00930286">
        <w:rPr>
          <w:sz w:val="24"/>
          <w:szCs w:val="24"/>
        </w:rPr>
        <w:t>CPUE fits</w:t>
      </w:r>
      <w:r w:rsidR="006F124F">
        <w:rPr>
          <w:sz w:val="24"/>
          <w:szCs w:val="24"/>
        </w:rPr>
        <w:t>, observed vs. predicted tag recaptur</w:t>
      </w:r>
      <w:r w:rsidR="00D74D8D">
        <w:rPr>
          <w:sz w:val="24"/>
          <w:szCs w:val="24"/>
        </w:rPr>
        <w:t>e</w:t>
      </w:r>
      <w:r w:rsidR="006F124F">
        <w:rPr>
          <w:sz w:val="24"/>
          <w:szCs w:val="24"/>
        </w:rPr>
        <w:t xml:space="preserve"> numbers by length clas</w:t>
      </w:r>
      <w:r w:rsidR="00D74D8D">
        <w:rPr>
          <w:sz w:val="24"/>
          <w:szCs w:val="24"/>
        </w:rPr>
        <w:t xml:space="preserve">s, and </w:t>
      </w:r>
      <w:r w:rsidR="00AA3A84">
        <w:rPr>
          <w:sz w:val="24"/>
          <w:szCs w:val="24"/>
        </w:rPr>
        <w:t>c</w:t>
      </w:r>
      <w:r w:rsidR="00D74D8D">
        <w:rPr>
          <w:sz w:val="24"/>
          <w:szCs w:val="24"/>
        </w:rPr>
        <w:t>atch and bycatch fits</w:t>
      </w:r>
      <w:r w:rsidR="00006FF7">
        <w:rPr>
          <w:sz w:val="24"/>
          <w:szCs w:val="24"/>
        </w:rPr>
        <w:t xml:space="preserve">. </w:t>
      </w:r>
      <w:r w:rsidR="00E43A0D">
        <w:rPr>
          <w:sz w:val="24"/>
          <w:szCs w:val="24"/>
        </w:rPr>
        <w:t xml:space="preserve">A few </w:t>
      </w:r>
      <w:r w:rsidR="00006FF7">
        <w:rPr>
          <w:sz w:val="24"/>
          <w:szCs w:val="24"/>
        </w:rPr>
        <w:t>f</w:t>
      </w:r>
      <w:r w:rsidR="00930286">
        <w:rPr>
          <w:sz w:val="24"/>
          <w:szCs w:val="24"/>
        </w:rPr>
        <w:t xml:space="preserve">igures are provided </w:t>
      </w:r>
      <w:r w:rsidR="006F124F">
        <w:rPr>
          <w:sz w:val="24"/>
          <w:szCs w:val="24"/>
        </w:rPr>
        <w:t xml:space="preserve">for </w:t>
      </w:r>
      <w:r w:rsidR="00117424">
        <w:rPr>
          <w:sz w:val="24"/>
          <w:szCs w:val="24"/>
        </w:rPr>
        <w:t>the two</w:t>
      </w:r>
      <w:r w:rsidR="006F124F">
        <w:rPr>
          <w:sz w:val="24"/>
          <w:szCs w:val="24"/>
        </w:rPr>
        <w:t xml:space="preserve"> scenarios in the Results section</w:t>
      </w:r>
      <w:r w:rsidR="008C11F7">
        <w:rPr>
          <w:sz w:val="24"/>
          <w:szCs w:val="24"/>
        </w:rPr>
        <w:t>.</w:t>
      </w:r>
    </w:p>
    <w:p w:rsidR="00962D91" w:rsidRDefault="00E81391" w:rsidP="00AA3A84">
      <w:pPr>
        <w:pStyle w:val="BodyText"/>
        <w:numPr>
          <w:ilvl w:val="0"/>
          <w:numId w:val="6"/>
        </w:numPr>
        <w:tabs>
          <w:tab w:val="left" w:pos="1440"/>
        </w:tabs>
        <w:spacing w:line="360" w:lineRule="auto"/>
        <w:ind w:left="1080"/>
        <w:jc w:val="both"/>
        <w:rPr>
          <w:sz w:val="24"/>
          <w:szCs w:val="24"/>
        </w:rPr>
      </w:pPr>
      <w:r w:rsidRPr="00157965">
        <w:rPr>
          <w:sz w:val="24"/>
          <w:szCs w:val="24"/>
        </w:rPr>
        <w:t xml:space="preserve">Residual analysis: </w:t>
      </w:r>
      <w:r w:rsidR="00930286" w:rsidRPr="00157965">
        <w:rPr>
          <w:sz w:val="24"/>
          <w:szCs w:val="24"/>
        </w:rPr>
        <w:t>We illus</w:t>
      </w:r>
      <w:r w:rsidR="00006FF7">
        <w:rPr>
          <w:sz w:val="24"/>
          <w:szCs w:val="24"/>
        </w:rPr>
        <w:t>trate</w:t>
      </w:r>
      <w:r w:rsidR="006F124F">
        <w:rPr>
          <w:sz w:val="24"/>
          <w:szCs w:val="24"/>
        </w:rPr>
        <w:t>d</w:t>
      </w:r>
      <w:r w:rsidR="00006FF7">
        <w:rPr>
          <w:sz w:val="24"/>
          <w:szCs w:val="24"/>
        </w:rPr>
        <w:t xml:space="preserve"> residual fits by </w:t>
      </w:r>
      <w:r w:rsidR="00FF5B73">
        <w:rPr>
          <w:sz w:val="24"/>
          <w:szCs w:val="24"/>
        </w:rPr>
        <w:t xml:space="preserve">bubble plots in </w:t>
      </w:r>
      <w:r w:rsidR="00006FF7">
        <w:rPr>
          <w:sz w:val="24"/>
          <w:szCs w:val="24"/>
        </w:rPr>
        <w:t>various f</w:t>
      </w:r>
      <w:r w:rsidR="00930286" w:rsidRPr="00157965">
        <w:rPr>
          <w:sz w:val="24"/>
          <w:szCs w:val="24"/>
        </w:rPr>
        <w:t>igures in the Results section.</w:t>
      </w:r>
      <w:r w:rsidR="00F1110D" w:rsidRPr="00157965">
        <w:rPr>
          <w:sz w:val="24"/>
          <w:szCs w:val="24"/>
        </w:rPr>
        <w:t xml:space="preserve"> </w:t>
      </w:r>
      <w:r w:rsidR="00AF0566" w:rsidRPr="00157965">
        <w:rPr>
          <w:sz w:val="24"/>
          <w:szCs w:val="24"/>
        </w:rPr>
        <w:t xml:space="preserve"> </w:t>
      </w:r>
    </w:p>
    <w:p w:rsidR="00E81391" w:rsidRPr="00157965" w:rsidRDefault="00E81391" w:rsidP="00AA3A84">
      <w:pPr>
        <w:pStyle w:val="BodyText"/>
        <w:numPr>
          <w:ilvl w:val="0"/>
          <w:numId w:val="6"/>
        </w:numPr>
        <w:tabs>
          <w:tab w:val="left" w:pos="1440"/>
        </w:tabs>
        <w:spacing w:line="360" w:lineRule="auto"/>
        <w:ind w:left="1080"/>
        <w:jc w:val="both"/>
        <w:rPr>
          <w:sz w:val="24"/>
          <w:szCs w:val="24"/>
        </w:rPr>
      </w:pPr>
      <w:r w:rsidRPr="00157965">
        <w:rPr>
          <w:sz w:val="24"/>
          <w:szCs w:val="24"/>
        </w:rPr>
        <w:t>Model evaluation: Only one model is presented</w:t>
      </w:r>
      <w:r w:rsidR="009D3B78" w:rsidRPr="00157965">
        <w:rPr>
          <w:sz w:val="24"/>
          <w:szCs w:val="24"/>
        </w:rPr>
        <w:t xml:space="preserve"> and the evaluations are presented in the Results section below.</w:t>
      </w:r>
      <w:r w:rsidRPr="00157965">
        <w:rPr>
          <w:sz w:val="24"/>
          <w:szCs w:val="24"/>
        </w:rPr>
        <w:t xml:space="preserve">  </w:t>
      </w:r>
    </w:p>
    <w:p w:rsidR="009D3B78" w:rsidRDefault="009D3B78" w:rsidP="009D3B78">
      <w:pPr>
        <w:pStyle w:val="BodyText"/>
        <w:spacing w:line="360" w:lineRule="auto"/>
        <w:jc w:val="both"/>
        <w:rPr>
          <w:b/>
          <w:sz w:val="32"/>
          <w:szCs w:val="32"/>
        </w:rPr>
      </w:pPr>
    </w:p>
    <w:p w:rsidR="009D3B78" w:rsidRPr="009D3B78" w:rsidRDefault="009D3B78" w:rsidP="007C3C7A">
      <w:pPr>
        <w:pStyle w:val="BodyText"/>
        <w:numPr>
          <w:ilvl w:val="0"/>
          <w:numId w:val="1"/>
        </w:numPr>
        <w:spacing w:line="360" w:lineRule="auto"/>
        <w:jc w:val="both"/>
        <w:rPr>
          <w:i/>
          <w:sz w:val="24"/>
          <w:szCs w:val="24"/>
        </w:rPr>
      </w:pPr>
      <w:r>
        <w:rPr>
          <w:i/>
          <w:sz w:val="24"/>
          <w:szCs w:val="24"/>
        </w:rPr>
        <w:t>Results</w:t>
      </w:r>
    </w:p>
    <w:p w:rsidR="00F1110D" w:rsidRDefault="009D3B78" w:rsidP="007C3C7A">
      <w:pPr>
        <w:pStyle w:val="BodyText"/>
        <w:numPr>
          <w:ilvl w:val="0"/>
          <w:numId w:val="11"/>
        </w:numPr>
        <w:spacing w:line="360" w:lineRule="auto"/>
        <w:jc w:val="both"/>
        <w:rPr>
          <w:sz w:val="24"/>
          <w:szCs w:val="24"/>
        </w:rPr>
      </w:pPr>
      <w:r>
        <w:rPr>
          <w:sz w:val="24"/>
          <w:szCs w:val="24"/>
        </w:rPr>
        <w:t>List of effective sample sizes and weighting factors:</w:t>
      </w:r>
      <w:r w:rsidR="00F1110D" w:rsidRPr="00F1110D">
        <w:rPr>
          <w:sz w:val="24"/>
          <w:szCs w:val="24"/>
        </w:rPr>
        <w:t xml:space="preserve"> </w:t>
      </w:r>
    </w:p>
    <w:p w:rsidR="00F1110D" w:rsidRDefault="0076450F" w:rsidP="00F1110D">
      <w:pPr>
        <w:pStyle w:val="BodyText"/>
        <w:spacing w:line="360" w:lineRule="auto"/>
        <w:ind w:left="720"/>
        <w:jc w:val="both"/>
        <w:rPr>
          <w:sz w:val="24"/>
          <w:szCs w:val="24"/>
        </w:rPr>
      </w:pPr>
      <w:r>
        <w:rPr>
          <w:sz w:val="24"/>
          <w:szCs w:val="24"/>
        </w:rPr>
        <w:t xml:space="preserve">The </w:t>
      </w:r>
      <w:r w:rsidR="00F15796">
        <w:rPr>
          <w:sz w:val="24"/>
          <w:szCs w:val="24"/>
        </w:rPr>
        <w:t xml:space="preserve">maximum effective </w:t>
      </w:r>
      <w:r>
        <w:rPr>
          <w:sz w:val="24"/>
          <w:szCs w:val="24"/>
        </w:rPr>
        <w:t xml:space="preserve">sample sizes for various scenarios are listed in Tables </w:t>
      </w:r>
      <w:r w:rsidR="00F15796">
        <w:rPr>
          <w:sz w:val="24"/>
          <w:szCs w:val="24"/>
        </w:rPr>
        <w:t>3</w:t>
      </w:r>
      <w:r>
        <w:rPr>
          <w:sz w:val="24"/>
          <w:szCs w:val="24"/>
        </w:rPr>
        <w:t xml:space="preserve"> and </w:t>
      </w:r>
      <w:r w:rsidR="006F37B0">
        <w:rPr>
          <w:sz w:val="24"/>
          <w:szCs w:val="24"/>
        </w:rPr>
        <w:t>14</w:t>
      </w:r>
      <w:r w:rsidR="006F37B0" w:rsidRPr="0076450F">
        <w:rPr>
          <w:sz w:val="24"/>
          <w:szCs w:val="24"/>
        </w:rPr>
        <w:t xml:space="preserve"> </w:t>
      </w:r>
      <w:r>
        <w:rPr>
          <w:sz w:val="24"/>
          <w:szCs w:val="24"/>
        </w:rPr>
        <w:t>for EAG and WAG, respectively.</w:t>
      </w:r>
      <w:r w:rsidR="001D36B0">
        <w:rPr>
          <w:sz w:val="24"/>
          <w:szCs w:val="24"/>
        </w:rPr>
        <w:t xml:space="preserve"> These weights adequately fitted the length compositions and no further changes </w:t>
      </w:r>
      <w:r w:rsidR="007A6598">
        <w:rPr>
          <w:sz w:val="24"/>
          <w:szCs w:val="24"/>
        </w:rPr>
        <w:t xml:space="preserve">were </w:t>
      </w:r>
      <w:r w:rsidR="00006FF7">
        <w:rPr>
          <w:sz w:val="24"/>
          <w:szCs w:val="24"/>
        </w:rPr>
        <w:t>examined</w:t>
      </w:r>
      <w:r w:rsidR="001D36B0">
        <w:rPr>
          <w:sz w:val="24"/>
          <w:szCs w:val="24"/>
        </w:rPr>
        <w:t>.</w:t>
      </w:r>
      <w:r w:rsidR="00F15796">
        <w:rPr>
          <w:sz w:val="24"/>
          <w:szCs w:val="24"/>
        </w:rPr>
        <w:t xml:space="preserve"> The input effective sample sizes vs. predicted effective sample sizes are plotted in Figures </w:t>
      </w:r>
      <w:r w:rsidR="00B541CE">
        <w:rPr>
          <w:sz w:val="24"/>
          <w:szCs w:val="24"/>
        </w:rPr>
        <w:t>11 and 36 for retained catch, 12 and 37 for total catch, and 13 and 38 for groundfish discard catch for EAG and WAG, respectively. The red line passing through the plot is the 45</w:t>
      </w:r>
      <w:r w:rsidR="00B541CE" w:rsidRPr="00B541CE">
        <w:rPr>
          <w:sz w:val="24"/>
          <w:szCs w:val="24"/>
          <w:vertAlign w:val="superscript"/>
        </w:rPr>
        <w:t>0</w:t>
      </w:r>
      <w:r w:rsidR="00B541CE">
        <w:rPr>
          <w:sz w:val="24"/>
          <w:szCs w:val="24"/>
        </w:rPr>
        <w:t xml:space="preserve"> degree line and in </w:t>
      </w:r>
      <w:r w:rsidR="006F37B0">
        <w:rPr>
          <w:sz w:val="24"/>
          <w:szCs w:val="24"/>
        </w:rPr>
        <w:t xml:space="preserve">a number of cases </w:t>
      </w:r>
      <w:r w:rsidR="00B541CE">
        <w:rPr>
          <w:sz w:val="24"/>
          <w:szCs w:val="24"/>
        </w:rPr>
        <w:t>the points are spread on both sides of the line indicating that the input effective sample sizes are not t</w:t>
      </w:r>
      <w:r w:rsidR="00EF6405">
        <w:rPr>
          <w:sz w:val="24"/>
          <w:szCs w:val="24"/>
        </w:rPr>
        <w:t>oo</w:t>
      </w:r>
      <w:r w:rsidR="00B541CE">
        <w:rPr>
          <w:sz w:val="24"/>
          <w:szCs w:val="24"/>
        </w:rPr>
        <w:t xml:space="preserve"> bad for the </w:t>
      </w:r>
      <w:r w:rsidR="006F37B0">
        <w:rPr>
          <w:sz w:val="24"/>
          <w:szCs w:val="24"/>
        </w:rPr>
        <w:t xml:space="preserve">two </w:t>
      </w:r>
      <w:r w:rsidR="00B541CE">
        <w:rPr>
          <w:sz w:val="24"/>
          <w:szCs w:val="24"/>
        </w:rPr>
        <w:t xml:space="preserve">scenarios. </w:t>
      </w:r>
    </w:p>
    <w:p w:rsidR="00F46F3A" w:rsidRDefault="00F46F3A" w:rsidP="00F1110D">
      <w:pPr>
        <w:pStyle w:val="BodyText"/>
        <w:spacing w:line="360" w:lineRule="auto"/>
        <w:ind w:left="720"/>
        <w:jc w:val="both"/>
        <w:rPr>
          <w:sz w:val="24"/>
          <w:szCs w:val="24"/>
        </w:rPr>
      </w:pPr>
    </w:p>
    <w:p w:rsidR="00F46F3A" w:rsidRDefault="00EF6405" w:rsidP="00F1110D">
      <w:pPr>
        <w:pStyle w:val="BodyText"/>
        <w:spacing w:line="360" w:lineRule="auto"/>
        <w:ind w:left="720"/>
        <w:jc w:val="both"/>
        <w:rPr>
          <w:sz w:val="24"/>
          <w:szCs w:val="24"/>
        </w:rPr>
      </w:pPr>
      <w:r>
        <w:rPr>
          <w:sz w:val="24"/>
          <w:szCs w:val="24"/>
        </w:rPr>
        <w:lastRenderedPageBreak/>
        <w:t>We used w</w:t>
      </w:r>
      <w:r w:rsidR="00E43A0D">
        <w:rPr>
          <w:sz w:val="24"/>
          <w:szCs w:val="24"/>
        </w:rPr>
        <w:t xml:space="preserve">eighting factors for </w:t>
      </w:r>
      <w:r w:rsidR="005B7F70">
        <w:rPr>
          <w:sz w:val="24"/>
          <w:szCs w:val="24"/>
        </w:rPr>
        <w:t>catch biomass;</w:t>
      </w:r>
      <w:r w:rsidR="00F46F3A">
        <w:rPr>
          <w:sz w:val="24"/>
          <w:szCs w:val="24"/>
        </w:rPr>
        <w:t xml:space="preserve"> recruitm</w:t>
      </w:r>
      <w:r w:rsidR="005B7F70">
        <w:rPr>
          <w:sz w:val="24"/>
          <w:szCs w:val="24"/>
        </w:rPr>
        <w:t>ent deviation; pot fishery F;</w:t>
      </w:r>
      <w:r w:rsidR="00F46F3A">
        <w:rPr>
          <w:sz w:val="24"/>
          <w:szCs w:val="24"/>
        </w:rPr>
        <w:t xml:space="preserve"> groundfish fishe</w:t>
      </w:r>
      <w:r w:rsidR="005B7F70">
        <w:rPr>
          <w:sz w:val="24"/>
          <w:szCs w:val="24"/>
        </w:rPr>
        <w:t xml:space="preserve">ry F; </w:t>
      </w:r>
      <w:r w:rsidR="006F37B0">
        <w:rPr>
          <w:sz w:val="24"/>
          <w:szCs w:val="24"/>
        </w:rPr>
        <w:t xml:space="preserve">and </w:t>
      </w:r>
      <w:r w:rsidR="00E43A0D">
        <w:rPr>
          <w:sz w:val="24"/>
          <w:szCs w:val="24"/>
        </w:rPr>
        <w:t xml:space="preserve">tagging </w:t>
      </w:r>
      <w:r w:rsidR="00886841">
        <w:rPr>
          <w:sz w:val="24"/>
          <w:szCs w:val="24"/>
        </w:rPr>
        <w:t>(</w:t>
      </w:r>
      <w:r w:rsidR="00E43A0D">
        <w:rPr>
          <w:sz w:val="24"/>
          <w:szCs w:val="24"/>
        </w:rPr>
        <w:t>multinomial likelihood</w:t>
      </w:r>
      <w:r w:rsidR="006F37B0">
        <w:rPr>
          <w:sz w:val="24"/>
          <w:szCs w:val="24"/>
        </w:rPr>
        <w:t>)</w:t>
      </w:r>
      <w:r w:rsidR="00886841">
        <w:rPr>
          <w:sz w:val="24"/>
          <w:szCs w:val="24"/>
        </w:rPr>
        <w:t xml:space="preserve">. </w:t>
      </w:r>
      <w:r>
        <w:rPr>
          <w:sz w:val="24"/>
          <w:szCs w:val="24"/>
        </w:rPr>
        <w:t xml:space="preserve">We set the CPUE weights </w:t>
      </w:r>
      <w:r w:rsidR="00E43A0D">
        <w:rPr>
          <w:sz w:val="24"/>
          <w:szCs w:val="24"/>
        </w:rPr>
        <w:t xml:space="preserve">to 1 </w:t>
      </w:r>
      <w:r>
        <w:rPr>
          <w:sz w:val="24"/>
          <w:szCs w:val="24"/>
        </w:rPr>
        <w:t xml:space="preserve">for </w:t>
      </w:r>
      <w:r w:rsidR="006F37B0">
        <w:rPr>
          <w:sz w:val="24"/>
          <w:szCs w:val="24"/>
        </w:rPr>
        <w:t>both</w:t>
      </w:r>
      <w:r>
        <w:rPr>
          <w:sz w:val="24"/>
          <w:szCs w:val="24"/>
        </w:rPr>
        <w:t xml:space="preserve"> scenarios </w:t>
      </w:r>
      <w:r w:rsidR="00E43A0D">
        <w:rPr>
          <w:sz w:val="24"/>
          <w:szCs w:val="24"/>
        </w:rPr>
        <w:t>because additional variance component</w:t>
      </w:r>
      <w:r w:rsidR="00886841">
        <w:rPr>
          <w:sz w:val="24"/>
          <w:szCs w:val="24"/>
        </w:rPr>
        <w:t>s</w:t>
      </w:r>
      <w:r w:rsidR="00E43A0D">
        <w:rPr>
          <w:sz w:val="24"/>
          <w:szCs w:val="24"/>
        </w:rPr>
        <w:t xml:space="preserve"> </w:t>
      </w:r>
      <w:r w:rsidR="00886841">
        <w:rPr>
          <w:sz w:val="24"/>
          <w:szCs w:val="24"/>
        </w:rPr>
        <w:t xml:space="preserve">in the likelihoods </w:t>
      </w:r>
      <w:r w:rsidR="00E43A0D">
        <w:rPr>
          <w:sz w:val="24"/>
          <w:szCs w:val="24"/>
        </w:rPr>
        <w:t xml:space="preserve">take care of </w:t>
      </w:r>
      <w:r w:rsidR="00886841">
        <w:rPr>
          <w:sz w:val="24"/>
          <w:szCs w:val="24"/>
        </w:rPr>
        <w:t xml:space="preserve">under estimation of </w:t>
      </w:r>
      <w:r w:rsidR="00E43A0D">
        <w:rPr>
          <w:sz w:val="24"/>
          <w:szCs w:val="24"/>
        </w:rPr>
        <w:t xml:space="preserve">sampling variance. </w:t>
      </w:r>
      <w:r>
        <w:rPr>
          <w:sz w:val="24"/>
          <w:szCs w:val="24"/>
        </w:rPr>
        <w:t xml:space="preserve">However, the estimated additional variance values were small indicating that the negative binomial model estimate of the CPUE index </w:t>
      </w:r>
      <w:r w:rsidR="0097088C">
        <w:rPr>
          <w:sz w:val="24"/>
          <w:szCs w:val="24"/>
        </w:rPr>
        <w:t>variances</w:t>
      </w:r>
      <w:r>
        <w:rPr>
          <w:sz w:val="24"/>
          <w:szCs w:val="24"/>
        </w:rPr>
        <w:t xml:space="preserve"> were adequate to fit the model (Tables </w:t>
      </w:r>
      <w:r w:rsidR="00163884">
        <w:rPr>
          <w:sz w:val="24"/>
          <w:szCs w:val="24"/>
        </w:rPr>
        <w:t xml:space="preserve">4 and 5 for EAG and </w:t>
      </w:r>
      <w:r w:rsidR="006F37B0">
        <w:rPr>
          <w:sz w:val="24"/>
          <w:szCs w:val="24"/>
        </w:rPr>
        <w:t xml:space="preserve">15 </w:t>
      </w:r>
      <w:r w:rsidR="00163884">
        <w:rPr>
          <w:sz w:val="24"/>
          <w:szCs w:val="24"/>
        </w:rPr>
        <w:t xml:space="preserve">and </w:t>
      </w:r>
      <w:r w:rsidR="006F37B0">
        <w:rPr>
          <w:sz w:val="24"/>
          <w:szCs w:val="24"/>
        </w:rPr>
        <w:t xml:space="preserve">16 </w:t>
      </w:r>
      <w:r w:rsidR="00163884">
        <w:rPr>
          <w:sz w:val="24"/>
          <w:szCs w:val="24"/>
        </w:rPr>
        <w:t xml:space="preserve">for WAG for scenarios 1 and 2, respectively. </w:t>
      </w:r>
      <w:r w:rsidR="00E43A0D">
        <w:rPr>
          <w:sz w:val="24"/>
          <w:szCs w:val="24"/>
        </w:rPr>
        <w:t xml:space="preserve"> </w:t>
      </w:r>
      <w:r w:rsidR="00886841">
        <w:rPr>
          <w:sz w:val="24"/>
          <w:szCs w:val="24"/>
        </w:rPr>
        <w:t xml:space="preserve">The weight </w:t>
      </w:r>
      <w:r w:rsidR="00DB1633">
        <w:rPr>
          <w:sz w:val="24"/>
          <w:szCs w:val="24"/>
        </w:rPr>
        <w:t>specification is</w:t>
      </w:r>
      <w:r w:rsidR="00886841">
        <w:rPr>
          <w:sz w:val="24"/>
          <w:szCs w:val="24"/>
        </w:rPr>
        <w:t xml:space="preserve"> detailed in Tables A1 and A2 in Appendix A for EAG and WAG, respectively.</w:t>
      </w:r>
    </w:p>
    <w:p w:rsidR="00F1110D" w:rsidRDefault="00F1110D" w:rsidP="00F1110D">
      <w:pPr>
        <w:pStyle w:val="BodyText"/>
        <w:spacing w:line="360" w:lineRule="auto"/>
        <w:ind w:left="810"/>
        <w:jc w:val="both"/>
        <w:rPr>
          <w:sz w:val="24"/>
          <w:szCs w:val="24"/>
        </w:rPr>
      </w:pPr>
    </w:p>
    <w:p w:rsidR="00845A4A" w:rsidRDefault="001C02F9" w:rsidP="007C3C7A">
      <w:pPr>
        <w:pStyle w:val="BodyText"/>
        <w:numPr>
          <w:ilvl w:val="0"/>
          <w:numId w:val="11"/>
        </w:numPr>
        <w:spacing w:line="360" w:lineRule="auto"/>
        <w:jc w:val="both"/>
        <w:rPr>
          <w:sz w:val="24"/>
          <w:szCs w:val="24"/>
        </w:rPr>
      </w:pPr>
      <w:r>
        <w:rPr>
          <w:sz w:val="24"/>
          <w:szCs w:val="24"/>
        </w:rPr>
        <w:t xml:space="preserve">Tables of estimates: </w:t>
      </w:r>
    </w:p>
    <w:p w:rsidR="00845A4A" w:rsidRDefault="00756AD2" w:rsidP="007C3C7A">
      <w:pPr>
        <w:pStyle w:val="BodyText"/>
        <w:numPr>
          <w:ilvl w:val="0"/>
          <w:numId w:val="7"/>
        </w:numPr>
        <w:spacing w:line="360" w:lineRule="auto"/>
        <w:jc w:val="both"/>
        <w:rPr>
          <w:sz w:val="24"/>
          <w:szCs w:val="24"/>
        </w:rPr>
      </w:pPr>
      <w:r>
        <w:rPr>
          <w:sz w:val="24"/>
          <w:szCs w:val="24"/>
        </w:rPr>
        <w:t xml:space="preserve">The </w:t>
      </w:r>
      <w:r w:rsidR="00845A4A" w:rsidRPr="00845A4A">
        <w:rPr>
          <w:sz w:val="24"/>
          <w:szCs w:val="24"/>
        </w:rPr>
        <w:t>p</w:t>
      </w:r>
      <w:r w:rsidR="001C02F9" w:rsidRPr="00845A4A">
        <w:rPr>
          <w:sz w:val="24"/>
          <w:szCs w:val="24"/>
        </w:rPr>
        <w:t>arameter estimates</w:t>
      </w:r>
      <w:r w:rsidR="0076450F">
        <w:rPr>
          <w:sz w:val="24"/>
          <w:szCs w:val="24"/>
        </w:rPr>
        <w:t xml:space="preserve"> with one standard deviation for the </w:t>
      </w:r>
      <w:r w:rsidR="001C5089">
        <w:rPr>
          <w:sz w:val="24"/>
          <w:szCs w:val="24"/>
        </w:rPr>
        <w:t xml:space="preserve">scenarios 1 and 2 </w:t>
      </w:r>
      <w:r>
        <w:rPr>
          <w:sz w:val="24"/>
          <w:szCs w:val="24"/>
        </w:rPr>
        <w:t xml:space="preserve">are summarized </w:t>
      </w:r>
      <w:r w:rsidR="001C5089">
        <w:rPr>
          <w:sz w:val="24"/>
          <w:szCs w:val="24"/>
        </w:rPr>
        <w:t xml:space="preserve">respectively </w:t>
      </w:r>
      <w:r w:rsidR="00845A4A" w:rsidRPr="00845A4A">
        <w:rPr>
          <w:sz w:val="24"/>
          <w:szCs w:val="24"/>
        </w:rPr>
        <w:t xml:space="preserve">in </w:t>
      </w:r>
      <w:r w:rsidR="001C5089">
        <w:rPr>
          <w:sz w:val="24"/>
          <w:szCs w:val="24"/>
        </w:rPr>
        <w:t xml:space="preserve">Tables 4 and 5 for EAG and </w:t>
      </w:r>
      <w:r w:rsidR="00187683">
        <w:rPr>
          <w:sz w:val="24"/>
          <w:szCs w:val="24"/>
        </w:rPr>
        <w:t xml:space="preserve">15 </w:t>
      </w:r>
      <w:r w:rsidR="001C5089">
        <w:rPr>
          <w:sz w:val="24"/>
          <w:szCs w:val="24"/>
        </w:rPr>
        <w:t xml:space="preserve">and </w:t>
      </w:r>
      <w:r w:rsidR="00187683">
        <w:rPr>
          <w:sz w:val="24"/>
          <w:szCs w:val="24"/>
        </w:rPr>
        <w:t xml:space="preserve">16 </w:t>
      </w:r>
      <w:r w:rsidR="001C5089">
        <w:rPr>
          <w:sz w:val="24"/>
          <w:szCs w:val="24"/>
        </w:rPr>
        <w:t>for WAG</w:t>
      </w:r>
      <w:r w:rsidR="00886841">
        <w:rPr>
          <w:sz w:val="24"/>
          <w:szCs w:val="24"/>
        </w:rPr>
        <w:t>.</w:t>
      </w:r>
      <w:r w:rsidR="00845A4A" w:rsidRPr="00845A4A">
        <w:rPr>
          <w:sz w:val="24"/>
          <w:szCs w:val="24"/>
        </w:rPr>
        <w:t xml:space="preserve"> </w:t>
      </w:r>
      <w:r w:rsidR="00187683">
        <w:rPr>
          <w:sz w:val="24"/>
          <w:szCs w:val="24"/>
        </w:rPr>
        <w:t xml:space="preserve"> We have also provided the boundaries for parameter search in those tables and the estimates were within the bounds. Scenario 1 </w:t>
      </w:r>
      <w:r w:rsidR="001C5089">
        <w:rPr>
          <w:sz w:val="24"/>
          <w:szCs w:val="24"/>
        </w:rPr>
        <w:t xml:space="preserve"> did not consider the pseudo</w:t>
      </w:r>
      <w:r w:rsidR="00DE7C3E">
        <w:rPr>
          <w:sz w:val="24"/>
          <w:szCs w:val="24"/>
        </w:rPr>
        <w:t xml:space="preserve"> </w:t>
      </w:r>
      <w:r w:rsidR="001C5089">
        <w:rPr>
          <w:sz w:val="24"/>
          <w:szCs w:val="24"/>
        </w:rPr>
        <w:t>molt probability function and determined the size transition matrix based on the linear growth increment model with a gamma growth variability model</w:t>
      </w:r>
      <w:r w:rsidR="00187683">
        <w:rPr>
          <w:sz w:val="24"/>
          <w:szCs w:val="24"/>
        </w:rPr>
        <w:t xml:space="preserve">. On the other hand,  scenario 2 considered pseudo molting probability parameters in addition to the scenario 1 parameters to determine the size transition matrix. </w:t>
      </w:r>
    </w:p>
    <w:p w:rsidR="00E85480" w:rsidRDefault="00756AD2" w:rsidP="00E85480">
      <w:pPr>
        <w:pStyle w:val="BodyText"/>
        <w:numPr>
          <w:ilvl w:val="0"/>
          <w:numId w:val="7"/>
        </w:numPr>
        <w:spacing w:line="360" w:lineRule="auto"/>
        <w:jc w:val="both"/>
        <w:rPr>
          <w:sz w:val="24"/>
          <w:szCs w:val="24"/>
        </w:rPr>
      </w:pPr>
      <w:r>
        <w:rPr>
          <w:sz w:val="24"/>
          <w:szCs w:val="24"/>
        </w:rPr>
        <w:t>T</w:t>
      </w:r>
      <w:r w:rsidR="001C5089" w:rsidRPr="00E85480">
        <w:rPr>
          <w:sz w:val="24"/>
          <w:szCs w:val="24"/>
        </w:rPr>
        <w:t>he estimated size transition matrix</w:t>
      </w:r>
      <w:r>
        <w:rPr>
          <w:sz w:val="24"/>
          <w:szCs w:val="24"/>
        </w:rPr>
        <w:t>es</w:t>
      </w:r>
      <w:r w:rsidR="001C5089" w:rsidRPr="00E85480">
        <w:rPr>
          <w:sz w:val="24"/>
          <w:szCs w:val="24"/>
        </w:rPr>
        <w:t xml:space="preserve"> </w:t>
      </w:r>
      <w:r w:rsidR="00187683" w:rsidRPr="00E85480">
        <w:rPr>
          <w:sz w:val="24"/>
          <w:szCs w:val="24"/>
        </w:rPr>
        <w:t xml:space="preserve">for both scenarios </w:t>
      </w:r>
      <w:r>
        <w:rPr>
          <w:sz w:val="24"/>
          <w:szCs w:val="24"/>
        </w:rPr>
        <w:t xml:space="preserve">are summarized </w:t>
      </w:r>
      <w:r w:rsidR="00681DCB" w:rsidRPr="00E85480">
        <w:rPr>
          <w:sz w:val="24"/>
          <w:szCs w:val="24"/>
        </w:rPr>
        <w:t>in Tables 6 and 7 for EAG</w:t>
      </w:r>
      <w:r w:rsidR="00187683" w:rsidRPr="00173D05">
        <w:rPr>
          <w:sz w:val="24"/>
          <w:szCs w:val="24"/>
        </w:rPr>
        <w:t xml:space="preserve"> and in Tables 17 and 18 for WAG</w:t>
      </w:r>
      <w:r w:rsidR="00681DCB" w:rsidRPr="00173D05">
        <w:rPr>
          <w:sz w:val="24"/>
          <w:szCs w:val="24"/>
        </w:rPr>
        <w:t xml:space="preserve">. </w:t>
      </w:r>
      <w:r w:rsidR="00E85480" w:rsidRPr="00173D05">
        <w:rPr>
          <w:sz w:val="24"/>
          <w:szCs w:val="24"/>
        </w:rPr>
        <w:t xml:space="preserve">Overall the matrix elements for both scenarios appear reasonable to describe golden king crab growth.  </w:t>
      </w:r>
    </w:p>
    <w:p w:rsidR="00681DCB" w:rsidRPr="00E85480" w:rsidRDefault="00756AD2" w:rsidP="00E85480">
      <w:pPr>
        <w:pStyle w:val="BodyText"/>
        <w:numPr>
          <w:ilvl w:val="0"/>
          <w:numId w:val="7"/>
        </w:numPr>
        <w:spacing w:line="360" w:lineRule="auto"/>
        <w:jc w:val="both"/>
        <w:rPr>
          <w:sz w:val="24"/>
          <w:szCs w:val="24"/>
        </w:rPr>
      </w:pPr>
      <w:r>
        <w:rPr>
          <w:sz w:val="24"/>
          <w:szCs w:val="24"/>
        </w:rPr>
        <w:t>T</w:t>
      </w:r>
      <w:r w:rsidR="00681DCB" w:rsidRPr="00E85480">
        <w:rPr>
          <w:sz w:val="24"/>
          <w:szCs w:val="24"/>
        </w:rPr>
        <w:t>he correlation matrix</w:t>
      </w:r>
      <w:r>
        <w:rPr>
          <w:sz w:val="24"/>
          <w:szCs w:val="24"/>
        </w:rPr>
        <w:t>es</w:t>
      </w:r>
      <w:r w:rsidR="00681DCB" w:rsidRPr="00E85480">
        <w:rPr>
          <w:sz w:val="24"/>
          <w:szCs w:val="24"/>
        </w:rPr>
        <w:t xml:space="preserve"> of the growth increment parameters (linear growth increment model parameters “ln(a)” and “G_b”) and the pseudo</w:t>
      </w:r>
      <w:r w:rsidR="00DE7C3E" w:rsidRPr="00E85480">
        <w:rPr>
          <w:sz w:val="24"/>
          <w:szCs w:val="24"/>
        </w:rPr>
        <w:t xml:space="preserve"> </w:t>
      </w:r>
      <w:r w:rsidR="00681DCB" w:rsidRPr="00E85480">
        <w:rPr>
          <w:sz w:val="24"/>
          <w:szCs w:val="24"/>
        </w:rPr>
        <w:t xml:space="preserve">molt probability parameters (“ln(aa)” and “ln(b)”) </w:t>
      </w:r>
      <w:r>
        <w:rPr>
          <w:sz w:val="24"/>
          <w:szCs w:val="24"/>
        </w:rPr>
        <w:t xml:space="preserve">are shown </w:t>
      </w:r>
      <w:r w:rsidR="00681DCB" w:rsidRPr="00E85480">
        <w:rPr>
          <w:sz w:val="24"/>
          <w:szCs w:val="24"/>
        </w:rPr>
        <w:t xml:space="preserve">in Table 8 for scenario </w:t>
      </w:r>
      <w:r w:rsidR="00E85480">
        <w:rPr>
          <w:sz w:val="24"/>
          <w:szCs w:val="24"/>
        </w:rPr>
        <w:t>2 in EAG and Table 19 for WAG.</w:t>
      </w:r>
      <w:r w:rsidR="00681DCB" w:rsidRPr="00E85480">
        <w:rPr>
          <w:sz w:val="24"/>
          <w:szCs w:val="24"/>
        </w:rPr>
        <w:t xml:space="preserve"> </w:t>
      </w:r>
      <w:r w:rsidR="00E85480">
        <w:rPr>
          <w:sz w:val="24"/>
          <w:szCs w:val="24"/>
        </w:rPr>
        <w:t xml:space="preserve">High correlations exist among all the parameters. </w:t>
      </w:r>
      <w:r w:rsidR="00681DCB" w:rsidRPr="00E85480">
        <w:rPr>
          <w:sz w:val="24"/>
          <w:szCs w:val="24"/>
        </w:rPr>
        <w:t xml:space="preserve">.  </w:t>
      </w:r>
    </w:p>
    <w:p w:rsidR="00845A4A" w:rsidRDefault="00756AD2" w:rsidP="007C3C7A">
      <w:pPr>
        <w:pStyle w:val="BodyText"/>
        <w:numPr>
          <w:ilvl w:val="0"/>
          <w:numId w:val="7"/>
        </w:numPr>
        <w:spacing w:line="360" w:lineRule="auto"/>
        <w:jc w:val="both"/>
        <w:rPr>
          <w:sz w:val="24"/>
          <w:szCs w:val="24"/>
        </w:rPr>
      </w:pPr>
      <w:r>
        <w:rPr>
          <w:sz w:val="24"/>
          <w:szCs w:val="24"/>
        </w:rPr>
        <w:t>T</w:t>
      </w:r>
      <w:r w:rsidR="00845A4A" w:rsidRPr="00845A4A">
        <w:rPr>
          <w:sz w:val="24"/>
          <w:szCs w:val="24"/>
        </w:rPr>
        <w:t xml:space="preserve">he mature male and legal male abundance time series </w:t>
      </w:r>
      <w:r>
        <w:rPr>
          <w:sz w:val="24"/>
          <w:szCs w:val="24"/>
        </w:rPr>
        <w:t xml:space="preserve">are summarized </w:t>
      </w:r>
      <w:r w:rsidR="00845A4A" w:rsidRPr="00845A4A">
        <w:rPr>
          <w:sz w:val="24"/>
          <w:szCs w:val="24"/>
        </w:rPr>
        <w:t>in Table</w:t>
      </w:r>
      <w:r w:rsidR="00F46F3A">
        <w:rPr>
          <w:sz w:val="24"/>
          <w:szCs w:val="24"/>
        </w:rPr>
        <w:t>s</w:t>
      </w:r>
      <w:r w:rsidR="00845A4A" w:rsidRPr="00845A4A">
        <w:rPr>
          <w:sz w:val="24"/>
          <w:szCs w:val="24"/>
        </w:rPr>
        <w:t xml:space="preserve"> </w:t>
      </w:r>
      <w:r w:rsidR="0038373D">
        <w:rPr>
          <w:sz w:val="24"/>
          <w:szCs w:val="24"/>
        </w:rPr>
        <w:t xml:space="preserve">9 and 10 for scenarios 1 and 2 and </w:t>
      </w:r>
      <w:r w:rsidR="00886841">
        <w:rPr>
          <w:sz w:val="24"/>
          <w:szCs w:val="24"/>
        </w:rPr>
        <w:t xml:space="preserve">for EAG and </w:t>
      </w:r>
      <w:r w:rsidR="0038373D">
        <w:rPr>
          <w:sz w:val="24"/>
          <w:szCs w:val="24"/>
        </w:rPr>
        <w:t xml:space="preserve">Tables </w:t>
      </w:r>
      <w:r w:rsidR="00E85480">
        <w:rPr>
          <w:sz w:val="24"/>
          <w:szCs w:val="24"/>
        </w:rPr>
        <w:t xml:space="preserve">20 </w:t>
      </w:r>
      <w:r w:rsidR="0038373D">
        <w:rPr>
          <w:sz w:val="24"/>
          <w:szCs w:val="24"/>
        </w:rPr>
        <w:t xml:space="preserve">and </w:t>
      </w:r>
      <w:r w:rsidR="00E85480">
        <w:rPr>
          <w:sz w:val="24"/>
          <w:szCs w:val="24"/>
        </w:rPr>
        <w:t xml:space="preserve">21 </w:t>
      </w:r>
      <w:r w:rsidR="0038373D">
        <w:rPr>
          <w:sz w:val="24"/>
          <w:szCs w:val="24"/>
        </w:rPr>
        <w:t>for scenarios 1 and 2 and</w:t>
      </w:r>
      <w:r w:rsidR="00886841">
        <w:rPr>
          <w:sz w:val="24"/>
          <w:szCs w:val="24"/>
        </w:rPr>
        <w:t xml:space="preserve"> for W</w:t>
      </w:r>
      <w:r w:rsidR="006B24F5">
        <w:rPr>
          <w:sz w:val="24"/>
          <w:szCs w:val="24"/>
        </w:rPr>
        <w:t>AG</w:t>
      </w:r>
      <w:r w:rsidR="00845A4A" w:rsidRPr="00845A4A">
        <w:rPr>
          <w:sz w:val="24"/>
          <w:szCs w:val="24"/>
        </w:rPr>
        <w:t>.</w:t>
      </w:r>
    </w:p>
    <w:p w:rsidR="006B24F5" w:rsidRDefault="00756AD2" w:rsidP="007C3C7A">
      <w:pPr>
        <w:pStyle w:val="BodyText"/>
        <w:numPr>
          <w:ilvl w:val="0"/>
          <w:numId w:val="7"/>
        </w:numPr>
        <w:spacing w:line="360" w:lineRule="auto"/>
        <w:jc w:val="both"/>
        <w:rPr>
          <w:sz w:val="24"/>
          <w:szCs w:val="24"/>
        </w:rPr>
      </w:pPr>
      <w:r>
        <w:rPr>
          <w:sz w:val="24"/>
          <w:szCs w:val="24"/>
        </w:rPr>
        <w:t>T</w:t>
      </w:r>
      <w:r w:rsidR="00845A4A" w:rsidRPr="006B24F5">
        <w:rPr>
          <w:sz w:val="24"/>
          <w:szCs w:val="24"/>
        </w:rPr>
        <w:t xml:space="preserve">he recruitment estimates </w:t>
      </w:r>
      <w:r>
        <w:rPr>
          <w:sz w:val="24"/>
          <w:szCs w:val="24"/>
        </w:rPr>
        <w:t xml:space="preserve">are summarized </w:t>
      </w:r>
      <w:r w:rsidR="00845A4A" w:rsidRPr="006B24F5">
        <w:rPr>
          <w:sz w:val="24"/>
          <w:szCs w:val="24"/>
        </w:rPr>
        <w:t xml:space="preserve">in </w:t>
      </w:r>
      <w:r w:rsidR="006B24F5" w:rsidRPr="00845A4A">
        <w:rPr>
          <w:sz w:val="24"/>
          <w:szCs w:val="24"/>
        </w:rPr>
        <w:t>Table</w:t>
      </w:r>
      <w:r w:rsidR="00886841">
        <w:rPr>
          <w:sz w:val="24"/>
          <w:szCs w:val="24"/>
        </w:rPr>
        <w:t xml:space="preserve">s </w:t>
      </w:r>
      <w:r w:rsidR="0038373D">
        <w:rPr>
          <w:sz w:val="24"/>
          <w:szCs w:val="24"/>
        </w:rPr>
        <w:t>9 and 10 for scenarios 1 and 2 and</w:t>
      </w:r>
      <w:r w:rsidR="00886841">
        <w:rPr>
          <w:sz w:val="24"/>
          <w:szCs w:val="24"/>
        </w:rPr>
        <w:t xml:space="preserve"> for EAG and </w:t>
      </w:r>
      <w:r w:rsidR="0038373D">
        <w:rPr>
          <w:sz w:val="24"/>
          <w:szCs w:val="24"/>
        </w:rPr>
        <w:t xml:space="preserve">Tables </w:t>
      </w:r>
      <w:r w:rsidR="00E85480">
        <w:rPr>
          <w:sz w:val="24"/>
          <w:szCs w:val="24"/>
        </w:rPr>
        <w:t xml:space="preserve">20 </w:t>
      </w:r>
      <w:r w:rsidR="0038373D">
        <w:rPr>
          <w:sz w:val="24"/>
          <w:szCs w:val="24"/>
        </w:rPr>
        <w:t xml:space="preserve">and </w:t>
      </w:r>
      <w:r w:rsidR="00E85480">
        <w:rPr>
          <w:sz w:val="24"/>
          <w:szCs w:val="24"/>
        </w:rPr>
        <w:t xml:space="preserve">21 </w:t>
      </w:r>
      <w:r w:rsidR="0038373D">
        <w:rPr>
          <w:sz w:val="24"/>
          <w:szCs w:val="24"/>
        </w:rPr>
        <w:t xml:space="preserve">for scenarios 1 and 2 and </w:t>
      </w:r>
      <w:r w:rsidR="006B24F5">
        <w:rPr>
          <w:sz w:val="24"/>
          <w:szCs w:val="24"/>
        </w:rPr>
        <w:t>for WAG</w:t>
      </w:r>
      <w:r w:rsidR="0038373D">
        <w:rPr>
          <w:sz w:val="24"/>
          <w:szCs w:val="24"/>
        </w:rPr>
        <w:t>.</w:t>
      </w:r>
    </w:p>
    <w:p w:rsidR="00496D01" w:rsidRDefault="001F180A" w:rsidP="00365C4E">
      <w:pPr>
        <w:pStyle w:val="BodyText"/>
        <w:spacing w:line="360" w:lineRule="auto"/>
        <w:ind w:left="1440"/>
        <w:jc w:val="both"/>
        <w:rPr>
          <w:sz w:val="24"/>
          <w:szCs w:val="24"/>
        </w:rPr>
      </w:pPr>
      <w:r>
        <w:rPr>
          <w:sz w:val="24"/>
          <w:szCs w:val="24"/>
        </w:rPr>
        <w:lastRenderedPageBreak/>
        <w:t>.</w:t>
      </w:r>
    </w:p>
    <w:p w:rsidR="006B24F5" w:rsidRPr="00365C4E" w:rsidRDefault="00756AD2" w:rsidP="00365C4E">
      <w:pPr>
        <w:pStyle w:val="BodyText"/>
        <w:numPr>
          <w:ilvl w:val="0"/>
          <w:numId w:val="7"/>
        </w:numPr>
        <w:spacing w:line="360" w:lineRule="auto"/>
        <w:ind w:left="1080"/>
        <w:jc w:val="both"/>
        <w:rPr>
          <w:sz w:val="24"/>
          <w:szCs w:val="24"/>
        </w:rPr>
      </w:pPr>
      <w:r>
        <w:rPr>
          <w:sz w:val="24"/>
          <w:szCs w:val="24"/>
        </w:rPr>
        <w:t>T</w:t>
      </w:r>
      <w:r w:rsidR="0038373D" w:rsidRPr="00365C4E">
        <w:rPr>
          <w:sz w:val="24"/>
          <w:szCs w:val="24"/>
        </w:rPr>
        <w:t xml:space="preserve">he likelihood component values and the total likelihood values for </w:t>
      </w:r>
      <w:r w:rsidR="00365C4E" w:rsidRPr="00365C4E">
        <w:rPr>
          <w:sz w:val="24"/>
          <w:szCs w:val="24"/>
        </w:rPr>
        <w:t>both</w:t>
      </w:r>
      <w:r w:rsidR="0038373D" w:rsidRPr="00365C4E">
        <w:rPr>
          <w:sz w:val="24"/>
          <w:szCs w:val="24"/>
        </w:rPr>
        <w:t xml:space="preserve"> scenarios </w:t>
      </w:r>
      <w:r w:rsidR="00953994">
        <w:rPr>
          <w:sz w:val="24"/>
          <w:szCs w:val="24"/>
        </w:rPr>
        <w:t xml:space="preserve">are summarized </w:t>
      </w:r>
      <w:r w:rsidR="0038373D" w:rsidRPr="00365C4E">
        <w:rPr>
          <w:sz w:val="24"/>
          <w:szCs w:val="24"/>
        </w:rPr>
        <w:t xml:space="preserve">in </w:t>
      </w:r>
      <w:r w:rsidR="008F7D21" w:rsidRPr="00365C4E">
        <w:rPr>
          <w:sz w:val="24"/>
          <w:szCs w:val="24"/>
        </w:rPr>
        <w:t xml:space="preserve">Table </w:t>
      </w:r>
      <w:r w:rsidR="00365C4E" w:rsidRPr="00365C4E">
        <w:rPr>
          <w:sz w:val="24"/>
          <w:szCs w:val="24"/>
        </w:rPr>
        <w:t xml:space="preserve">11 </w:t>
      </w:r>
      <w:r w:rsidR="008F7D21" w:rsidRPr="00365C4E">
        <w:rPr>
          <w:sz w:val="24"/>
          <w:szCs w:val="24"/>
        </w:rPr>
        <w:t xml:space="preserve">for EAG and </w:t>
      </w:r>
      <w:r w:rsidR="0038373D" w:rsidRPr="00365C4E">
        <w:rPr>
          <w:sz w:val="24"/>
          <w:szCs w:val="24"/>
        </w:rPr>
        <w:t xml:space="preserve">Table </w:t>
      </w:r>
      <w:r w:rsidR="00365C4E" w:rsidRPr="00365C4E">
        <w:rPr>
          <w:sz w:val="24"/>
          <w:szCs w:val="24"/>
        </w:rPr>
        <w:t xml:space="preserve">22 </w:t>
      </w:r>
      <w:r w:rsidR="0038373D" w:rsidRPr="00365C4E">
        <w:rPr>
          <w:sz w:val="24"/>
          <w:szCs w:val="24"/>
        </w:rPr>
        <w:t>for WAG</w:t>
      </w:r>
      <w:r w:rsidR="008F7D21" w:rsidRPr="00365C4E">
        <w:rPr>
          <w:sz w:val="24"/>
          <w:szCs w:val="24"/>
        </w:rPr>
        <w:t xml:space="preserve">. Total likelihood values for </w:t>
      </w:r>
      <w:r w:rsidR="00365C4E" w:rsidRPr="00365C4E">
        <w:rPr>
          <w:sz w:val="24"/>
          <w:szCs w:val="24"/>
        </w:rPr>
        <w:t xml:space="preserve">both scenarios in the two areas are </w:t>
      </w:r>
      <w:r w:rsidR="00365C4E">
        <w:rPr>
          <w:sz w:val="24"/>
          <w:szCs w:val="24"/>
        </w:rPr>
        <w:t xml:space="preserve">very </w:t>
      </w:r>
      <w:r w:rsidR="00365C4E" w:rsidRPr="00365C4E">
        <w:rPr>
          <w:sz w:val="24"/>
          <w:szCs w:val="24"/>
        </w:rPr>
        <w:t xml:space="preserve">similar. </w:t>
      </w:r>
    </w:p>
    <w:p w:rsidR="00662985" w:rsidRDefault="00662985" w:rsidP="007C3C7A">
      <w:pPr>
        <w:pStyle w:val="BodyText"/>
        <w:numPr>
          <w:ilvl w:val="0"/>
          <w:numId w:val="11"/>
        </w:numPr>
        <w:spacing w:line="360" w:lineRule="auto"/>
        <w:jc w:val="both"/>
        <w:rPr>
          <w:sz w:val="24"/>
          <w:szCs w:val="24"/>
        </w:rPr>
      </w:pPr>
      <w:r>
        <w:rPr>
          <w:sz w:val="24"/>
          <w:szCs w:val="24"/>
        </w:rPr>
        <w:t>Graphs of estimates:</w:t>
      </w:r>
    </w:p>
    <w:p w:rsidR="0075497A" w:rsidRDefault="00953994" w:rsidP="00321631">
      <w:pPr>
        <w:pStyle w:val="BodyText"/>
        <w:numPr>
          <w:ilvl w:val="0"/>
          <w:numId w:val="24"/>
        </w:numPr>
        <w:spacing w:line="360" w:lineRule="auto"/>
        <w:ind w:left="1440"/>
        <w:jc w:val="both"/>
        <w:rPr>
          <w:sz w:val="24"/>
          <w:szCs w:val="24"/>
        </w:rPr>
      </w:pPr>
      <w:r>
        <w:rPr>
          <w:sz w:val="24"/>
          <w:szCs w:val="24"/>
        </w:rPr>
        <w:t>T</w:t>
      </w:r>
      <w:r w:rsidR="00A26BE5">
        <w:rPr>
          <w:sz w:val="24"/>
          <w:szCs w:val="24"/>
        </w:rPr>
        <w:t xml:space="preserve">he year 2000 and 2012 total and retained selectivity curves for </w:t>
      </w:r>
      <w:r w:rsidR="00663062">
        <w:rPr>
          <w:sz w:val="24"/>
          <w:szCs w:val="24"/>
        </w:rPr>
        <w:t xml:space="preserve">the two </w:t>
      </w:r>
      <w:r w:rsidR="00A26BE5">
        <w:rPr>
          <w:sz w:val="24"/>
          <w:szCs w:val="24"/>
        </w:rPr>
        <w:t xml:space="preserve">scenarios </w:t>
      </w:r>
      <w:r>
        <w:rPr>
          <w:sz w:val="24"/>
          <w:szCs w:val="24"/>
        </w:rPr>
        <w:t xml:space="preserve">are illustrated </w:t>
      </w:r>
      <w:r w:rsidR="00A26BE5">
        <w:rPr>
          <w:sz w:val="24"/>
          <w:szCs w:val="24"/>
        </w:rPr>
        <w:t xml:space="preserve">in Figure 14 for EAG and Figure 39 for WAG. Total selectivity for year 2000 was used in the tagging model. </w:t>
      </w:r>
      <w:r w:rsidR="00D1075F">
        <w:rPr>
          <w:sz w:val="24"/>
          <w:szCs w:val="24"/>
        </w:rPr>
        <w:t>The groundfish bycatch selectivity appeared flat in the preliminary analysis indicating that all size groups were vulnerable to the gear. This is also shown in the size compositions of groundfish bycatch (Figures 10</w:t>
      </w:r>
      <w:r w:rsidR="009427CA">
        <w:rPr>
          <w:sz w:val="24"/>
          <w:szCs w:val="24"/>
        </w:rPr>
        <w:t xml:space="preserve"> a and b,</w:t>
      </w:r>
      <w:r w:rsidR="00D1075F">
        <w:rPr>
          <w:sz w:val="24"/>
          <w:szCs w:val="24"/>
        </w:rPr>
        <w:t xml:space="preserve"> and 32</w:t>
      </w:r>
      <w:r w:rsidR="009427CA">
        <w:rPr>
          <w:sz w:val="24"/>
          <w:szCs w:val="24"/>
        </w:rPr>
        <w:t xml:space="preserve"> and 35 for scenarios 1 and 2, respectively</w:t>
      </w:r>
      <w:r w:rsidR="00D1075F">
        <w:rPr>
          <w:sz w:val="24"/>
          <w:szCs w:val="24"/>
        </w:rPr>
        <w:t>).  Thus, we set the groundfish bycatch selectivity to 1 for all size-classes in the subsequent analysis.</w:t>
      </w:r>
    </w:p>
    <w:p w:rsidR="00662985" w:rsidRDefault="00953994" w:rsidP="00DE7C3E">
      <w:pPr>
        <w:pStyle w:val="BodyText"/>
        <w:numPr>
          <w:ilvl w:val="0"/>
          <w:numId w:val="24"/>
        </w:numPr>
        <w:spacing w:line="360" w:lineRule="auto"/>
        <w:ind w:left="1440"/>
        <w:jc w:val="both"/>
        <w:rPr>
          <w:sz w:val="24"/>
          <w:szCs w:val="24"/>
        </w:rPr>
      </w:pPr>
      <w:r>
        <w:rPr>
          <w:sz w:val="24"/>
          <w:szCs w:val="24"/>
        </w:rPr>
        <w:t>T</w:t>
      </w:r>
      <w:r w:rsidR="00662985">
        <w:rPr>
          <w:sz w:val="24"/>
          <w:szCs w:val="24"/>
        </w:rPr>
        <w:t xml:space="preserve">he  mature male </w:t>
      </w:r>
      <w:r w:rsidR="009427CA">
        <w:rPr>
          <w:sz w:val="24"/>
          <w:szCs w:val="24"/>
        </w:rPr>
        <w:t xml:space="preserve">and legal male  </w:t>
      </w:r>
      <w:r w:rsidR="00662985">
        <w:rPr>
          <w:sz w:val="24"/>
          <w:szCs w:val="24"/>
        </w:rPr>
        <w:t xml:space="preserve">biomass time series </w:t>
      </w:r>
      <w:r w:rsidR="0050666F">
        <w:rPr>
          <w:sz w:val="24"/>
          <w:szCs w:val="24"/>
        </w:rPr>
        <w:t xml:space="preserve">for </w:t>
      </w:r>
      <w:r w:rsidR="007B158D">
        <w:rPr>
          <w:sz w:val="24"/>
          <w:szCs w:val="24"/>
        </w:rPr>
        <w:t xml:space="preserve">the </w:t>
      </w:r>
      <w:r w:rsidR="009427CA">
        <w:rPr>
          <w:sz w:val="24"/>
          <w:szCs w:val="24"/>
        </w:rPr>
        <w:t xml:space="preserve">two </w:t>
      </w:r>
      <w:r w:rsidR="007B158D">
        <w:rPr>
          <w:sz w:val="24"/>
          <w:szCs w:val="24"/>
        </w:rPr>
        <w:t>scenarios</w:t>
      </w:r>
      <w:r w:rsidR="0050666F">
        <w:rPr>
          <w:sz w:val="24"/>
          <w:szCs w:val="24"/>
        </w:rPr>
        <w:t xml:space="preserve"> </w:t>
      </w:r>
      <w:r>
        <w:rPr>
          <w:sz w:val="24"/>
          <w:szCs w:val="24"/>
        </w:rPr>
        <w:t xml:space="preserve">are illustrated </w:t>
      </w:r>
      <w:r w:rsidR="00662985">
        <w:rPr>
          <w:sz w:val="24"/>
          <w:szCs w:val="24"/>
        </w:rPr>
        <w:t>in Figure</w:t>
      </w:r>
      <w:r w:rsidR="007B158D">
        <w:rPr>
          <w:sz w:val="24"/>
          <w:szCs w:val="24"/>
        </w:rPr>
        <w:t>s</w:t>
      </w:r>
      <w:r w:rsidR="00662985">
        <w:rPr>
          <w:sz w:val="24"/>
          <w:szCs w:val="24"/>
        </w:rPr>
        <w:t xml:space="preserve"> </w:t>
      </w:r>
      <w:r w:rsidR="0075497A">
        <w:rPr>
          <w:sz w:val="24"/>
          <w:szCs w:val="24"/>
        </w:rPr>
        <w:t>21</w:t>
      </w:r>
      <w:r w:rsidR="00954436">
        <w:rPr>
          <w:sz w:val="24"/>
          <w:szCs w:val="24"/>
        </w:rPr>
        <w:t xml:space="preserve"> </w:t>
      </w:r>
      <w:r w:rsidR="007B158D">
        <w:rPr>
          <w:sz w:val="24"/>
          <w:szCs w:val="24"/>
        </w:rPr>
        <w:t xml:space="preserve">and </w:t>
      </w:r>
      <w:r w:rsidR="0075497A">
        <w:rPr>
          <w:sz w:val="24"/>
          <w:szCs w:val="24"/>
        </w:rPr>
        <w:t>22</w:t>
      </w:r>
      <w:r w:rsidR="007B158D">
        <w:rPr>
          <w:sz w:val="24"/>
          <w:szCs w:val="24"/>
        </w:rPr>
        <w:t xml:space="preserve"> </w:t>
      </w:r>
      <w:r w:rsidR="00954436">
        <w:rPr>
          <w:sz w:val="24"/>
          <w:szCs w:val="24"/>
        </w:rPr>
        <w:t>for EAG and in Figure</w:t>
      </w:r>
      <w:r w:rsidR="007B158D">
        <w:rPr>
          <w:sz w:val="24"/>
          <w:szCs w:val="24"/>
        </w:rPr>
        <w:t>s</w:t>
      </w:r>
      <w:r w:rsidR="00954436">
        <w:rPr>
          <w:sz w:val="24"/>
          <w:szCs w:val="24"/>
        </w:rPr>
        <w:t xml:space="preserve"> </w:t>
      </w:r>
      <w:r w:rsidR="0075497A">
        <w:rPr>
          <w:sz w:val="24"/>
          <w:szCs w:val="24"/>
        </w:rPr>
        <w:t>46</w:t>
      </w:r>
      <w:r w:rsidR="007B158D">
        <w:rPr>
          <w:sz w:val="24"/>
          <w:szCs w:val="24"/>
        </w:rPr>
        <w:t xml:space="preserve"> and </w:t>
      </w:r>
      <w:r w:rsidR="0075497A">
        <w:rPr>
          <w:sz w:val="24"/>
          <w:szCs w:val="24"/>
        </w:rPr>
        <w:t>47</w:t>
      </w:r>
      <w:r w:rsidR="0050666F">
        <w:rPr>
          <w:sz w:val="24"/>
          <w:szCs w:val="24"/>
        </w:rPr>
        <w:t xml:space="preserve"> for WAG.  Both legal and mature male biomass </w:t>
      </w:r>
      <w:r w:rsidR="00954436">
        <w:rPr>
          <w:sz w:val="24"/>
          <w:szCs w:val="24"/>
        </w:rPr>
        <w:t>trends tracked the CPUE trends well. We determined the mature male biomass values on 15 February and conside</w:t>
      </w:r>
      <w:r w:rsidR="003D6C09">
        <w:rPr>
          <w:sz w:val="24"/>
          <w:szCs w:val="24"/>
        </w:rPr>
        <w:t>red the entire time series for</w:t>
      </w:r>
      <w:r w:rsidR="00954436">
        <w:rPr>
          <w:sz w:val="24"/>
          <w:szCs w:val="24"/>
        </w:rPr>
        <w:t xml:space="preserve"> </w:t>
      </w:r>
      <w:r w:rsidR="00954436" w:rsidRPr="00C51694">
        <w:rPr>
          <w:i/>
          <w:sz w:val="24"/>
          <w:szCs w:val="24"/>
        </w:rPr>
        <w:t>B</w:t>
      </w:r>
      <w:r w:rsidR="00954436" w:rsidRPr="00C51694">
        <w:rPr>
          <w:i/>
          <w:sz w:val="24"/>
          <w:szCs w:val="24"/>
          <w:vertAlign w:val="subscript"/>
        </w:rPr>
        <w:t>ref</w:t>
      </w:r>
      <w:r w:rsidR="00954436">
        <w:rPr>
          <w:sz w:val="24"/>
          <w:szCs w:val="24"/>
        </w:rPr>
        <w:t xml:space="preserve"> </w:t>
      </w:r>
      <w:r w:rsidR="003D6C09">
        <w:rPr>
          <w:sz w:val="24"/>
          <w:szCs w:val="24"/>
        </w:rPr>
        <w:t>calculation.</w:t>
      </w:r>
    </w:p>
    <w:p w:rsidR="00FE02B7" w:rsidRDefault="00953994" w:rsidP="00DE7C3E">
      <w:pPr>
        <w:pStyle w:val="BodyText"/>
        <w:numPr>
          <w:ilvl w:val="0"/>
          <w:numId w:val="24"/>
        </w:numPr>
        <w:spacing w:line="360" w:lineRule="auto"/>
        <w:ind w:left="1440"/>
        <w:jc w:val="both"/>
        <w:rPr>
          <w:sz w:val="24"/>
          <w:szCs w:val="24"/>
        </w:rPr>
      </w:pPr>
      <w:r>
        <w:rPr>
          <w:sz w:val="24"/>
          <w:szCs w:val="24"/>
        </w:rPr>
        <w:t>T</w:t>
      </w:r>
      <w:r w:rsidR="00662985">
        <w:rPr>
          <w:sz w:val="24"/>
          <w:szCs w:val="24"/>
        </w:rPr>
        <w:t>he full selection</w:t>
      </w:r>
      <w:r w:rsidR="0075497A">
        <w:rPr>
          <w:sz w:val="24"/>
          <w:szCs w:val="24"/>
        </w:rPr>
        <w:t xml:space="preserve"> pot fishery </w:t>
      </w:r>
      <w:r w:rsidR="00662985">
        <w:rPr>
          <w:sz w:val="24"/>
          <w:szCs w:val="24"/>
        </w:rPr>
        <w:t xml:space="preserve">F over time </w:t>
      </w:r>
      <w:r w:rsidR="0050666F">
        <w:rPr>
          <w:sz w:val="24"/>
          <w:szCs w:val="24"/>
        </w:rPr>
        <w:t xml:space="preserve">for </w:t>
      </w:r>
      <w:r w:rsidR="009427CA">
        <w:rPr>
          <w:sz w:val="24"/>
          <w:szCs w:val="24"/>
        </w:rPr>
        <w:t>the two</w:t>
      </w:r>
      <w:r w:rsidR="0075497A">
        <w:rPr>
          <w:sz w:val="24"/>
          <w:szCs w:val="24"/>
        </w:rPr>
        <w:t xml:space="preserve"> </w:t>
      </w:r>
      <w:r w:rsidR="007B158D">
        <w:rPr>
          <w:sz w:val="24"/>
          <w:szCs w:val="24"/>
        </w:rPr>
        <w:t>scenario</w:t>
      </w:r>
      <w:r w:rsidR="0075497A">
        <w:rPr>
          <w:sz w:val="24"/>
          <w:szCs w:val="24"/>
        </w:rPr>
        <w:t>s</w:t>
      </w:r>
      <w:r w:rsidR="007B158D">
        <w:rPr>
          <w:sz w:val="24"/>
          <w:szCs w:val="24"/>
        </w:rPr>
        <w:t xml:space="preserve"> </w:t>
      </w:r>
      <w:r w:rsidR="003D6C09">
        <w:rPr>
          <w:sz w:val="24"/>
          <w:szCs w:val="24"/>
        </w:rPr>
        <w:t xml:space="preserve">for EAG </w:t>
      </w:r>
      <w:r>
        <w:rPr>
          <w:sz w:val="24"/>
          <w:szCs w:val="24"/>
        </w:rPr>
        <w:t xml:space="preserve">are shown </w:t>
      </w:r>
      <w:r w:rsidR="00662985">
        <w:rPr>
          <w:sz w:val="24"/>
          <w:szCs w:val="24"/>
        </w:rPr>
        <w:t>i</w:t>
      </w:r>
      <w:r w:rsidR="00677F62">
        <w:rPr>
          <w:sz w:val="24"/>
          <w:szCs w:val="24"/>
        </w:rPr>
        <w:t>n Figure 2</w:t>
      </w:r>
      <w:r w:rsidR="0075497A">
        <w:rPr>
          <w:sz w:val="24"/>
          <w:szCs w:val="24"/>
        </w:rPr>
        <w:t>3</w:t>
      </w:r>
      <w:r w:rsidR="00677F62">
        <w:rPr>
          <w:sz w:val="24"/>
          <w:szCs w:val="24"/>
        </w:rPr>
        <w:t xml:space="preserve"> </w:t>
      </w:r>
      <w:r w:rsidR="0075497A">
        <w:rPr>
          <w:sz w:val="24"/>
          <w:szCs w:val="24"/>
        </w:rPr>
        <w:t>and for WAG in Figure 48</w:t>
      </w:r>
      <w:r w:rsidR="00662985">
        <w:rPr>
          <w:sz w:val="24"/>
          <w:szCs w:val="24"/>
        </w:rPr>
        <w:t>.</w:t>
      </w:r>
      <w:r w:rsidR="00FE02B7" w:rsidRPr="00FE02B7">
        <w:rPr>
          <w:sz w:val="24"/>
          <w:szCs w:val="24"/>
        </w:rPr>
        <w:t xml:space="preserve"> </w:t>
      </w:r>
      <w:r w:rsidR="00FE02B7">
        <w:rPr>
          <w:sz w:val="24"/>
          <w:szCs w:val="24"/>
        </w:rPr>
        <w:t xml:space="preserve">The F </w:t>
      </w:r>
      <w:r w:rsidR="0050666F">
        <w:rPr>
          <w:sz w:val="24"/>
          <w:szCs w:val="24"/>
        </w:rPr>
        <w:t xml:space="preserve">peaked in </w:t>
      </w:r>
      <w:r w:rsidR="0075497A">
        <w:rPr>
          <w:sz w:val="24"/>
          <w:szCs w:val="24"/>
        </w:rPr>
        <w:t>1990s</w:t>
      </w:r>
      <w:r w:rsidR="00D14994">
        <w:rPr>
          <w:sz w:val="24"/>
          <w:szCs w:val="24"/>
        </w:rPr>
        <w:t xml:space="preserve"> </w:t>
      </w:r>
      <w:r w:rsidR="00FE02B7">
        <w:rPr>
          <w:sz w:val="24"/>
          <w:szCs w:val="24"/>
        </w:rPr>
        <w:t>and systematical</w:t>
      </w:r>
      <w:r w:rsidR="00FE3807">
        <w:rPr>
          <w:sz w:val="24"/>
          <w:szCs w:val="24"/>
        </w:rPr>
        <w:t>ly declined in the recent years.</w:t>
      </w:r>
    </w:p>
    <w:p w:rsidR="00FE02B7" w:rsidRDefault="00662985" w:rsidP="00DE7C3E">
      <w:pPr>
        <w:pStyle w:val="BodyText"/>
        <w:numPr>
          <w:ilvl w:val="0"/>
          <w:numId w:val="24"/>
        </w:numPr>
        <w:spacing w:line="360" w:lineRule="auto"/>
        <w:ind w:left="1440"/>
        <w:jc w:val="both"/>
        <w:rPr>
          <w:sz w:val="24"/>
          <w:szCs w:val="24"/>
        </w:rPr>
      </w:pPr>
      <w:r w:rsidRPr="00FE02B7">
        <w:rPr>
          <w:sz w:val="24"/>
          <w:szCs w:val="24"/>
        </w:rPr>
        <w:t xml:space="preserve">F vs. MMB: We did not provide this figure because the model has not </w:t>
      </w:r>
      <w:r w:rsidR="001F4082">
        <w:rPr>
          <w:sz w:val="24"/>
          <w:szCs w:val="24"/>
        </w:rPr>
        <w:t xml:space="preserve">yet </w:t>
      </w:r>
      <w:r w:rsidRPr="00FE02B7">
        <w:rPr>
          <w:sz w:val="24"/>
          <w:szCs w:val="24"/>
        </w:rPr>
        <w:t>been approved.</w:t>
      </w:r>
      <w:r w:rsidR="00677F62" w:rsidRPr="00FE02B7">
        <w:rPr>
          <w:sz w:val="24"/>
          <w:szCs w:val="24"/>
        </w:rPr>
        <w:t xml:space="preserve"> </w:t>
      </w:r>
    </w:p>
    <w:p w:rsidR="00662985" w:rsidRPr="00FE02B7" w:rsidRDefault="00523688" w:rsidP="00DE7C3E">
      <w:pPr>
        <w:pStyle w:val="BodyText"/>
        <w:numPr>
          <w:ilvl w:val="0"/>
          <w:numId w:val="24"/>
        </w:numPr>
        <w:spacing w:line="360" w:lineRule="auto"/>
        <w:ind w:left="1440"/>
        <w:jc w:val="both"/>
        <w:rPr>
          <w:sz w:val="24"/>
          <w:szCs w:val="24"/>
        </w:rPr>
      </w:pPr>
      <w:r w:rsidRPr="00FE02B7">
        <w:rPr>
          <w:sz w:val="24"/>
          <w:szCs w:val="24"/>
        </w:rPr>
        <w:t>Stock-Recruitment relationship: None.</w:t>
      </w:r>
      <w:r w:rsidR="003A5F2A" w:rsidRPr="00FE02B7">
        <w:rPr>
          <w:sz w:val="24"/>
          <w:szCs w:val="24"/>
        </w:rPr>
        <w:t xml:space="preserve">  </w:t>
      </w:r>
    </w:p>
    <w:p w:rsidR="003A5F2A" w:rsidRDefault="00953994" w:rsidP="00DE7C3E">
      <w:pPr>
        <w:pStyle w:val="BodyText"/>
        <w:numPr>
          <w:ilvl w:val="0"/>
          <w:numId w:val="24"/>
        </w:numPr>
        <w:spacing w:line="360" w:lineRule="auto"/>
        <w:ind w:left="1440"/>
        <w:jc w:val="both"/>
        <w:rPr>
          <w:sz w:val="24"/>
          <w:szCs w:val="24"/>
        </w:rPr>
      </w:pPr>
      <w:r>
        <w:rPr>
          <w:sz w:val="24"/>
          <w:szCs w:val="24"/>
        </w:rPr>
        <w:t>T</w:t>
      </w:r>
      <w:r w:rsidR="003A5F2A">
        <w:rPr>
          <w:sz w:val="24"/>
          <w:szCs w:val="24"/>
        </w:rPr>
        <w:t>he temporal changes in total number of recruits to the</w:t>
      </w:r>
      <w:r w:rsidR="00A8459D">
        <w:rPr>
          <w:sz w:val="24"/>
          <w:szCs w:val="24"/>
        </w:rPr>
        <w:t xml:space="preserve"> modeled population </w:t>
      </w:r>
      <w:r w:rsidR="00D14994">
        <w:rPr>
          <w:sz w:val="24"/>
          <w:szCs w:val="24"/>
        </w:rPr>
        <w:t xml:space="preserve">for </w:t>
      </w:r>
      <w:r w:rsidR="009427CA">
        <w:rPr>
          <w:sz w:val="24"/>
          <w:szCs w:val="24"/>
        </w:rPr>
        <w:t>both</w:t>
      </w:r>
      <w:r w:rsidR="007B158D">
        <w:rPr>
          <w:sz w:val="24"/>
          <w:szCs w:val="24"/>
        </w:rPr>
        <w:t xml:space="preserve"> scenario</w:t>
      </w:r>
      <w:r w:rsidR="00A57B58">
        <w:rPr>
          <w:sz w:val="24"/>
          <w:szCs w:val="24"/>
        </w:rPr>
        <w:t>s</w:t>
      </w:r>
      <w:r w:rsidR="007B158D">
        <w:rPr>
          <w:sz w:val="24"/>
          <w:szCs w:val="24"/>
        </w:rPr>
        <w:t xml:space="preserve"> </w:t>
      </w:r>
      <w:r>
        <w:rPr>
          <w:sz w:val="24"/>
          <w:szCs w:val="24"/>
        </w:rPr>
        <w:t xml:space="preserve">are illustrated </w:t>
      </w:r>
      <w:r w:rsidR="00A8459D">
        <w:rPr>
          <w:sz w:val="24"/>
          <w:szCs w:val="24"/>
        </w:rPr>
        <w:t xml:space="preserve">in Figure </w:t>
      </w:r>
      <w:r w:rsidR="00A57B58">
        <w:rPr>
          <w:sz w:val="24"/>
          <w:szCs w:val="24"/>
        </w:rPr>
        <w:t>19</w:t>
      </w:r>
      <w:r w:rsidR="00A8459D">
        <w:rPr>
          <w:sz w:val="24"/>
          <w:szCs w:val="24"/>
        </w:rPr>
        <w:t xml:space="preserve"> for EAG and </w:t>
      </w:r>
      <w:r w:rsidR="003E369D">
        <w:rPr>
          <w:sz w:val="24"/>
          <w:szCs w:val="24"/>
        </w:rPr>
        <w:t xml:space="preserve">in </w:t>
      </w:r>
      <w:r w:rsidR="00A8459D">
        <w:rPr>
          <w:sz w:val="24"/>
          <w:szCs w:val="24"/>
        </w:rPr>
        <w:t xml:space="preserve">Figure </w:t>
      </w:r>
      <w:r w:rsidR="00A57B58">
        <w:rPr>
          <w:sz w:val="24"/>
          <w:szCs w:val="24"/>
        </w:rPr>
        <w:t>44</w:t>
      </w:r>
      <w:r w:rsidR="00D14994">
        <w:rPr>
          <w:sz w:val="24"/>
          <w:szCs w:val="24"/>
        </w:rPr>
        <w:t xml:space="preserve"> </w:t>
      </w:r>
      <w:r w:rsidR="00A8459D">
        <w:rPr>
          <w:sz w:val="24"/>
          <w:szCs w:val="24"/>
        </w:rPr>
        <w:t>for WAG</w:t>
      </w:r>
      <w:r w:rsidR="003A5F2A">
        <w:rPr>
          <w:sz w:val="24"/>
          <w:szCs w:val="24"/>
        </w:rPr>
        <w:t>.</w:t>
      </w:r>
      <w:r>
        <w:rPr>
          <w:sz w:val="24"/>
          <w:szCs w:val="24"/>
        </w:rPr>
        <w:t xml:space="preserve"> T</w:t>
      </w:r>
      <w:r w:rsidR="00A8459D">
        <w:rPr>
          <w:sz w:val="24"/>
          <w:szCs w:val="24"/>
        </w:rPr>
        <w:t>he recruitment distribution to the model size group (101</w:t>
      </w:r>
      <w:r w:rsidR="00DF2A74">
        <w:rPr>
          <w:sz w:val="24"/>
          <w:szCs w:val="24"/>
        </w:rPr>
        <w:t>–</w:t>
      </w:r>
      <w:r w:rsidR="00A57B58">
        <w:rPr>
          <w:sz w:val="24"/>
          <w:szCs w:val="24"/>
        </w:rPr>
        <w:t>170</w:t>
      </w:r>
      <w:r w:rsidR="009427CA">
        <w:rPr>
          <w:sz w:val="24"/>
          <w:szCs w:val="24"/>
        </w:rPr>
        <w:t>+</w:t>
      </w:r>
      <w:r w:rsidR="00A8459D">
        <w:rPr>
          <w:sz w:val="24"/>
          <w:szCs w:val="24"/>
        </w:rPr>
        <w:t xml:space="preserve"> mm CL) </w:t>
      </w:r>
      <w:r>
        <w:rPr>
          <w:sz w:val="24"/>
          <w:szCs w:val="24"/>
        </w:rPr>
        <w:t xml:space="preserve">are also shown </w:t>
      </w:r>
      <w:r w:rsidR="00064857">
        <w:rPr>
          <w:sz w:val="24"/>
          <w:szCs w:val="24"/>
        </w:rPr>
        <w:t>in</w:t>
      </w:r>
      <w:r w:rsidR="00FE02B7">
        <w:rPr>
          <w:sz w:val="24"/>
          <w:szCs w:val="24"/>
        </w:rPr>
        <w:t xml:space="preserve"> </w:t>
      </w:r>
      <w:r w:rsidR="00A8459D">
        <w:rPr>
          <w:sz w:val="24"/>
          <w:szCs w:val="24"/>
        </w:rPr>
        <w:t>Figure</w:t>
      </w:r>
      <w:r w:rsidR="00064857">
        <w:rPr>
          <w:sz w:val="24"/>
          <w:szCs w:val="24"/>
        </w:rPr>
        <w:t>s</w:t>
      </w:r>
      <w:r w:rsidR="00A8459D">
        <w:rPr>
          <w:sz w:val="24"/>
          <w:szCs w:val="24"/>
        </w:rPr>
        <w:t xml:space="preserve"> </w:t>
      </w:r>
      <w:r w:rsidR="00A57B58">
        <w:rPr>
          <w:sz w:val="24"/>
          <w:szCs w:val="24"/>
        </w:rPr>
        <w:t>20</w:t>
      </w:r>
      <w:r w:rsidR="00A8459D">
        <w:rPr>
          <w:sz w:val="24"/>
          <w:szCs w:val="24"/>
        </w:rPr>
        <w:t xml:space="preserve"> </w:t>
      </w:r>
      <w:r w:rsidR="00064857">
        <w:rPr>
          <w:sz w:val="24"/>
          <w:szCs w:val="24"/>
        </w:rPr>
        <w:t xml:space="preserve">and </w:t>
      </w:r>
      <w:r w:rsidR="00A57B58">
        <w:rPr>
          <w:sz w:val="24"/>
          <w:szCs w:val="24"/>
        </w:rPr>
        <w:t>45</w:t>
      </w:r>
      <w:r w:rsidR="00064857">
        <w:rPr>
          <w:sz w:val="24"/>
          <w:szCs w:val="24"/>
        </w:rPr>
        <w:t xml:space="preserve"> </w:t>
      </w:r>
      <w:r w:rsidR="001F180A">
        <w:rPr>
          <w:sz w:val="24"/>
          <w:szCs w:val="24"/>
        </w:rPr>
        <w:t xml:space="preserve">for EAG and </w:t>
      </w:r>
      <w:r w:rsidR="00064857">
        <w:rPr>
          <w:sz w:val="24"/>
          <w:szCs w:val="24"/>
        </w:rPr>
        <w:t>WAG, respectively</w:t>
      </w:r>
      <w:r w:rsidR="00A57B58">
        <w:rPr>
          <w:sz w:val="24"/>
          <w:szCs w:val="24"/>
        </w:rPr>
        <w:t xml:space="preserve"> for </w:t>
      </w:r>
      <w:r w:rsidR="00F745A3">
        <w:rPr>
          <w:sz w:val="24"/>
          <w:szCs w:val="24"/>
        </w:rPr>
        <w:t>the two</w:t>
      </w:r>
      <w:r w:rsidR="00A57B58">
        <w:rPr>
          <w:sz w:val="24"/>
          <w:szCs w:val="24"/>
        </w:rPr>
        <w:t xml:space="preserve"> scenarios</w:t>
      </w:r>
      <w:r w:rsidR="00064857">
        <w:rPr>
          <w:sz w:val="24"/>
          <w:szCs w:val="24"/>
        </w:rPr>
        <w:t>.</w:t>
      </w:r>
    </w:p>
    <w:p w:rsidR="00523688" w:rsidRDefault="00523688" w:rsidP="007C3C7A">
      <w:pPr>
        <w:pStyle w:val="BodyText"/>
        <w:numPr>
          <w:ilvl w:val="0"/>
          <w:numId w:val="11"/>
        </w:numPr>
        <w:spacing w:line="360" w:lineRule="auto"/>
        <w:jc w:val="both"/>
        <w:rPr>
          <w:sz w:val="24"/>
          <w:szCs w:val="24"/>
        </w:rPr>
      </w:pPr>
      <w:r>
        <w:rPr>
          <w:sz w:val="24"/>
          <w:szCs w:val="24"/>
        </w:rPr>
        <w:t>Evaluation of the fit to the data:</w:t>
      </w:r>
    </w:p>
    <w:p w:rsidR="00557BC0" w:rsidRDefault="00E53CB6" w:rsidP="00DE7C3E">
      <w:pPr>
        <w:pStyle w:val="BodyText"/>
        <w:numPr>
          <w:ilvl w:val="0"/>
          <w:numId w:val="24"/>
        </w:numPr>
        <w:tabs>
          <w:tab w:val="left" w:pos="0"/>
        </w:tabs>
        <w:spacing w:line="360" w:lineRule="auto"/>
        <w:ind w:left="1440"/>
        <w:jc w:val="both"/>
        <w:rPr>
          <w:sz w:val="24"/>
          <w:szCs w:val="24"/>
        </w:rPr>
      </w:pPr>
      <w:r>
        <w:rPr>
          <w:sz w:val="24"/>
          <w:szCs w:val="24"/>
        </w:rPr>
        <w:lastRenderedPageBreak/>
        <w:t xml:space="preserve">Fits to catches: </w:t>
      </w:r>
      <w:r w:rsidR="00953994">
        <w:rPr>
          <w:sz w:val="24"/>
          <w:szCs w:val="24"/>
        </w:rPr>
        <w:t>T</w:t>
      </w:r>
      <w:r w:rsidR="00557BC0">
        <w:rPr>
          <w:sz w:val="24"/>
          <w:szCs w:val="24"/>
        </w:rPr>
        <w:t xml:space="preserve">he fishery retained, total, and groundfish bycatch (observed vs. estimated) plots for  scenarios </w:t>
      </w:r>
      <w:r w:rsidR="00953994">
        <w:rPr>
          <w:sz w:val="24"/>
          <w:szCs w:val="24"/>
        </w:rPr>
        <w:t xml:space="preserve">are illustrated </w:t>
      </w:r>
      <w:r w:rsidR="00557BC0">
        <w:rPr>
          <w:sz w:val="24"/>
          <w:szCs w:val="24"/>
        </w:rPr>
        <w:t xml:space="preserve">in Figures 24 to 26 for EAG and 49 to 51 for WAG.  All predicted fits were closer to observed values. </w:t>
      </w:r>
    </w:p>
    <w:p w:rsidR="00FE02B7" w:rsidRDefault="00E53CB6" w:rsidP="00DE7C3E">
      <w:pPr>
        <w:pStyle w:val="BodyText"/>
        <w:numPr>
          <w:ilvl w:val="0"/>
          <w:numId w:val="24"/>
        </w:numPr>
        <w:tabs>
          <w:tab w:val="left" w:pos="0"/>
        </w:tabs>
        <w:spacing w:line="360" w:lineRule="auto"/>
        <w:ind w:left="1440"/>
        <w:jc w:val="both"/>
        <w:rPr>
          <w:sz w:val="24"/>
          <w:szCs w:val="24"/>
        </w:rPr>
      </w:pPr>
      <w:r w:rsidRPr="00F74B96">
        <w:rPr>
          <w:sz w:val="24"/>
          <w:szCs w:val="24"/>
        </w:rPr>
        <w:t>Survey data plot:</w:t>
      </w:r>
      <w:r w:rsidR="005D1F4A" w:rsidRPr="00F74B96">
        <w:rPr>
          <w:sz w:val="24"/>
          <w:szCs w:val="24"/>
        </w:rPr>
        <w:t xml:space="preserve"> </w:t>
      </w:r>
      <w:r w:rsidR="003E369D" w:rsidRPr="00F74B96">
        <w:rPr>
          <w:sz w:val="24"/>
          <w:szCs w:val="24"/>
        </w:rPr>
        <w:t xml:space="preserve">We </w:t>
      </w:r>
      <w:r w:rsidR="00557BC0">
        <w:rPr>
          <w:sz w:val="24"/>
          <w:szCs w:val="24"/>
        </w:rPr>
        <w:t>did not consider the pot survey data for the analysis.</w:t>
      </w:r>
      <w:r w:rsidR="003E369D" w:rsidRPr="00F74B96">
        <w:rPr>
          <w:sz w:val="24"/>
          <w:szCs w:val="24"/>
        </w:rPr>
        <w:t xml:space="preserve"> </w:t>
      </w:r>
    </w:p>
    <w:p w:rsidR="00971A11" w:rsidRDefault="00953994" w:rsidP="00DE7C3E">
      <w:pPr>
        <w:pStyle w:val="BodyText"/>
        <w:numPr>
          <w:ilvl w:val="0"/>
          <w:numId w:val="24"/>
        </w:numPr>
        <w:tabs>
          <w:tab w:val="left" w:pos="0"/>
        </w:tabs>
        <w:spacing w:line="360" w:lineRule="auto"/>
        <w:ind w:left="1440"/>
        <w:jc w:val="both"/>
        <w:rPr>
          <w:sz w:val="24"/>
          <w:szCs w:val="24"/>
        </w:rPr>
      </w:pPr>
      <w:r>
        <w:rPr>
          <w:sz w:val="24"/>
          <w:szCs w:val="24"/>
        </w:rPr>
        <w:t>CPUE index data: T</w:t>
      </w:r>
      <w:r w:rsidR="00971A11">
        <w:rPr>
          <w:sz w:val="24"/>
          <w:szCs w:val="24"/>
        </w:rPr>
        <w:t xml:space="preserve">he predicted vs input CPUE indices for </w:t>
      </w:r>
      <w:r w:rsidR="00F745A3">
        <w:rPr>
          <w:sz w:val="24"/>
          <w:szCs w:val="24"/>
        </w:rPr>
        <w:t xml:space="preserve">the two </w:t>
      </w:r>
      <w:r w:rsidR="00971A11">
        <w:rPr>
          <w:sz w:val="24"/>
          <w:szCs w:val="24"/>
        </w:rPr>
        <w:t xml:space="preserve"> scenarios </w:t>
      </w:r>
      <w:r>
        <w:rPr>
          <w:sz w:val="24"/>
          <w:szCs w:val="24"/>
        </w:rPr>
        <w:t xml:space="preserve">are shown </w:t>
      </w:r>
      <w:r w:rsidR="00971A11">
        <w:rPr>
          <w:sz w:val="24"/>
          <w:szCs w:val="24"/>
        </w:rPr>
        <w:t xml:space="preserve">in Figure </w:t>
      </w:r>
      <w:r w:rsidR="00F745A3">
        <w:rPr>
          <w:sz w:val="24"/>
          <w:szCs w:val="24"/>
        </w:rPr>
        <w:t xml:space="preserve">18 </w:t>
      </w:r>
      <w:r w:rsidR="00971A11">
        <w:rPr>
          <w:sz w:val="24"/>
          <w:szCs w:val="24"/>
        </w:rPr>
        <w:t xml:space="preserve">for EAG and Figure </w:t>
      </w:r>
      <w:r w:rsidR="00F745A3">
        <w:rPr>
          <w:sz w:val="24"/>
          <w:szCs w:val="24"/>
        </w:rPr>
        <w:t xml:space="preserve">43 </w:t>
      </w:r>
      <w:r w:rsidR="00971A11">
        <w:rPr>
          <w:sz w:val="24"/>
          <w:szCs w:val="24"/>
        </w:rPr>
        <w:t xml:space="preserve">for WAG. </w:t>
      </w:r>
      <w:r w:rsidR="00F745A3">
        <w:rPr>
          <w:sz w:val="24"/>
          <w:szCs w:val="24"/>
        </w:rPr>
        <w:t xml:space="preserve">The two scenarios appear to fit the CPUE indices equally well.  </w:t>
      </w:r>
    </w:p>
    <w:p w:rsidR="00DA577D" w:rsidRDefault="00953994" w:rsidP="00DE7C3E">
      <w:pPr>
        <w:pStyle w:val="BodyText"/>
        <w:numPr>
          <w:ilvl w:val="0"/>
          <w:numId w:val="24"/>
        </w:numPr>
        <w:tabs>
          <w:tab w:val="left" w:pos="0"/>
        </w:tabs>
        <w:spacing w:line="360" w:lineRule="auto"/>
        <w:ind w:left="1440"/>
        <w:jc w:val="both"/>
        <w:rPr>
          <w:sz w:val="24"/>
          <w:szCs w:val="24"/>
        </w:rPr>
      </w:pPr>
      <w:r>
        <w:rPr>
          <w:sz w:val="24"/>
          <w:szCs w:val="24"/>
        </w:rPr>
        <w:t>Tagging data: T</w:t>
      </w:r>
      <w:r w:rsidR="008A3058">
        <w:rPr>
          <w:sz w:val="24"/>
          <w:szCs w:val="24"/>
        </w:rPr>
        <w:t xml:space="preserve">he predicted vs observed tag recaptures in length-class for </w:t>
      </w:r>
      <w:r w:rsidR="00F745A3">
        <w:rPr>
          <w:sz w:val="24"/>
          <w:szCs w:val="24"/>
        </w:rPr>
        <w:t>the two</w:t>
      </w:r>
      <w:r w:rsidR="008A3058">
        <w:rPr>
          <w:sz w:val="24"/>
          <w:szCs w:val="24"/>
        </w:rPr>
        <w:t xml:space="preserve"> scenarios </w:t>
      </w:r>
      <w:r>
        <w:rPr>
          <w:sz w:val="24"/>
          <w:szCs w:val="24"/>
        </w:rPr>
        <w:t xml:space="preserve">are depicted </w:t>
      </w:r>
      <w:r w:rsidR="008A3058">
        <w:rPr>
          <w:sz w:val="24"/>
          <w:szCs w:val="24"/>
        </w:rPr>
        <w:t xml:space="preserve">in Figure </w:t>
      </w:r>
      <w:r w:rsidR="00F745A3">
        <w:rPr>
          <w:sz w:val="24"/>
          <w:szCs w:val="24"/>
        </w:rPr>
        <w:t xml:space="preserve">17 </w:t>
      </w:r>
      <w:r w:rsidR="008A3058">
        <w:rPr>
          <w:sz w:val="24"/>
          <w:szCs w:val="24"/>
        </w:rPr>
        <w:t xml:space="preserve">for EAG and Figure </w:t>
      </w:r>
      <w:r w:rsidR="00F745A3">
        <w:rPr>
          <w:sz w:val="24"/>
          <w:szCs w:val="24"/>
        </w:rPr>
        <w:t xml:space="preserve">42 </w:t>
      </w:r>
      <w:r w:rsidR="008A3058">
        <w:rPr>
          <w:sz w:val="24"/>
          <w:szCs w:val="24"/>
        </w:rPr>
        <w:t xml:space="preserve">for WAG. </w:t>
      </w:r>
      <w:r w:rsidR="00F745A3">
        <w:rPr>
          <w:sz w:val="24"/>
          <w:szCs w:val="24"/>
        </w:rPr>
        <w:t>Scenario 2 appear</w:t>
      </w:r>
      <w:r w:rsidR="00DA577D">
        <w:rPr>
          <w:sz w:val="24"/>
          <w:szCs w:val="24"/>
        </w:rPr>
        <w:t>s</w:t>
      </w:r>
      <w:r w:rsidR="00F745A3">
        <w:rPr>
          <w:sz w:val="24"/>
          <w:szCs w:val="24"/>
        </w:rPr>
        <w:t xml:space="preserve"> to fit tag-recaptures little better than that of scenario 1, </w:t>
      </w:r>
      <w:r w:rsidR="00DA577D">
        <w:rPr>
          <w:sz w:val="24"/>
          <w:szCs w:val="24"/>
        </w:rPr>
        <w:t xml:space="preserve">however, </w:t>
      </w:r>
      <w:r w:rsidR="00F745A3">
        <w:rPr>
          <w:sz w:val="24"/>
          <w:szCs w:val="24"/>
        </w:rPr>
        <w:t xml:space="preserve">the differences were </w:t>
      </w:r>
      <w:r w:rsidR="00DA577D">
        <w:rPr>
          <w:sz w:val="24"/>
          <w:szCs w:val="24"/>
        </w:rPr>
        <w:t xml:space="preserve">minor. </w:t>
      </w:r>
      <w:r w:rsidR="00F745A3">
        <w:rPr>
          <w:sz w:val="24"/>
          <w:szCs w:val="24"/>
        </w:rPr>
        <w:t xml:space="preserve"> Note that we used the EAG tagging information for WAG.</w:t>
      </w:r>
      <w:r w:rsidR="00DA577D" w:rsidDel="00DA577D">
        <w:rPr>
          <w:sz w:val="24"/>
          <w:szCs w:val="24"/>
        </w:rPr>
        <w:t xml:space="preserve"> </w:t>
      </w:r>
    </w:p>
    <w:p w:rsidR="00157965" w:rsidRPr="0011444B" w:rsidRDefault="00E53CB6" w:rsidP="00DE7C3E">
      <w:pPr>
        <w:pStyle w:val="BodyText"/>
        <w:numPr>
          <w:ilvl w:val="0"/>
          <w:numId w:val="24"/>
        </w:numPr>
        <w:tabs>
          <w:tab w:val="left" w:pos="0"/>
        </w:tabs>
        <w:spacing w:line="360" w:lineRule="auto"/>
        <w:ind w:left="1440"/>
        <w:jc w:val="both"/>
        <w:rPr>
          <w:sz w:val="24"/>
          <w:szCs w:val="24"/>
        </w:rPr>
      </w:pPr>
      <w:r w:rsidRPr="0011444B">
        <w:rPr>
          <w:sz w:val="24"/>
          <w:szCs w:val="24"/>
        </w:rPr>
        <w:t xml:space="preserve">Fit to </w:t>
      </w:r>
      <w:r w:rsidR="00167A5B" w:rsidRPr="0011444B">
        <w:rPr>
          <w:sz w:val="24"/>
          <w:szCs w:val="24"/>
        </w:rPr>
        <w:t xml:space="preserve">catch </w:t>
      </w:r>
      <w:r w:rsidRPr="0011444B">
        <w:rPr>
          <w:sz w:val="24"/>
          <w:szCs w:val="24"/>
        </w:rPr>
        <w:t xml:space="preserve">size compositions: </w:t>
      </w:r>
      <w:r w:rsidR="00953994">
        <w:rPr>
          <w:sz w:val="24"/>
          <w:szCs w:val="24"/>
        </w:rPr>
        <w:t>R</w:t>
      </w:r>
      <w:r w:rsidR="00926BAB" w:rsidRPr="0011444B">
        <w:rPr>
          <w:sz w:val="24"/>
          <w:szCs w:val="24"/>
        </w:rPr>
        <w:t xml:space="preserve">etained, </w:t>
      </w:r>
      <w:r w:rsidR="00557BC0">
        <w:rPr>
          <w:sz w:val="24"/>
          <w:szCs w:val="24"/>
        </w:rPr>
        <w:t>total</w:t>
      </w:r>
      <w:r w:rsidR="00926BAB" w:rsidRPr="0011444B">
        <w:rPr>
          <w:sz w:val="24"/>
          <w:szCs w:val="24"/>
        </w:rPr>
        <w:t xml:space="preserve">, and groundfish discard length compositions </w:t>
      </w:r>
      <w:r w:rsidR="00953994">
        <w:rPr>
          <w:sz w:val="24"/>
          <w:szCs w:val="24"/>
        </w:rPr>
        <w:t xml:space="preserve">are shown </w:t>
      </w:r>
      <w:r w:rsidR="00926BAB" w:rsidRPr="0011444B">
        <w:rPr>
          <w:sz w:val="24"/>
          <w:szCs w:val="24"/>
        </w:rPr>
        <w:t xml:space="preserve">in Figures </w:t>
      </w:r>
      <w:r w:rsidR="00557BC0">
        <w:rPr>
          <w:sz w:val="24"/>
          <w:szCs w:val="24"/>
        </w:rPr>
        <w:t>8</w:t>
      </w:r>
      <w:r w:rsidR="00DA577D">
        <w:rPr>
          <w:sz w:val="24"/>
          <w:szCs w:val="24"/>
        </w:rPr>
        <w:t xml:space="preserve">a,b </w:t>
      </w:r>
      <w:r w:rsidR="00DF2A74">
        <w:rPr>
          <w:sz w:val="24"/>
          <w:szCs w:val="24"/>
        </w:rPr>
        <w:t>–</w:t>
      </w:r>
      <w:r w:rsidR="00557BC0">
        <w:rPr>
          <w:sz w:val="24"/>
          <w:szCs w:val="24"/>
        </w:rPr>
        <w:t>10</w:t>
      </w:r>
      <w:r w:rsidR="00DA577D">
        <w:rPr>
          <w:sz w:val="24"/>
          <w:szCs w:val="24"/>
        </w:rPr>
        <w:t xml:space="preserve"> a, b</w:t>
      </w:r>
      <w:r w:rsidR="00926BAB" w:rsidRPr="0011444B">
        <w:rPr>
          <w:sz w:val="24"/>
          <w:szCs w:val="24"/>
        </w:rPr>
        <w:t xml:space="preserve"> for EAG </w:t>
      </w:r>
      <w:r w:rsidR="00557BC0">
        <w:rPr>
          <w:sz w:val="24"/>
          <w:szCs w:val="24"/>
        </w:rPr>
        <w:t>for scenario</w:t>
      </w:r>
      <w:r w:rsidR="00DA577D">
        <w:rPr>
          <w:sz w:val="24"/>
          <w:szCs w:val="24"/>
        </w:rPr>
        <w:t>s</w:t>
      </w:r>
      <w:r w:rsidR="00557BC0">
        <w:rPr>
          <w:sz w:val="24"/>
          <w:szCs w:val="24"/>
        </w:rPr>
        <w:t xml:space="preserve"> 1</w:t>
      </w:r>
      <w:r w:rsidR="00DA577D">
        <w:rPr>
          <w:sz w:val="24"/>
          <w:szCs w:val="24"/>
        </w:rPr>
        <w:t xml:space="preserve"> and 2, respectively</w:t>
      </w:r>
      <w:r w:rsidR="00557BC0">
        <w:rPr>
          <w:sz w:val="24"/>
          <w:szCs w:val="24"/>
        </w:rPr>
        <w:t xml:space="preserve"> </w:t>
      </w:r>
      <w:r w:rsidR="00926BAB" w:rsidRPr="0011444B">
        <w:rPr>
          <w:sz w:val="24"/>
          <w:szCs w:val="24"/>
        </w:rPr>
        <w:t xml:space="preserve">and in Figures </w:t>
      </w:r>
      <w:r w:rsidR="00DA577D">
        <w:rPr>
          <w:sz w:val="24"/>
          <w:szCs w:val="24"/>
        </w:rPr>
        <w:t>30</w:t>
      </w:r>
      <w:r w:rsidR="00DF2A74">
        <w:rPr>
          <w:sz w:val="24"/>
          <w:szCs w:val="24"/>
        </w:rPr>
        <w:t>–</w:t>
      </w:r>
      <w:r w:rsidR="00557BC0">
        <w:rPr>
          <w:sz w:val="24"/>
          <w:szCs w:val="24"/>
        </w:rPr>
        <w:t>35</w:t>
      </w:r>
      <w:r w:rsidR="00926BAB" w:rsidRPr="0011444B">
        <w:rPr>
          <w:sz w:val="24"/>
          <w:szCs w:val="24"/>
        </w:rPr>
        <w:t xml:space="preserve"> for WAG</w:t>
      </w:r>
      <w:r w:rsidR="00557BC0">
        <w:rPr>
          <w:sz w:val="24"/>
          <w:szCs w:val="24"/>
        </w:rPr>
        <w:t xml:space="preserve"> for scenarios 1 and 2, respectively</w:t>
      </w:r>
      <w:r w:rsidR="00926BAB" w:rsidRPr="0011444B">
        <w:rPr>
          <w:sz w:val="24"/>
          <w:szCs w:val="24"/>
        </w:rPr>
        <w:t xml:space="preserve">. The retained and </w:t>
      </w:r>
      <w:r w:rsidR="00557BC0">
        <w:rPr>
          <w:sz w:val="24"/>
          <w:szCs w:val="24"/>
        </w:rPr>
        <w:t>total catch</w:t>
      </w:r>
      <w:r w:rsidR="00926BAB" w:rsidRPr="0011444B">
        <w:rPr>
          <w:sz w:val="24"/>
          <w:szCs w:val="24"/>
        </w:rPr>
        <w:t xml:space="preserve"> size composition fits appear satisfactory. </w:t>
      </w:r>
      <w:r w:rsidR="00157965" w:rsidRPr="0011444B">
        <w:rPr>
          <w:sz w:val="24"/>
          <w:szCs w:val="24"/>
        </w:rPr>
        <w:t xml:space="preserve">We </w:t>
      </w:r>
      <w:r w:rsidR="00235D73" w:rsidRPr="0011444B">
        <w:rPr>
          <w:sz w:val="24"/>
          <w:szCs w:val="24"/>
        </w:rPr>
        <w:t xml:space="preserve">illustrate the standardized residual plots as </w:t>
      </w:r>
      <w:r w:rsidR="00157965" w:rsidRPr="0011444B">
        <w:rPr>
          <w:sz w:val="24"/>
          <w:szCs w:val="24"/>
        </w:rPr>
        <w:t xml:space="preserve">bubble plots </w:t>
      </w:r>
      <w:r w:rsidR="00235D73" w:rsidRPr="0011444B">
        <w:rPr>
          <w:sz w:val="24"/>
          <w:szCs w:val="24"/>
        </w:rPr>
        <w:t xml:space="preserve">of size composition over time </w:t>
      </w:r>
      <w:r w:rsidR="00157965" w:rsidRPr="0011444B">
        <w:rPr>
          <w:sz w:val="24"/>
          <w:szCs w:val="24"/>
        </w:rPr>
        <w:t>for retained</w:t>
      </w:r>
      <w:r w:rsidR="00235D73" w:rsidRPr="0011444B">
        <w:rPr>
          <w:sz w:val="24"/>
          <w:szCs w:val="24"/>
        </w:rPr>
        <w:t xml:space="preserve"> (Figures </w:t>
      </w:r>
      <w:r w:rsidR="00DD5329">
        <w:rPr>
          <w:sz w:val="24"/>
          <w:szCs w:val="24"/>
        </w:rPr>
        <w:t>1</w:t>
      </w:r>
      <w:r w:rsidR="006A564A">
        <w:rPr>
          <w:sz w:val="24"/>
          <w:szCs w:val="24"/>
        </w:rPr>
        <w:t>5 and 40</w:t>
      </w:r>
      <w:r w:rsidR="00235D73" w:rsidRPr="0011444B">
        <w:rPr>
          <w:sz w:val="24"/>
          <w:szCs w:val="24"/>
        </w:rPr>
        <w:t xml:space="preserve"> for EAG and WAG, respectively)</w:t>
      </w:r>
      <w:r w:rsidR="00157965" w:rsidRPr="0011444B">
        <w:rPr>
          <w:sz w:val="24"/>
          <w:szCs w:val="24"/>
        </w:rPr>
        <w:t xml:space="preserve"> </w:t>
      </w:r>
      <w:r w:rsidR="006A564A">
        <w:rPr>
          <w:sz w:val="24"/>
          <w:szCs w:val="24"/>
        </w:rPr>
        <w:t xml:space="preserve">and </w:t>
      </w:r>
      <w:r w:rsidR="00235D73" w:rsidRPr="0011444B">
        <w:rPr>
          <w:sz w:val="24"/>
          <w:szCs w:val="24"/>
        </w:rPr>
        <w:t xml:space="preserve">for </w:t>
      </w:r>
      <w:r w:rsidR="006A564A">
        <w:rPr>
          <w:sz w:val="24"/>
          <w:szCs w:val="24"/>
        </w:rPr>
        <w:t>total catch</w:t>
      </w:r>
      <w:r w:rsidR="00EF57D8" w:rsidRPr="0011444B">
        <w:rPr>
          <w:sz w:val="24"/>
          <w:szCs w:val="24"/>
        </w:rPr>
        <w:t xml:space="preserve"> </w:t>
      </w:r>
      <w:r w:rsidR="00235D73" w:rsidRPr="0011444B">
        <w:rPr>
          <w:sz w:val="24"/>
          <w:szCs w:val="24"/>
        </w:rPr>
        <w:t xml:space="preserve">(Figures </w:t>
      </w:r>
      <w:r w:rsidR="00DD5329">
        <w:rPr>
          <w:sz w:val="24"/>
          <w:szCs w:val="24"/>
        </w:rPr>
        <w:t>1</w:t>
      </w:r>
      <w:r w:rsidR="006A564A">
        <w:rPr>
          <w:sz w:val="24"/>
          <w:szCs w:val="24"/>
        </w:rPr>
        <w:t>6</w:t>
      </w:r>
      <w:r w:rsidR="00235D73" w:rsidRPr="0011444B">
        <w:rPr>
          <w:sz w:val="24"/>
          <w:szCs w:val="24"/>
        </w:rPr>
        <w:t xml:space="preserve"> and </w:t>
      </w:r>
      <w:r w:rsidR="006A564A">
        <w:rPr>
          <w:sz w:val="24"/>
          <w:szCs w:val="24"/>
        </w:rPr>
        <w:t>41</w:t>
      </w:r>
      <w:r w:rsidR="00235D73" w:rsidRPr="0011444B">
        <w:rPr>
          <w:sz w:val="24"/>
          <w:szCs w:val="24"/>
        </w:rPr>
        <w:t xml:space="preserve"> for EAG and WAG, respectively)</w:t>
      </w:r>
      <w:r w:rsidR="006A564A">
        <w:rPr>
          <w:sz w:val="24"/>
          <w:szCs w:val="24"/>
        </w:rPr>
        <w:t xml:space="preserve">. </w:t>
      </w:r>
    </w:p>
    <w:p w:rsidR="0093191D" w:rsidRDefault="0093191D" w:rsidP="00DE7C3E">
      <w:pPr>
        <w:pStyle w:val="BodyText"/>
        <w:numPr>
          <w:ilvl w:val="0"/>
          <w:numId w:val="24"/>
        </w:numPr>
        <w:tabs>
          <w:tab w:val="left" w:pos="0"/>
        </w:tabs>
        <w:spacing w:line="360" w:lineRule="auto"/>
        <w:ind w:left="1440"/>
        <w:jc w:val="both"/>
        <w:rPr>
          <w:sz w:val="24"/>
          <w:szCs w:val="24"/>
        </w:rPr>
      </w:pPr>
      <w:r>
        <w:rPr>
          <w:sz w:val="24"/>
          <w:szCs w:val="24"/>
        </w:rPr>
        <w:t>Marginal distributions for the fits to the composition data: We did not provide this plot in this report.</w:t>
      </w:r>
    </w:p>
    <w:p w:rsidR="00B13C7F" w:rsidRPr="00970649" w:rsidRDefault="0093191D" w:rsidP="00D45D5A">
      <w:pPr>
        <w:pStyle w:val="BodyText"/>
        <w:tabs>
          <w:tab w:val="left" w:pos="0"/>
        </w:tabs>
        <w:spacing w:line="360" w:lineRule="auto"/>
        <w:ind w:left="1440"/>
        <w:jc w:val="both"/>
        <w:rPr>
          <w:sz w:val="24"/>
          <w:szCs w:val="24"/>
        </w:rPr>
      </w:pPr>
      <w:r w:rsidRPr="00B13C7F">
        <w:rPr>
          <w:sz w:val="24"/>
          <w:szCs w:val="24"/>
        </w:rPr>
        <w:t xml:space="preserve">Plots of implied versus input effective sample sizes and time series of implied effective sample sizes: </w:t>
      </w:r>
      <w:r w:rsidR="00B13C7F">
        <w:rPr>
          <w:sz w:val="24"/>
          <w:szCs w:val="24"/>
        </w:rPr>
        <w:t>The input effective sample sizes vs. predicted effective sample sizes are plotted in Figures 11 and 36 for retained catch, 12 and 37 for total catch, and 13 and 38 for groundfish discard catch for EAG and WAG, respectively. The red line passing through the plot is the 45</w:t>
      </w:r>
      <w:r w:rsidR="00B13C7F" w:rsidRPr="00B13C7F">
        <w:rPr>
          <w:sz w:val="24"/>
          <w:szCs w:val="24"/>
          <w:vertAlign w:val="superscript"/>
        </w:rPr>
        <w:t>0</w:t>
      </w:r>
      <w:r w:rsidR="00B13C7F">
        <w:rPr>
          <w:sz w:val="24"/>
          <w:szCs w:val="24"/>
        </w:rPr>
        <w:t xml:space="preserve"> degree line and in </w:t>
      </w:r>
      <w:r w:rsidR="00DA577D">
        <w:rPr>
          <w:sz w:val="24"/>
          <w:szCs w:val="24"/>
        </w:rPr>
        <w:t xml:space="preserve">a number of  </w:t>
      </w:r>
      <w:r w:rsidR="00B13C7F">
        <w:rPr>
          <w:sz w:val="24"/>
          <w:szCs w:val="24"/>
        </w:rPr>
        <w:t xml:space="preserve">cases the points are spread on both sides of the line indicating that the input effective sample sizes are not too bad for the four scenarios. </w:t>
      </w:r>
    </w:p>
    <w:p w:rsidR="0093191D" w:rsidRPr="00B13C7F" w:rsidRDefault="0093191D" w:rsidP="00DE7C3E">
      <w:pPr>
        <w:pStyle w:val="BodyText"/>
        <w:numPr>
          <w:ilvl w:val="0"/>
          <w:numId w:val="24"/>
        </w:numPr>
        <w:tabs>
          <w:tab w:val="left" w:pos="0"/>
        </w:tabs>
        <w:spacing w:line="360" w:lineRule="auto"/>
        <w:ind w:left="1440"/>
        <w:jc w:val="both"/>
        <w:rPr>
          <w:sz w:val="24"/>
          <w:szCs w:val="24"/>
        </w:rPr>
      </w:pPr>
      <w:r w:rsidRPr="00B13C7F">
        <w:rPr>
          <w:sz w:val="24"/>
          <w:szCs w:val="24"/>
        </w:rPr>
        <w:t>Tables of RMSEs for the indices: We did not provide this table in this report.</w:t>
      </w:r>
    </w:p>
    <w:p w:rsidR="00971A11" w:rsidRDefault="0093191D" w:rsidP="00DE7C3E">
      <w:pPr>
        <w:pStyle w:val="BodyText"/>
        <w:numPr>
          <w:ilvl w:val="0"/>
          <w:numId w:val="24"/>
        </w:numPr>
        <w:tabs>
          <w:tab w:val="left" w:pos="0"/>
        </w:tabs>
        <w:spacing w:line="360" w:lineRule="auto"/>
        <w:ind w:left="1440"/>
        <w:jc w:val="both"/>
        <w:rPr>
          <w:sz w:val="24"/>
          <w:szCs w:val="24"/>
        </w:rPr>
      </w:pPr>
      <w:r w:rsidRPr="00B13C7F">
        <w:rPr>
          <w:sz w:val="24"/>
          <w:szCs w:val="24"/>
        </w:rPr>
        <w:t>Quantile-quantile plot: We did not provide this plot in this report.</w:t>
      </w:r>
      <w:r w:rsidR="00DD5329" w:rsidRPr="00B13C7F">
        <w:rPr>
          <w:sz w:val="24"/>
          <w:szCs w:val="24"/>
        </w:rPr>
        <w:t xml:space="preserve"> </w:t>
      </w:r>
    </w:p>
    <w:p w:rsidR="0093191D" w:rsidRPr="00B13C7F" w:rsidRDefault="00156CB4" w:rsidP="00DE7C3E">
      <w:pPr>
        <w:pStyle w:val="BodyText"/>
        <w:numPr>
          <w:ilvl w:val="0"/>
          <w:numId w:val="24"/>
        </w:numPr>
        <w:tabs>
          <w:tab w:val="left" w:pos="0"/>
        </w:tabs>
        <w:spacing w:line="360" w:lineRule="auto"/>
        <w:ind w:left="1440"/>
        <w:jc w:val="both"/>
        <w:rPr>
          <w:sz w:val="24"/>
          <w:szCs w:val="24"/>
        </w:rPr>
      </w:pPr>
      <w:r w:rsidRPr="00B13C7F">
        <w:rPr>
          <w:sz w:val="24"/>
          <w:szCs w:val="24"/>
        </w:rPr>
        <w:lastRenderedPageBreak/>
        <w:t>Retrospective</w:t>
      </w:r>
      <w:r w:rsidR="0093191D" w:rsidRPr="00B13C7F">
        <w:rPr>
          <w:sz w:val="24"/>
          <w:szCs w:val="24"/>
        </w:rPr>
        <w:t xml:space="preserve"> and historical analysis: </w:t>
      </w:r>
      <w:r w:rsidR="00953994">
        <w:rPr>
          <w:sz w:val="24"/>
          <w:szCs w:val="24"/>
        </w:rPr>
        <w:t>T</w:t>
      </w:r>
      <w:r w:rsidR="00FE02B7" w:rsidRPr="00B13C7F">
        <w:rPr>
          <w:sz w:val="24"/>
          <w:szCs w:val="24"/>
        </w:rPr>
        <w:t xml:space="preserve">he retrospective </w:t>
      </w:r>
      <w:r w:rsidR="007B5DE8" w:rsidRPr="00B13C7F">
        <w:rPr>
          <w:sz w:val="24"/>
          <w:szCs w:val="24"/>
        </w:rPr>
        <w:t>fits</w:t>
      </w:r>
      <w:r w:rsidR="00DD5329" w:rsidRPr="00B13C7F">
        <w:rPr>
          <w:sz w:val="24"/>
          <w:szCs w:val="24"/>
        </w:rPr>
        <w:t xml:space="preserve"> </w:t>
      </w:r>
      <w:r w:rsidR="00971A11">
        <w:rPr>
          <w:sz w:val="24"/>
          <w:szCs w:val="24"/>
        </w:rPr>
        <w:t>for scenarios 1 an</w:t>
      </w:r>
      <w:r w:rsidR="00953994">
        <w:rPr>
          <w:sz w:val="24"/>
          <w:szCs w:val="24"/>
        </w:rPr>
        <w:t>d</w:t>
      </w:r>
      <w:r w:rsidR="00971A11">
        <w:rPr>
          <w:sz w:val="24"/>
          <w:szCs w:val="24"/>
        </w:rPr>
        <w:t xml:space="preserve"> 2 </w:t>
      </w:r>
      <w:r w:rsidR="00953994">
        <w:rPr>
          <w:sz w:val="24"/>
          <w:szCs w:val="24"/>
        </w:rPr>
        <w:t xml:space="preserve">are shown </w:t>
      </w:r>
      <w:r w:rsidR="00971A11">
        <w:rPr>
          <w:sz w:val="24"/>
          <w:szCs w:val="24"/>
        </w:rPr>
        <w:t xml:space="preserve">in Figure 27 for EAG and </w:t>
      </w:r>
      <w:r w:rsidR="00D45D5A">
        <w:rPr>
          <w:sz w:val="24"/>
          <w:szCs w:val="24"/>
        </w:rPr>
        <w:t xml:space="preserve">for scenario 1 in </w:t>
      </w:r>
      <w:r w:rsidR="00971A11">
        <w:rPr>
          <w:sz w:val="24"/>
          <w:szCs w:val="24"/>
        </w:rPr>
        <w:t>Figure 52 for WAG.</w:t>
      </w:r>
      <w:r w:rsidR="00D45D5A">
        <w:rPr>
          <w:sz w:val="24"/>
          <w:szCs w:val="24"/>
        </w:rPr>
        <w:t xml:space="preserve"> The retrospective </w:t>
      </w:r>
      <w:r w:rsidR="00BD7DC2">
        <w:rPr>
          <w:sz w:val="24"/>
          <w:szCs w:val="24"/>
        </w:rPr>
        <w:t xml:space="preserve">patterns </w:t>
      </w:r>
      <w:r w:rsidR="00D45D5A">
        <w:rPr>
          <w:sz w:val="24"/>
          <w:szCs w:val="24"/>
        </w:rPr>
        <w:t xml:space="preserve">did not show severe departure </w:t>
      </w:r>
      <w:r w:rsidR="00BD7DC2">
        <w:rPr>
          <w:sz w:val="24"/>
          <w:szCs w:val="24"/>
        </w:rPr>
        <w:t xml:space="preserve">when terminal year’s data were removed </w:t>
      </w:r>
      <w:r w:rsidR="00D45D5A">
        <w:rPr>
          <w:sz w:val="24"/>
          <w:szCs w:val="24"/>
        </w:rPr>
        <w:t xml:space="preserve">and hence the current formulation of the model appears stable. </w:t>
      </w:r>
    </w:p>
    <w:p w:rsidR="0093191D" w:rsidRDefault="0093191D" w:rsidP="007C3C7A">
      <w:pPr>
        <w:pStyle w:val="BodyText"/>
        <w:numPr>
          <w:ilvl w:val="0"/>
          <w:numId w:val="11"/>
        </w:numPr>
        <w:spacing w:line="360" w:lineRule="auto"/>
        <w:jc w:val="both"/>
        <w:rPr>
          <w:sz w:val="24"/>
          <w:szCs w:val="24"/>
        </w:rPr>
      </w:pPr>
      <w:r>
        <w:rPr>
          <w:sz w:val="24"/>
          <w:szCs w:val="24"/>
        </w:rPr>
        <w:t>Uncertainty and sensitivity analysis:</w:t>
      </w:r>
    </w:p>
    <w:p w:rsidR="00322CD7" w:rsidRDefault="00BD7DC2" w:rsidP="00DE7C3E">
      <w:pPr>
        <w:pStyle w:val="BodyText"/>
        <w:numPr>
          <w:ilvl w:val="0"/>
          <w:numId w:val="8"/>
        </w:numPr>
        <w:spacing w:line="360" w:lineRule="auto"/>
        <w:jc w:val="both"/>
        <w:rPr>
          <w:sz w:val="24"/>
          <w:szCs w:val="24"/>
        </w:rPr>
      </w:pPr>
      <w:r>
        <w:rPr>
          <w:sz w:val="24"/>
          <w:szCs w:val="24"/>
        </w:rPr>
        <w:t xml:space="preserve">The main task was to determine </w:t>
      </w:r>
      <w:r w:rsidR="00322CD7">
        <w:rPr>
          <w:sz w:val="24"/>
          <w:szCs w:val="24"/>
        </w:rPr>
        <w:t>a plausible</w:t>
      </w:r>
      <w:r>
        <w:rPr>
          <w:sz w:val="24"/>
          <w:szCs w:val="24"/>
        </w:rPr>
        <w:t xml:space="preserve"> size transition matrix </w:t>
      </w:r>
      <w:r w:rsidR="00322CD7">
        <w:rPr>
          <w:sz w:val="24"/>
          <w:szCs w:val="24"/>
        </w:rPr>
        <w:t xml:space="preserve">to project the population over time. </w:t>
      </w:r>
      <w:r w:rsidR="00F259DB" w:rsidRPr="00E64470">
        <w:rPr>
          <w:sz w:val="24"/>
          <w:szCs w:val="24"/>
        </w:rPr>
        <w:t xml:space="preserve">We investigated the sensitivity of the model </w:t>
      </w:r>
      <w:r w:rsidR="00322CD7">
        <w:rPr>
          <w:sz w:val="24"/>
          <w:szCs w:val="24"/>
        </w:rPr>
        <w:t>to determine the size transition matrix by considering a pseudo molt probability (additional two parameters)  function and not considering it. The transition matrix estimates appear not affected by either consideration.</w:t>
      </w:r>
      <w:r w:rsidR="00322CD7" w:rsidRPr="00E64470" w:rsidDel="00322CD7">
        <w:rPr>
          <w:sz w:val="24"/>
          <w:szCs w:val="24"/>
        </w:rPr>
        <w:t xml:space="preserve"> </w:t>
      </w:r>
    </w:p>
    <w:p w:rsidR="00D501F5" w:rsidRDefault="004524ED" w:rsidP="00DE7C3E">
      <w:pPr>
        <w:pStyle w:val="BodyText"/>
        <w:numPr>
          <w:ilvl w:val="0"/>
          <w:numId w:val="8"/>
        </w:numPr>
        <w:spacing w:line="360" w:lineRule="auto"/>
        <w:jc w:val="both"/>
        <w:rPr>
          <w:sz w:val="24"/>
          <w:szCs w:val="24"/>
        </w:rPr>
      </w:pPr>
      <w:r w:rsidRPr="00C5267E">
        <w:rPr>
          <w:sz w:val="24"/>
          <w:szCs w:val="24"/>
        </w:rPr>
        <w:t>We provide the likelihood profile for</w:t>
      </w:r>
      <w:r w:rsidR="00DD5329">
        <w:rPr>
          <w:sz w:val="24"/>
          <w:szCs w:val="24"/>
        </w:rPr>
        <w:t xml:space="preserve"> </w:t>
      </w:r>
      <w:r w:rsidR="008F5656" w:rsidRPr="00C5267E">
        <w:rPr>
          <w:sz w:val="24"/>
          <w:szCs w:val="24"/>
        </w:rPr>
        <w:t xml:space="preserve">total </w:t>
      </w:r>
      <w:r w:rsidRPr="00C5267E">
        <w:rPr>
          <w:sz w:val="24"/>
          <w:szCs w:val="24"/>
        </w:rPr>
        <w:t>OFL</w:t>
      </w:r>
      <w:r w:rsidR="001069C2" w:rsidRPr="00C5267E">
        <w:rPr>
          <w:sz w:val="24"/>
          <w:szCs w:val="24"/>
        </w:rPr>
        <w:t xml:space="preserve"> in Figure</w:t>
      </w:r>
      <w:r w:rsidR="008F5656" w:rsidRPr="00C5267E">
        <w:rPr>
          <w:sz w:val="24"/>
          <w:szCs w:val="24"/>
        </w:rPr>
        <w:t>s</w:t>
      </w:r>
      <w:r w:rsidR="00A458C6">
        <w:rPr>
          <w:sz w:val="24"/>
          <w:szCs w:val="24"/>
        </w:rPr>
        <w:t xml:space="preserve"> </w:t>
      </w:r>
      <w:r w:rsidR="00DD5329">
        <w:rPr>
          <w:sz w:val="24"/>
          <w:szCs w:val="24"/>
        </w:rPr>
        <w:t>2</w:t>
      </w:r>
      <w:r w:rsidR="002A2BA6">
        <w:rPr>
          <w:sz w:val="24"/>
          <w:szCs w:val="24"/>
        </w:rPr>
        <w:t>8</w:t>
      </w:r>
      <w:r w:rsidR="00DD5329">
        <w:rPr>
          <w:sz w:val="24"/>
          <w:szCs w:val="24"/>
        </w:rPr>
        <w:t xml:space="preserve"> and </w:t>
      </w:r>
      <w:r w:rsidR="002A2BA6">
        <w:rPr>
          <w:sz w:val="24"/>
          <w:szCs w:val="24"/>
        </w:rPr>
        <w:t>53</w:t>
      </w:r>
      <w:r w:rsidR="00EB439D" w:rsidRPr="00C5267E">
        <w:rPr>
          <w:sz w:val="24"/>
          <w:szCs w:val="24"/>
        </w:rPr>
        <w:t xml:space="preserve"> </w:t>
      </w:r>
      <w:r w:rsidR="008F5656" w:rsidRPr="00C5267E">
        <w:rPr>
          <w:sz w:val="24"/>
          <w:szCs w:val="24"/>
        </w:rPr>
        <w:t>for EAG and WAG, respectively</w:t>
      </w:r>
      <w:r w:rsidR="00EF57D8" w:rsidRPr="00C5267E">
        <w:rPr>
          <w:sz w:val="24"/>
          <w:szCs w:val="24"/>
        </w:rPr>
        <w:t>,</w:t>
      </w:r>
      <w:r w:rsidRPr="00C5267E">
        <w:rPr>
          <w:sz w:val="24"/>
          <w:szCs w:val="24"/>
        </w:rPr>
        <w:t xml:space="preserve"> to describe the uncertainty </w:t>
      </w:r>
      <w:r w:rsidR="001069C2" w:rsidRPr="00C5267E">
        <w:rPr>
          <w:sz w:val="24"/>
          <w:szCs w:val="24"/>
        </w:rPr>
        <w:t xml:space="preserve">of </w:t>
      </w:r>
      <w:r w:rsidR="00C5267E" w:rsidRPr="00C5267E">
        <w:rPr>
          <w:sz w:val="24"/>
          <w:szCs w:val="24"/>
        </w:rPr>
        <w:t>those statistics</w:t>
      </w:r>
      <w:r w:rsidR="008F5656" w:rsidRPr="00C5267E">
        <w:rPr>
          <w:sz w:val="24"/>
          <w:szCs w:val="24"/>
        </w:rPr>
        <w:t xml:space="preserve"> from current assessment</w:t>
      </w:r>
      <w:r w:rsidRPr="00C5267E">
        <w:rPr>
          <w:sz w:val="24"/>
          <w:szCs w:val="24"/>
        </w:rPr>
        <w:t>.</w:t>
      </w:r>
      <w:r w:rsidR="00F768F5" w:rsidRPr="00C5267E">
        <w:rPr>
          <w:sz w:val="24"/>
          <w:szCs w:val="24"/>
        </w:rPr>
        <w:t xml:space="preserve"> We rescaled the profile to</w:t>
      </w:r>
      <w:r w:rsidR="008F5656" w:rsidRPr="00C5267E">
        <w:rPr>
          <w:sz w:val="24"/>
          <w:szCs w:val="24"/>
        </w:rPr>
        <w:t xml:space="preserve"> probability</w:t>
      </w:r>
      <w:r w:rsidR="00F768F5" w:rsidRPr="00C5267E">
        <w:rPr>
          <w:sz w:val="24"/>
          <w:szCs w:val="24"/>
        </w:rPr>
        <w:t>. The distribution i</w:t>
      </w:r>
      <w:r w:rsidR="00C5267E" w:rsidRPr="00C5267E">
        <w:rPr>
          <w:sz w:val="24"/>
          <w:szCs w:val="24"/>
        </w:rPr>
        <w:t xml:space="preserve">s symmetric around the mean </w:t>
      </w:r>
      <w:r w:rsidR="00F768F5" w:rsidRPr="00C5267E">
        <w:rPr>
          <w:sz w:val="24"/>
          <w:szCs w:val="24"/>
        </w:rPr>
        <w:t xml:space="preserve">estimate and satisfactory.  </w:t>
      </w:r>
    </w:p>
    <w:p w:rsidR="004524ED" w:rsidRDefault="00EB439D" w:rsidP="00EB439D">
      <w:pPr>
        <w:pStyle w:val="BodyText"/>
        <w:tabs>
          <w:tab w:val="left" w:pos="3585"/>
        </w:tabs>
        <w:spacing w:line="360" w:lineRule="auto"/>
        <w:ind w:left="240"/>
        <w:jc w:val="both"/>
        <w:rPr>
          <w:sz w:val="24"/>
          <w:szCs w:val="24"/>
        </w:rPr>
      </w:pPr>
      <w:r>
        <w:rPr>
          <w:sz w:val="24"/>
          <w:szCs w:val="24"/>
        </w:rPr>
        <w:tab/>
      </w:r>
    </w:p>
    <w:p w:rsidR="00F768F5" w:rsidRPr="00EF775C" w:rsidRDefault="00F768F5" w:rsidP="00321631">
      <w:pPr>
        <w:pStyle w:val="ListParagraph"/>
        <w:numPr>
          <w:ilvl w:val="0"/>
          <w:numId w:val="2"/>
        </w:numPr>
        <w:spacing w:line="360" w:lineRule="auto"/>
        <w:rPr>
          <w:rFonts w:ascii="Arial" w:hAnsi="Arial"/>
          <w:b/>
          <w:i/>
          <w:sz w:val="28"/>
          <w:szCs w:val="24"/>
        </w:rPr>
      </w:pPr>
      <w:r w:rsidRPr="00EF775C">
        <w:rPr>
          <w:rFonts w:ascii="Arial" w:hAnsi="Arial"/>
          <w:b/>
          <w:i/>
          <w:sz w:val="28"/>
          <w:szCs w:val="24"/>
        </w:rPr>
        <w:t>Calculation of the OFL</w:t>
      </w:r>
    </w:p>
    <w:p w:rsidR="002E1D80" w:rsidRDefault="002E1D80" w:rsidP="007C3C7A">
      <w:pPr>
        <w:pStyle w:val="BodyText"/>
        <w:numPr>
          <w:ilvl w:val="0"/>
          <w:numId w:val="12"/>
        </w:numPr>
        <w:spacing w:line="360" w:lineRule="auto"/>
        <w:jc w:val="both"/>
        <w:rPr>
          <w:sz w:val="24"/>
          <w:szCs w:val="24"/>
        </w:rPr>
      </w:pPr>
      <w:r>
        <w:rPr>
          <w:sz w:val="24"/>
          <w:szCs w:val="24"/>
        </w:rPr>
        <w:t>Specification of the Tier level:</w:t>
      </w:r>
    </w:p>
    <w:p w:rsidR="002E1D80" w:rsidRDefault="00D3253E" w:rsidP="002E1D80">
      <w:pPr>
        <w:pStyle w:val="BodyText"/>
        <w:spacing w:line="360" w:lineRule="auto"/>
        <w:ind w:left="720"/>
        <w:jc w:val="both"/>
        <w:rPr>
          <w:sz w:val="24"/>
          <w:szCs w:val="24"/>
        </w:rPr>
      </w:pPr>
      <w:r>
        <w:rPr>
          <w:sz w:val="24"/>
          <w:szCs w:val="24"/>
        </w:rPr>
        <w:t xml:space="preserve">The Aleutian Islands golden king crab stocks are currently managed under Tier 5 (average catch OFL) control rule. Our analysis tries to upgrade this stock to the Tier 4 level. </w:t>
      </w:r>
    </w:p>
    <w:p w:rsidR="002E1D80" w:rsidRDefault="002E1D80" w:rsidP="007C3C7A">
      <w:pPr>
        <w:pStyle w:val="BodyText"/>
        <w:numPr>
          <w:ilvl w:val="0"/>
          <w:numId w:val="12"/>
        </w:numPr>
        <w:spacing w:line="360" w:lineRule="auto"/>
        <w:jc w:val="both"/>
        <w:rPr>
          <w:sz w:val="24"/>
          <w:szCs w:val="24"/>
        </w:rPr>
      </w:pPr>
      <w:r>
        <w:rPr>
          <w:sz w:val="24"/>
          <w:szCs w:val="24"/>
        </w:rPr>
        <w:t>List of parameters and stock size required by the control rule:</w:t>
      </w:r>
    </w:p>
    <w:p w:rsidR="002E1D80" w:rsidRDefault="002E1D80" w:rsidP="002E1D80">
      <w:pPr>
        <w:pStyle w:val="BodyText"/>
        <w:spacing w:line="360" w:lineRule="auto"/>
        <w:ind w:left="720"/>
        <w:jc w:val="both"/>
        <w:rPr>
          <w:sz w:val="24"/>
          <w:szCs w:val="24"/>
        </w:rPr>
      </w:pPr>
      <w:r>
        <w:rPr>
          <w:sz w:val="24"/>
          <w:szCs w:val="24"/>
        </w:rPr>
        <w:t>An average mature male biomass (</w:t>
      </w:r>
      <w:r w:rsidRPr="002E1D80">
        <w:rPr>
          <w:i/>
          <w:sz w:val="24"/>
          <w:szCs w:val="24"/>
        </w:rPr>
        <w:t>MMB</w:t>
      </w:r>
      <w:r>
        <w:rPr>
          <w:sz w:val="24"/>
          <w:szCs w:val="24"/>
        </w:rPr>
        <w:t xml:space="preserve">) for a specified period, </w:t>
      </w:r>
      <w:r w:rsidRPr="00D3253E">
        <w:rPr>
          <w:i/>
          <w:sz w:val="24"/>
          <w:szCs w:val="24"/>
        </w:rPr>
        <w:t>MMB</w:t>
      </w:r>
      <w:r w:rsidRPr="00D3253E">
        <w:rPr>
          <w:i/>
          <w:sz w:val="24"/>
          <w:szCs w:val="24"/>
          <w:vertAlign w:val="subscript"/>
        </w:rPr>
        <w:t>ref</w:t>
      </w:r>
      <w:r>
        <w:rPr>
          <w:sz w:val="24"/>
          <w:szCs w:val="24"/>
        </w:rPr>
        <w:t xml:space="preserve">, current </w:t>
      </w:r>
      <w:r w:rsidRPr="002E1D80">
        <w:rPr>
          <w:i/>
          <w:sz w:val="24"/>
          <w:szCs w:val="24"/>
        </w:rPr>
        <w:t>MMB</w:t>
      </w:r>
      <w:r>
        <w:rPr>
          <w:sz w:val="24"/>
          <w:szCs w:val="24"/>
        </w:rPr>
        <w:t xml:space="preserve">, an </w:t>
      </w:r>
      <w:r w:rsidRPr="002E1D80">
        <w:rPr>
          <w:i/>
          <w:sz w:val="24"/>
          <w:szCs w:val="24"/>
        </w:rPr>
        <w:t xml:space="preserve">M </w:t>
      </w:r>
      <w:r>
        <w:rPr>
          <w:sz w:val="24"/>
          <w:szCs w:val="24"/>
        </w:rPr>
        <w:t xml:space="preserve">value, and a </w:t>
      </w:r>
      <w:r w:rsidRPr="00D3253E">
        <w:rPr>
          <w:i/>
          <w:sz w:val="24"/>
          <w:szCs w:val="24"/>
        </w:rPr>
        <w:sym w:font="Symbol" w:char="F067"/>
      </w:r>
      <w:r>
        <w:rPr>
          <w:sz w:val="24"/>
          <w:szCs w:val="24"/>
        </w:rPr>
        <w:t xml:space="preserve">  value.</w:t>
      </w:r>
    </w:p>
    <w:p w:rsidR="002E1D80" w:rsidRDefault="002E1D80" w:rsidP="002E1D80">
      <w:pPr>
        <w:pStyle w:val="BodyText"/>
        <w:spacing w:line="360" w:lineRule="auto"/>
        <w:ind w:left="720"/>
        <w:jc w:val="both"/>
        <w:rPr>
          <w:sz w:val="24"/>
          <w:szCs w:val="24"/>
        </w:rPr>
      </w:pPr>
    </w:p>
    <w:p w:rsidR="0093191D" w:rsidRDefault="002E1D80" w:rsidP="007C3C7A">
      <w:pPr>
        <w:pStyle w:val="BodyText"/>
        <w:numPr>
          <w:ilvl w:val="0"/>
          <w:numId w:val="12"/>
        </w:numPr>
        <w:spacing w:line="360" w:lineRule="auto"/>
        <w:jc w:val="both"/>
        <w:rPr>
          <w:sz w:val="24"/>
          <w:szCs w:val="24"/>
        </w:rPr>
      </w:pPr>
      <w:r>
        <w:rPr>
          <w:sz w:val="24"/>
          <w:szCs w:val="24"/>
        </w:rPr>
        <w:t>Specification of the total catch OFL:</w:t>
      </w:r>
    </w:p>
    <w:p w:rsidR="00D3253E" w:rsidRPr="009034A6" w:rsidRDefault="00D3253E" w:rsidP="006F0B75">
      <w:pPr>
        <w:spacing w:line="360" w:lineRule="auto"/>
        <w:ind w:left="720"/>
        <w:rPr>
          <w:szCs w:val="24"/>
        </w:rPr>
      </w:pPr>
      <w:r w:rsidRPr="009034A6">
        <w:rPr>
          <w:szCs w:val="24"/>
        </w:rPr>
        <w:t xml:space="preserve">(a) If </w:t>
      </w:r>
      <w:r w:rsidRPr="00D3253E">
        <w:rPr>
          <w:position w:val="-14"/>
          <w:szCs w:val="24"/>
        </w:rPr>
        <w:object w:dxaOrig="1700" w:dyaOrig="380">
          <v:shape id="_x0000_i1027" type="#_x0000_t75" style="width:85.55pt;height:17.75pt" o:ole="">
            <v:imagedata r:id="rId13" o:title=""/>
          </v:shape>
          <o:OLEObject Type="Embed" ProgID="Equation.3" ShapeID="_x0000_i1027" DrawAspect="Content" ObjectID="_1460439700" r:id="rId14"/>
        </w:object>
      </w:r>
      <w:r w:rsidRPr="009034A6">
        <w:rPr>
          <w:szCs w:val="24"/>
        </w:rPr>
        <w:t xml:space="preserve">,   </w:t>
      </w:r>
      <w:r w:rsidR="00853785" w:rsidRPr="00853785">
        <w:rPr>
          <w:position w:val="-12"/>
          <w:szCs w:val="24"/>
        </w:rPr>
        <w:object w:dxaOrig="1100" w:dyaOrig="360">
          <v:shape id="_x0000_i1028" type="#_x0000_t75" style="width:54.25pt;height:17.75pt" o:ole="">
            <v:imagedata r:id="rId15" o:title=""/>
          </v:shape>
          <o:OLEObject Type="Embed" ProgID="Equation.3" ShapeID="_x0000_i1028" DrawAspect="Content" ObjectID="_1460439701" r:id="rId16"/>
        </w:object>
      </w:r>
      <w:r>
        <w:rPr>
          <w:position w:val="-10"/>
          <w:szCs w:val="24"/>
        </w:rPr>
        <w:t>,</w:t>
      </w:r>
    </w:p>
    <w:p w:rsidR="00D3253E" w:rsidRPr="009034A6" w:rsidRDefault="00D3253E" w:rsidP="006F0B75">
      <w:pPr>
        <w:spacing w:line="360" w:lineRule="auto"/>
        <w:ind w:left="720"/>
        <w:rPr>
          <w:szCs w:val="24"/>
        </w:rPr>
      </w:pPr>
      <w:r w:rsidRPr="009034A6">
        <w:rPr>
          <w:szCs w:val="24"/>
        </w:rPr>
        <w:t xml:space="preserve">(b) If </w:t>
      </w:r>
      <w:r w:rsidRPr="00D3253E">
        <w:rPr>
          <w:position w:val="-14"/>
          <w:szCs w:val="24"/>
        </w:rPr>
        <w:object w:dxaOrig="1700" w:dyaOrig="380">
          <v:shape id="_x0000_i1029" type="#_x0000_t75" style="width:85.55pt;height:17.75pt" o:ole="">
            <v:imagedata r:id="rId17" o:title=""/>
          </v:shape>
          <o:OLEObject Type="Embed" ProgID="Equation.3" ShapeID="_x0000_i1029" DrawAspect="Content" ObjectID="_1460439702" r:id="rId18"/>
        </w:object>
      </w:r>
      <w:r w:rsidRPr="009034A6">
        <w:rPr>
          <w:szCs w:val="24"/>
        </w:rPr>
        <w:t xml:space="preserve">and </w:t>
      </w:r>
      <w:r w:rsidRPr="00D3253E">
        <w:rPr>
          <w:position w:val="-14"/>
          <w:szCs w:val="24"/>
        </w:rPr>
        <w:object w:dxaOrig="2120" w:dyaOrig="380">
          <v:shape id="_x0000_i1030" type="#_x0000_t75" style="width:105.4pt;height:17.75pt" o:ole="">
            <v:imagedata r:id="rId19" o:title=""/>
          </v:shape>
          <o:OLEObject Type="Embed" ProgID="Equation.3" ShapeID="_x0000_i1030" DrawAspect="Content" ObjectID="_1460439703" r:id="rId20"/>
        </w:object>
      </w:r>
      <w:r w:rsidRPr="009034A6">
        <w:rPr>
          <w:szCs w:val="24"/>
        </w:rPr>
        <w:t xml:space="preserve">,   </w:t>
      </w:r>
    </w:p>
    <w:p w:rsidR="00D3253E" w:rsidRDefault="00D3253E" w:rsidP="006F0B75">
      <w:pPr>
        <w:spacing w:line="360" w:lineRule="auto"/>
        <w:ind w:left="720"/>
        <w:rPr>
          <w:szCs w:val="24"/>
        </w:rPr>
      </w:pPr>
      <w:r w:rsidRPr="009034A6">
        <w:rPr>
          <w:szCs w:val="24"/>
        </w:rPr>
        <w:t xml:space="preserve"> </w:t>
      </w:r>
      <w:r w:rsidR="00853785" w:rsidRPr="00D3253E">
        <w:rPr>
          <w:position w:val="-28"/>
          <w:szCs w:val="24"/>
        </w:rPr>
        <w:object w:dxaOrig="2580" w:dyaOrig="1040">
          <v:shape id="_x0000_i1031" type="#_x0000_t75" style="width:130.45pt;height:52.15pt" o:ole="">
            <v:imagedata r:id="rId21" o:title=""/>
          </v:shape>
          <o:OLEObject Type="Embed" ProgID="Equation.3" ShapeID="_x0000_i1031" DrawAspect="Content" ObjectID="_1460439704" r:id="rId22"/>
        </w:object>
      </w:r>
      <w:r w:rsidRPr="009034A6">
        <w:rPr>
          <w:szCs w:val="24"/>
        </w:rPr>
        <w:tab/>
      </w:r>
      <w:r w:rsidRPr="009034A6">
        <w:rPr>
          <w:szCs w:val="24"/>
        </w:rPr>
        <w:tab/>
      </w:r>
      <w:r w:rsidRPr="009034A6">
        <w:rPr>
          <w:szCs w:val="24"/>
        </w:rPr>
        <w:tab/>
      </w:r>
      <w:r w:rsidRPr="009034A6">
        <w:rPr>
          <w:szCs w:val="24"/>
        </w:rPr>
        <w:tab/>
      </w:r>
      <w:r w:rsidRPr="009034A6">
        <w:rPr>
          <w:szCs w:val="24"/>
        </w:rPr>
        <w:tab/>
      </w:r>
      <w:r w:rsidRPr="009034A6">
        <w:rPr>
          <w:szCs w:val="24"/>
        </w:rPr>
        <w:tab/>
      </w:r>
      <w:r w:rsidRPr="009034A6">
        <w:rPr>
          <w:szCs w:val="24"/>
        </w:rPr>
        <w:tab/>
      </w:r>
      <w:r w:rsidRPr="009034A6">
        <w:rPr>
          <w:szCs w:val="24"/>
        </w:rPr>
        <w:tab/>
      </w:r>
    </w:p>
    <w:p w:rsidR="00D3253E" w:rsidRPr="009034A6" w:rsidRDefault="00D3253E" w:rsidP="006F0B75">
      <w:pPr>
        <w:spacing w:line="360" w:lineRule="auto"/>
        <w:ind w:left="720"/>
        <w:rPr>
          <w:szCs w:val="24"/>
        </w:rPr>
      </w:pPr>
      <w:r>
        <w:rPr>
          <w:szCs w:val="24"/>
        </w:rPr>
        <w:lastRenderedPageBreak/>
        <w:t>(</w:t>
      </w:r>
      <w:r w:rsidRPr="009034A6">
        <w:rPr>
          <w:szCs w:val="24"/>
        </w:rPr>
        <w:t xml:space="preserve">c ) If </w:t>
      </w:r>
      <w:r w:rsidRPr="00D3253E">
        <w:rPr>
          <w:position w:val="-14"/>
          <w:szCs w:val="24"/>
        </w:rPr>
        <w:object w:dxaOrig="2120" w:dyaOrig="380">
          <v:shape id="_x0000_i1032" type="#_x0000_t75" style="width:105.4pt;height:17.75pt" o:ole="">
            <v:imagedata r:id="rId23" o:title=""/>
          </v:shape>
          <o:OLEObject Type="Embed" ProgID="Equation.3" ShapeID="_x0000_i1032" DrawAspect="Content" ObjectID="_1460439705" r:id="rId24"/>
        </w:object>
      </w:r>
      <w:r w:rsidRPr="009034A6">
        <w:rPr>
          <w:szCs w:val="24"/>
        </w:rPr>
        <w:t xml:space="preserve">, </w:t>
      </w:r>
      <w:r w:rsidR="00853785" w:rsidRPr="00853785">
        <w:rPr>
          <w:position w:val="-12"/>
          <w:szCs w:val="24"/>
        </w:rPr>
        <w:object w:dxaOrig="880" w:dyaOrig="360">
          <v:shape id="_x0000_i1033" type="#_x0000_t75" style="width:43.85pt;height:17.75pt" o:ole="">
            <v:imagedata r:id="rId25" o:title=""/>
          </v:shape>
          <o:OLEObject Type="Embed" ProgID="Equation.3" ShapeID="_x0000_i1033" DrawAspect="Content" ObjectID="_1460439706" r:id="rId26"/>
        </w:object>
      </w:r>
      <w:r w:rsidR="00EF57D8">
        <w:rPr>
          <w:position w:val="-12"/>
          <w:szCs w:val="24"/>
        </w:rPr>
        <w:t>,</w:t>
      </w:r>
    </w:p>
    <w:p w:rsidR="004524ED" w:rsidRDefault="004524ED" w:rsidP="00D3253E">
      <w:pPr>
        <w:pStyle w:val="BodyText"/>
        <w:spacing w:line="360" w:lineRule="auto"/>
        <w:rPr>
          <w:sz w:val="24"/>
          <w:szCs w:val="24"/>
        </w:rPr>
      </w:pPr>
    </w:p>
    <w:p w:rsidR="00D3253E" w:rsidRDefault="00EF57D8" w:rsidP="00321631">
      <w:pPr>
        <w:pStyle w:val="BodyText"/>
        <w:spacing w:line="360" w:lineRule="auto"/>
        <w:ind w:left="720"/>
        <w:rPr>
          <w:sz w:val="24"/>
          <w:szCs w:val="24"/>
        </w:rPr>
      </w:pPr>
      <w:r>
        <w:rPr>
          <w:sz w:val="24"/>
          <w:szCs w:val="24"/>
        </w:rPr>
        <w:t>w</w:t>
      </w:r>
      <w:r w:rsidR="00D3253E">
        <w:rPr>
          <w:sz w:val="24"/>
          <w:szCs w:val="24"/>
        </w:rPr>
        <w:t xml:space="preserve">here </w:t>
      </w:r>
      <w:r w:rsidR="00D3253E" w:rsidRPr="00D3253E">
        <w:rPr>
          <w:i/>
          <w:sz w:val="24"/>
          <w:szCs w:val="24"/>
        </w:rPr>
        <w:t>MMB</w:t>
      </w:r>
      <w:r w:rsidR="00D3253E">
        <w:rPr>
          <w:sz w:val="24"/>
          <w:szCs w:val="24"/>
        </w:rPr>
        <w:t xml:space="preserve"> is mature male biomass, </w:t>
      </w:r>
      <w:r w:rsidR="00D3253E" w:rsidRPr="00D3253E">
        <w:rPr>
          <w:i/>
          <w:sz w:val="24"/>
          <w:szCs w:val="24"/>
        </w:rPr>
        <w:t>MMB</w:t>
      </w:r>
      <w:r w:rsidR="00D3253E" w:rsidRPr="00D3253E">
        <w:rPr>
          <w:i/>
          <w:sz w:val="24"/>
          <w:szCs w:val="24"/>
          <w:vertAlign w:val="subscript"/>
        </w:rPr>
        <w:t>ref</w:t>
      </w:r>
      <w:r w:rsidR="00D3253E">
        <w:rPr>
          <w:sz w:val="24"/>
          <w:szCs w:val="24"/>
        </w:rPr>
        <w:t xml:space="preserve"> is average mature male biomass, </w:t>
      </w:r>
      <w:r w:rsidR="006E1D46">
        <w:rPr>
          <w:sz w:val="24"/>
          <w:szCs w:val="24"/>
        </w:rPr>
        <w:t xml:space="preserve">and </w:t>
      </w:r>
      <w:r w:rsidR="00D3253E" w:rsidRPr="00D3253E">
        <w:rPr>
          <w:i/>
          <w:sz w:val="24"/>
          <w:szCs w:val="24"/>
        </w:rPr>
        <w:sym w:font="Symbol" w:char="F067"/>
      </w:r>
      <w:r w:rsidR="000E0EFF">
        <w:rPr>
          <w:i/>
          <w:sz w:val="24"/>
          <w:szCs w:val="24"/>
        </w:rPr>
        <w:t xml:space="preserve"> </w:t>
      </w:r>
      <w:r w:rsidR="00D3253E">
        <w:rPr>
          <w:sz w:val="24"/>
          <w:szCs w:val="24"/>
        </w:rPr>
        <w:t xml:space="preserve"> is a multiplying factor of </w:t>
      </w:r>
      <w:r w:rsidR="00D3253E" w:rsidRPr="00D3253E">
        <w:rPr>
          <w:i/>
          <w:sz w:val="24"/>
          <w:szCs w:val="24"/>
        </w:rPr>
        <w:t>M</w:t>
      </w:r>
      <w:r w:rsidR="00D3253E">
        <w:rPr>
          <w:sz w:val="24"/>
          <w:szCs w:val="24"/>
        </w:rPr>
        <w:t>.</w:t>
      </w:r>
    </w:p>
    <w:p w:rsidR="00D3253E" w:rsidRDefault="00DA1223" w:rsidP="00DE7C3E">
      <w:pPr>
        <w:pStyle w:val="BodyText"/>
        <w:spacing w:line="360" w:lineRule="auto"/>
        <w:ind w:left="720"/>
        <w:rPr>
          <w:sz w:val="24"/>
          <w:szCs w:val="24"/>
        </w:rPr>
      </w:pPr>
      <w:r>
        <w:rPr>
          <w:sz w:val="24"/>
          <w:szCs w:val="24"/>
        </w:rPr>
        <w:t xml:space="preserve">The </w:t>
      </w:r>
      <w:r w:rsidRPr="00DA1223">
        <w:rPr>
          <w:i/>
          <w:sz w:val="24"/>
          <w:szCs w:val="24"/>
        </w:rPr>
        <w:t>OFL</w:t>
      </w:r>
      <w:r>
        <w:rPr>
          <w:sz w:val="24"/>
          <w:szCs w:val="24"/>
        </w:rPr>
        <w:t xml:space="preserve"> is estimated by an iterative procedure accounting for intervening total removals (see Appendix A for the formulas).</w:t>
      </w:r>
    </w:p>
    <w:p w:rsidR="00DA1223" w:rsidRDefault="00DA1223" w:rsidP="00DE7C3E">
      <w:pPr>
        <w:pStyle w:val="BodyText"/>
        <w:spacing w:line="360" w:lineRule="auto"/>
        <w:ind w:left="720"/>
        <w:rPr>
          <w:sz w:val="24"/>
          <w:szCs w:val="24"/>
        </w:rPr>
      </w:pPr>
    </w:p>
    <w:p w:rsidR="002D7FD2" w:rsidRDefault="00DA1223" w:rsidP="00DE7C3E">
      <w:pPr>
        <w:pStyle w:val="BodyText"/>
        <w:spacing w:line="360" w:lineRule="auto"/>
        <w:ind w:left="720"/>
        <w:rPr>
          <w:sz w:val="24"/>
          <w:szCs w:val="24"/>
        </w:rPr>
      </w:pPr>
      <w:r>
        <w:rPr>
          <w:sz w:val="24"/>
          <w:szCs w:val="24"/>
        </w:rPr>
        <w:t xml:space="preserve">For the selection of </w:t>
      </w:r>
      <w:r w:rsidRPr="00DA1223">
        <w:rPr>
          <w:i/>
          <w:sz w:val="24"/>
          <w:szCs w:val="24"/>
        </w:rPr>
        <w:t>MMB</w:t>
      </w:r>
      <w:r w:rsidRPr="00DA1223">
        <w:rPr>
          <w:i/>
          <w:sz w:val="24"/>
          <w:szCs w:val="24"/>
          <w:vertAlign w:val="subscript"/>
        </w:rPr>
        <w:t>ref</w:t>
      </w:r>
      <w:r>
        <w:rPr>
          <w:sz w:val="24"/>
          <w:szCs w:val="24"/>
        </w:rPr>
        <w:t>, w</w:t>
      </w:r>
      <w:r w:rsidR="00716695">
        <w:rPr>
          <w:sz w:val="24"/>
          <w:szCs w:val="24"/>
        </w:rPr>
        <w:t>e chose the period between 19</w:t>
      </w:r>
      <w:r>
        <w:rPr>
          <w:sz w:val="24"/>
          <w:szCs w:val="24"/>
        </w:rPr>
        <w:t xml:space="preserve">86 </w:t>
      </w:r>
      <w:r w:rsidR="00716695">
        <w:rPr>
          <w:sz w:val="24"/>
          <w:szCs w:val="24"/>
        </w:rPr>
        <w:t xml:space="preserve">Feb 15 </w:t>
      </w:r>
      <w:r w:rsidR="00AB4FF3">
        <w:rPr>
          <w:sz w:val="24"/>
          <w:szCs w:val="24"/>
        </w:rPr>
        <w:t xml:space="preserve">to </w:t>
      </w:r>
      <w:r w:rsidR="00716695">
        <w:rPr>
          <w:sz w:val="24"/>
          <w:szCs w:val="24"/>
        </w:rPr>
        <w:t>201</w:t>
      </w:r>
      <w:r w:rsidR="00440EBB">
        <w:rPr>
          <w:sz w:val="24"/>
          <w:szCs w:val="24"/>
        </w:rPr>
        <w:t>3</w:t>
      </w:r>
      <w:r w:rsidR="00AB4FF3">
        <w:rPr>
          <w:sz w:val="24"/>
          <w:szCs w:val="24"/>
        </w:rPr>
        <w:t xml:space="preserve"> Feb 15</w:t>
      </w:r>
      <w:r w:rsidR="00716695">
        <w:rPr>
          <w:sz w:val="24"/>
          <w:szCs w:val="24"/>
        </w:rPr>
        <w:t xml:space="preserve">. This resulted in a </w:t>
      </w:r>
      <w:r w:rsidR="00716695" w:rsidRPr="00DA1223">
        <w:rPr>
          <w:i/>
          <w:sz w:val="24"/>
          <w:szCs w:val="24"/>
        </w:rPr>
        <w:t>MMB</w:t>
      </w:r>
      <w:r w:rsidR="00716695" w:rsidRPr="00DA1223">
        <w:rPr>
          <w:i/>
          <w:sz w:val="24"/>
          <w:szCs w:val="24"/>
          <w:vertAlign w:val="subscript"/>
        </w:rPr>
        <w:t>ref</w:t>
      </w:r>
      <w:r w:rsidR="00884CF4">
        <w:rPr>
          <w:sz w:val="24"/>
          <w:szCs w:val="24"/>
        </w:rPr>
        <w:t xml:space="preserve"> </w:t>
      </w:r>
      <w:r w:rsidR="00AB4FF3">
        <w:rPr>
          <w:sz w:val="24"/>
          <w:szCs w:val="24"/>
        </w:rPr>
        <w:t xml:space="preserve"> </w:t>
      </w:r>
      <w:r w:rsidR="00265733">
        <w:rPr>
          <w:sz w:val="24"/>
          <w:szCs w:val="24"/>
        </w:rPr>
        <w:t>range of</w:t>
      </w:r>
      <w:r w:rsidR="00F31346">
        <w:rPr>
          <w:sz w:val="24"/>
          <w:szCs w:val="24"/>
        </w:rPr>
        <w:t xml:space="preserve"> </w:t>
      </w:r>
      <w:r w:rsidR="00440EBB">
        <w:rPr>
          <w:sz w:val="24"/>
          <w:szCs w:val="24"/>
        </w:rPr>
        <w:t>3.</w:t>
      </w:r>
      <w:r w:rsidR="00F31346">
        <w:rPr>
          <w:sz w:val="24"/>
          <w:szCs w:val="24"/>
        </w:rPr>
        <w:t xml:space="preserve">379 </w:t>
      </w:r>
      <w:r w:rsidR="00DF2A74">
        <w:rPr>
          <w:sz w:val="24"/>
          <w:szCs w:val="24"/>
        </w:rPr>
        <w:t>–</w:t>
      </w:r>
      <w:r w:rsidR="00F31346">
        <w:rPr>
          <w:sz w:val="24"/>
          <w:szCs w:val="24"/>
        </w:rPr>
        <w:t>4.101</w:t>
      </w:r>
      <w:r w:rsidR="00265733">
        <w:rPr>
          <w:sz w:val="24"/>
          <w:szCs w:val="24"/>
        </w:rPr>
        <w:t xml:space="preserve"> thousand tonnes </w:t>
      </w:r>
      <w:r w:rsidR="00884CF4">
        <w:rPr>
          <w:sz w:val="24"/>
          <w:szCs w:val="24"/>
        </w:rPr>
        <w:t xml:space="preserve"> for EAG and</w:t>
      </w:r>
      <w:r w:rsidR="00F31346">
        <w:rPr>
          <w:sz w:val="24"/>
          <w:szCs w:val="24"/>
        </w:rPr>
        <w:t xml:space="preserve"> 3.113 </w:t>
      </w:r>
      <w:r w:rsidR="00265733">
        <w:rPr>
          <w:sz w:val="24"/>
          <w:szCs w:val="24"/>
        </w:rPr>
        <w:t xml:space="preserve">– </w:t>
      </w:r>
      <w:r w:rsidR="00F31346">
        <w:rPr>
          <w:sz w:val="24"/>
          <w:szCs w:val="24"/>
        </w:rPr>
        <w:t>3.608</w:t>
      </w:r>
      <w:r w:rsidR="00265733">
        <w:rPr>
          <w:sz w:val="24"/>
          <w:szCs w:val="24"/>
        </w:rPr>
        <w:t xml:space="preserve"> thousand tonnes </w:t>
      </w:r>
      <w:r w:rsidR="00884CF4">
        <w:rPr>
          <w:sz w:val="24"/>
          <w:szCs w:val="24"/>
        </w:rPr>
        <w:t>for WAG</w:t>
      </w:r>
      <w:r w:rsidR="00AB4FF3">
        <w:rPr>
          <w:sz w:val="24"/>
          <w:szCs w:val="24"/>
        </w:rPr>
        <w:t xml:space="preserve"> for </w:t>
      </w:r>
      <w:r w:rsidR="00265733">
        <w:rPr>
          <w:sz w:val="24"/>
          <w:szCs w:val="24"/>
        </w:rPr>
        <w:t xml:space="preserve">the </w:t>
      </w:r>
      <w:r w:rsidR="00F31346">
        <w:rPr>
          <w:sz w:val="24"/>
          <w:szCs w:val="24"/>
        </w:rPr>
        <w:t xml:space="preserve">two </w:t>
      </w:r>
      <w:r w:rsidR="00265733">
        <w:rPr>
          <w:sz w:val="24"/>
          <w:szCs w:val="24"/>
        </w:rPr>
        <w:t>scenarios</w:t>
      </w:r>
      <w:r w:rsidR="00716695">
        <w:rPr>
          <w:sz w:val="24"/>
          <w:szCs w:val="24"/>
        </w:rPr>
        <w:t xml:space="preserve">. The current </w:t>
      </w:r>
      <w:r w:rsidR="00716695" w:rsidRPr="000E0EFF">
        <w:rPr>
          <w:i/>
          <w:sz w:val="24"/>
          <w:szCs w:val="24"/>
        </w:rPr>
        <w:t>MMB</w:t>
      </w:r>
      <w:r w:rsidR="00716695" w:rsidRPr="000E0EFF">
        <w:rPr>
          <w:i/>
          <w:sz w:val="24"/>
          <w:szCs w:val="24"/>
          <w:vertAlign w:val="subscript"/>
        </w:rPr>
        <w:t>20</w:t>
      </w:r>
      <w:r w:rsidR="00D40002">
        <w:rPr>
          <w:i/>
          <w:sz w:val="24"/>
          <w:szCs w:val="24"/>
          <w:vertAlign w:val="subscript"/>
        </w:rPr>
        <w:t>13</w:t>
      </w:r>
      <w:r w:rsidR="00884CF4">
        <w:rPr>
          <w:sz w:val="24"/>
          <w:szCs w:val="24"/>
        </w:rPr>
        <w:t xml:space="preserve"> </w:t>
      </w:r>
      <w:r w:rsidR="00265733">
        <w:rPr>
          <w:sz w:val="24"/>
          <w:szCs w:val="24"/>
        </w:rPr>
        <w:t xml:space="preserve">range </w:t>
      </w:r>
      <w:r w:rsidR="00AB4FF3">
        <w:rPr>
          <w:sz w:val="24"/>
          <w:szCs w:val="24"/>
        </w:rPr>
        <w:t>were</w:t>
      </w:r>
      <w:r w:rsidR="00884CF4">
        <w:rPr>
          <w:sz w:val="24"/>
          <w:szCs w:val="24"/>
        </w:rPr>
        <w:t xml:space="preserve"> </w:t>
      </w:r>
      <w:r w:rsidR="00D40002">
        <w:rPr>
          <w:sz w:val="24"/>
          <w:szCs w:val="24"/>
        </w:rPr>
        <w:t>4.</w:t>
      </w:r>
      <w:r w:rsidR="00F31346">
        <w:rPr>
          <w:sz w:val="24"/>
          <w:szCs w:val="24"/>
        </w:rPr>
        <w:t>432</w:t>
      </w:r>
      <w:r w:rsidR="00DF2A74">
        <w:rPr>
          <w:sz w:val="24"/>
          <w:szCs w:val="24"/>
        </w:rPr>
        <w:t>–</w:t>
      </w:r>
      <w:r w:rsidR="00265733">
        <w:rPr>
          <w:sz w:val="24"/>
          <w:szCs w:val="24"/>
        </w:rPr>
        <w:t xml:space="preserve"> </w:t>
      </w:r>
      <w:r w:rsidR="00F31346">
        <w:rPr>
          <w:sz w:val="24"/>
          <w:szCs w:val="24"/>
        </w:rPr>
        <w:t>5.139</w:t>
      </w:r>
      <w:r w:rsidR="00265733">
        <w:rPr>
          <w:sz w:val="24"/>
          <w:szCs w:val="24"/>
        </w:rPr>
        <w:t xml:space="preserve"> thousand tonnes for EAG and </w:t>
      </w:r>
      <w:r w:rsidR="00F31346">
        <w:rPr>
          <w:sz w:val="24"/>
          <w:szCs w:val="24"/>
        </w:rPr>
        <w:t>4.457</w:t>
      </w:r>
      <w:r w:rsidR="00DF2A74">
        <w:rPr>
          <w:sz w:val="24"/>
          <w:szCs w:val="24"/>
        </w:rPr>
        <w:t>–</w:t>
      </w:r>
      <w:r w:rsidR="00F31346">
        <w:rPr>
          <w:sz w:val="24"/>
          <w:szCs w:val="24"/>
        </w:rPr>
        <w:t>4.864</w:t>
      </w:r>
      <w:r w:rsidR="00265733">
        <w:rPr>
          <w:sz w:val="24"/>
          <w:szCs w:val="24"/>
        </w:rPr>
        <w:t xml:space="preserve"> thousand tonnes for </w:t>
      </w:r>
      <w:r w:rsidR="00884CF4">
        <w:rPr>
          <w:sz w:val="24"/>
          <w:szCs w:val="24"/>
        </w:rPr>
        <w:t>WAG</w:t>
      </w:r>
      <w:r w:rsidR="00AB4FF3">
        <w:rPr>
          <w:sz w:val="24"/>
          <w:szCs w:val="24"/>
        </w:rPr>
        <w:t xml:space="preserve"> for the </w:t>
      </w:r>
      <w:r w:rsidR="00F31346">
        <w:rPr>
          <w:sz w:val="24"/>
          <w:szCs w:val="24"/>
        </w:rPr>
        <w:t xml:space="preserve">two </w:t>
      </w:r>
      <w:r w:rsidR="00265733">
        <w:rPr>
          <w:sz w:val="24"/>
          <w:szCs w:val="24"/>
        </w:rPr>
        <w:t>s</w:t>
      </w:r>
      <w:r w:rsidR="00AB4FF3">
        <w:rPr>
          <w:sz w:val="24"/>
          <w:szCs w:val="24"/>
        </w:rPr>
        <w:t>cenarios</w:t>
      </w:r>
      <w:r w:rsidR="00716695">
        <w:rPr>
          <w:sz w:val="24"/>
          <w:szCs w:val="24"/>
        </w:rPr>
        <w:t xml:space="preserve">, resulting in an </w:t>
      </w:r>
      <w:r w:rsidR="00716695" w:rsidRPr="000E0EFF">
        <w:rPr>
          <w:i/>
          <w:sz w:val="24"/>
          <w:szCs w:val="24"/>
        </w:rPr>
        <w:t>F</w:t>
      </w:r>
      <w:r w:rsidR="00716695" w:rsidRPr="000E0EFF">
        <w:rPr>
          <w:i/>
          <w:sz w:val="24"/>
          <w:szCs w:val="24"/>
          <w:vertAlign w:val="subscript"/>
        </w:rPr>
        <w:t>OFL</w:t>
      </w:r>
      <w:r w:rsidR="00884CF4">
        <w:rPr>
          <w:sz w:val="24"/>
          <w:szCs w:val="24"/>
        </w:rPr>
        <w:t xml:space="preserve"> of 0.18 for both re</w:t>
      </w:r>
      <w:r w:rsidR="00AB4FF3">
        <w:rPr>
          <w:sz w:val="24"/>
          <w:szCs w:val="24"/>
        </w:rPr>
        <w:t xml:space="preserve">gions. The total OFL for EAG </w:t>
      </w:r>
      <w:r w:rsidR="00265733">
        <w:rPr>
          <w:sz w:val="24"/>
          <w:szCs w:val="24"/>
        </w:rPr>
        <w:t xml:space="preserve">ranged </w:t>
      </w:r>
      <w:r w:rsidR="00D40002">
        <w:rPr>
          <w:sz w:val="24"/>
          <w:szCs w:val="24"/>
        </w:rPr>
        <w:t>0.</w:t>
      </w:r>
      <w:r w:rsidR="00F31346">
        <w:rPr>
          <w:sz w:val="24"/>
          <w:szCs w:val="24"/>
        </w:rPr>
        <w:t>747</w:t>
      </w:r>
      <w:r w:rsidR="00DF2A74">
        <w:rPr>
          <w:sz w:val="24"/>
          <w:szCs w:val="24"/>
        </w:rPr>
        <w:t>–</w:t>
      </w:r>
      <w:r w:rsidR="00F31346">
        <w:rPr>
          <w:sz w:val="24"/>
          <w:szCs w:val="24"/>
        </w:rPr>
        <w:t>0.828</w:t>
      </w:r>
      <w:r w:rsidR="0016380E">
        <w:rPr>
          <w:sz w:val="24"/>
          <w:szCs w:val="24"/>
        </w:rPr>
        <w:t xml:space="preserve"> thousand tonnes </w:t>
      </w:r>
      <w:r w:rsidR="00265733">
        <w:rPr>
          <w:sz w:val="24"/>
          <w:szCs w:val="24"/>
        </w:rPr>
        <w:t>and 0.</w:t>
      </w:r>
      <w:r w:rsidR="00F31346">
        <w:rPr>
          <w:sz w:val="24"/>
          <w:szCs w:val="24"/>
        </w:rPr>
        <w:t xml:space="preserve">732 </w:t>
      </w:r>
      <w:r w:rsidR="00265733">
        <w:rPr>
          <w:sz w:val="24"/>
          <w:szCs w:val="24"/>
        </w:rPr>
        <w:t>–</w:t>
      </w:r>
      <w:r w:rsidR="00F31346">
        <w:rPr>
          <w:sz w:val="24"/>
          <w:szCs w:val="24"/>
        </w:rPr>
        <w:t>0.758</w:t>
      </w:r>
      <w:r w:rsidR="00265733">
        <w:rPr>
          <w:sz w:val="24"/>
          <w:szCs w:val="24"/>
        </w:rPr>
        <w:t xml:space="preserve"> thousand tonnes for WAG for the </w:t>
      </w:r>
      <w:r w:rsidR="00F31346">
        <w:rPr>
          <w:sz w:val="24"/>
          <w:szCs w:val="24"/>
        </w:rPr>
        <w:t xml:space="preserve">two </w:t>
      </w:r>
      <w:r w:rsidR="00265733">
        <w:rPr>
          <w:sz w:val="24"/>
          <w:szCs w:val="24"/>
        </w:rPr>
        <w:t xml:space="preserve">scenarios. </w:t>
      </w:r>
      <w:r w:rsidR="00B86804">
        <w:rPr>
          <w:sz w:val="24"/>
          <w:szCs w:val="24"/>
        </w:rPr>
        <w:t xml:space="preserve">The </w:t>
      </w:r>
      <w:r w:rsidR="00B86804" w:rsidRPr="00D3253E">
        <w:rPr>
          <w:i/>
          <w:sz w:val="24"/>
          <w:szCs w:val="24"/>
        </w:rPr>
        <w:sym w:font="Symbol" w:char="F067"/>
      </w:r>
      <w:r w:rsidR="00B86804">
        <w:rPr>
          <w:sz w:val="24"/>
          <w:szCs w:val="24"/>
        </w:rPr>
        <w:t xml:space="preserve"> </w:t>
      </w:r>
      <w:r w:rsidR="007B73CF">
        <w:rPr>
          <w:sz w:val="24"/>
          <w:szCs w:val="24"/>
        </w:rPr>
        <w:t xml:space="preserve">value </w:t>
      </w:r>
      <w:r w:rsidR="00B86804">
        <w:rPr>
          <w:sz w:val="24"/>
          <w:szCs w:val="24"/>
        </w:rPr>
        <w:t xml:space="preserve">was set to 1 and an </w:t>
      </w:r>
      <w:r w:rsidR="00B86804" w:rsidRPr="000E0EFF">
        <w:rPr>
          <w:i/>
          <w:sz w:val="24"/>
          <w:szCs w:val="24"/>
        </w:rPr>
        <w:t>M</w:t>
      </w:r>
      <w:r w:rsidR="00B86804">
        <w:rPr>
          <w:sz w:val="24"/>
          <w:szCs w:val="24"/>
        </w:rPr>
        <w:t xml:space="preserve"> value of 0.18 was used for </w:t>
      </w:r>
      <w:r w:rsidR="00B86804" w:rsidRPr="000E0EFF">
        <w:rPr>
          <w:i/>
          <w:sz w:val="24"/>
          <w:szCs w:val="24"/>
        </w:rPr>
        <w:t>OFL</w:t>
      </w:r>
      <w:r w:rsidR="00B86804">
        <w:rPr>
          <w:sz w:val="24"/>
          <w:szCs w:val="24"/>
        </w:rPr>
        <w:t xml:space="preserve"> calculation.</w:t>
      </w:r>
    </w:p>
    <w:p w:rsidR="00DE7C3E" w:rsidRDefault="00DE7C3E" w:rsidP="00321631">
      <w:pPr>
        <w:pStyle w:val="BodyText"/>
        <w:spacing w:line="360" w:lineRule="auto"/>
        <w:ind w:left="720"/>
        <w:rPr>
          <w:sz w:val="24"/>
          <w:szCs w:val="24"/>
        </w:rPr>
      </w:pPr>
    </w:p>
    <w:p w:rsidR="00B86804" w:rsidRDefault="002D7FD2" w:rsidP="00321631">
      <w:pPr>
        <w:pStyle w:val="BodyText"/>
        <w:spacing w:line="360" w:lineRule="auto"/>
        <w:ind w:left="720"/>
        <w:rPr>
          <w:sz w:val="24"/>
          <w:szCs w:val="24"/>
        </w:rPr>
      </w:pPr>
      <w:r>
        <w:rPr>
          <w:sz w:val="24"/>
          <w:szCs w:val="24"/>
        </w:rPr>
        <w:t xml:space="preserve">We estimated the total catch OFL under </w:t>
      </w:r>
      <w:r w:rsidR="00417A5F">
        <w:rPr>
          <w:sz w:val="24"/>
          <w:szCs w:val="24"/>
        </w:rPr>
        <w:t xml:space="preserve">two </w:t>
      </w:r>
      <w:r w:rsidR="00D40002">
        <w:rPr>
          <w:sz w:val="24"/>
          <w:szCs w:val="24"/>
        </w:rPr>
        <w:t>s</w:t>
      </w:r>
      <w:r>
        <w:rPr>
          <w:sz w:val="24"/>
          <w:szCs w:val="24"/>
        </w:rPr>
        <w:t xml:space="preserve">cenarios for EAG </w:t>
      </w:r>
      <w:r w:rsidR="0016380E">
        <w:rPr>
          <w:sz w:val="24"/>
          <w:szCs w:val="24"/>
        </w:rPr>
        <w:t xml:space="preserve">and WAG </w:t>
      </w:r>
      <w:r>
        <w:rPr>
          <w:sz w:val="24"/>
          <w:szCs w:val="24"/>
        </w:rPr>
        <w:t>(</w:t>
      </w:r>
      <w:r w:rsidR="0016380E">
        <w:rPr>
          <w:sz w:val="24"/>
          <w:szCs w:val="24"/>
        </w:rPr>
        <w:t>Tables in the Executive Summary</w:t>
      </w:r>
      <w:r w:rsidR="00D40002">
        <w:rPr>
          <w:sz w:val="24"/>
          <w:szCs w:val="24"/>
        </w:rPr>
        <w:t>)</w:t>
      </w:r>
      <w:r>
        <w:rPr>
          <w:sz w:val="24"/>
          <w:szCs w:val="24"/>
        </w:rPr>
        <w:t xml:space="preserve">. The estimates are similar for </w:t>
      </w:r>
      <w:r w:rsidR="00417A5F">
        <w:rPr>
          <w:sz w:val="24"/>
          <w:szCs w:val="24"/>
        </w:rPr>
        <w:t xml:space="preserve">the two </w:t>
      </w:r>
      <w:r w:rsidR="00966825">
        <w:rPr>
          <w:sz w:val="24"/>
          <w:szCs w:val="24"/>
        </w:rPr>
        <w:t>s</w:t>
      </w:r>
      <w:r>
        <w:rPr>
          <w:sz w:val="24"/>
          <w:szCs w:val="24"/>
        </w:rPr>
        <w:t xml:space="preserve">cenarios indicating stability of the overall model structure. </w:t>
      </w:r>
    </w:p>
    <w:p w:rsidR="00884CF4" w:rsidRDefault="00B86804" w:rsidP="007C3C7A">
      <w:pPr>
        <w:pStyle w:val="BodyText"/>
        <w:numPr>
          <w:ilvl w:val="0"/>
          <w:numId w:val="12"/>
        </w:numPr>
        <w:spacing w:line="360" w:lineRule="auto"/>
        <w:rPr>
          <w:sz w:val="24"/>
          <w:szCs w:val="24"/>
        </w:rPr>
      </w:pPr>
      <w:r>
        <w:rPr>
          <w:sz w:val="24"/>
          <w:szCs w:val="24"/>
        </w:rPr>
        <w:t xml:space="preserve">Specification of the retained catch portion of the total catch </w:t>
      </w:r>
      <w:r w:rsidR="002E1D80">
        <w:rPr>
          <w:sz w:val="24"/>
          <w:szCs w:val="24"/>
        </w:rPr>
        <w:t>OFL:</w:t>
      </w:r>
      <w:r w:rsidR="00884CF4">
        <w:rPr>
          <w:sz w:val="24"/>
          <w:szCs w:val="24"/>
        </w:rPr>
        <w:t xml:space="preserve"> </w:t>
      </w:r>
    </w:p>
    <w:p w:rsidR="00B86804" w:rsidRDefault="00B86804" w:rsidP="00B86804">
      <w:pPr>
        <w:pStyle w:val="BodyText"/>
        <w:spacing w:line="360" w:lineRule="auto"/>
        <w:ind w:left="720"/>
        <w:rPr>
          <w:sz w:val="24"/>
          <w:szCs w:val="24"/>
        </w:rPr>
      </w:pPr>
      <w:r>
        <w:rPr>
          <w:sz w:val="24"/>
          <w:szCs w:val="24"/>
        </w:rPr>
        <w:t xml:space="preserve">We applied the </w:t>
      </w:r>
      <w:r w:rsidRPr="00B86804">
        <w:rPr>
          <w:i/>
          <w:sz w:val="24"/>
          <w:szCs w:val="24"/>
        </w:rPr>
        <w:t>F</w:t>
      </w:r>
      <w:r w:rsidRPr="00B86804">
        <w:rPr>
          <w:i/>
          <w:sz w:val="24"/>
          <w:szCs w:val="24"/>
          <w:vertAlign w:val="subscript"/>
        </w:rPr>
        <w:t>OFL</w:t>
      </w:r>
      <w:r>
        <w:rPr>
          <w:sz w:val="24"/>
          <w:szCs w:val="24"/>
        </w:rPr>
        <w:t xml:space="preserve"> with retained selectivity to calculate the retained catch portion of the total catch OFL. Th</w:t>
      </w:r>
      <w:r w:rsidR="00AB4FF3">
        <w:rPr>
          <w:sz w:val="24"/>
          <w:szCs w:val="24"/>
        </w:rPr>
        <w:t>e</w:t>
      </w:r>
      <w:r w:rsidR="0016380E">
        <w:rPr>
          <w:sz w:val="24"/>
          <w:szCs w:val="24"/>
        </w:rPr>
        <w:t xml:space="preserve"> retained catch OFL</w:t>
      </w:r>
      <w:r w:rsidR="001F649C">
        <w:rPr>
          <w:sz w:val="24"/>
          <w:szCs w:val="24"/>
        </w:rPr>
        <w:t>s</w:t>
      </w:r>
      <w:r w:rsidR="0016380E">
        <w:rPr>
          <w:sz w:val="24"/>
          <w:szCs w:val="24"/>
        </w:rPr>
        <w:t xml:space="preserve"> for EAG w</w:t>
      </w:r>
      <w:r w:rsidR="001F649C">
        <w:rPr>
          <w:sz w:val="24"/>
          <w:szCs w:val="24"/>
        </w:rPr>
        <w:t>ere</w:t>
      </w:r>
      <w:r>
        <w:rPr>
          <w:sz w:val="24"/>
          <w:szCs w:val="24"/>
        </w:rPr>
        <w:t xml:space="preserve"> </w:t>
      </w:r>
      <w:r w:rsidR="00417A5F">
        <w:rPr>
          <w:sz w:val="24"/>
          <w:szCs w:val="24"/>
        </w:rPr>
        <w:t xml:space="preserve">786t </w:t>
      </w:r>
      <w:r w:rsidR="00D40002">
        <w:rPr>
          <w:sz w:val="24"/>
          <w:szCs w:val="24"/>
        </w:rPr>
        <w:t xml:space="preserve">for scenario 1 and </w:t>
      </w:r>
      <w:r w:rsidR="00417A5F">
        <w:rPr>
          <w:sz w:val="24"/>
          <w:szCs w:val="24"/>
        </w:rPr>
        <w:t xml:space="preserve">707t </w:t>
      </w:r>
      <w:r w:rsidR="009F5835">
        <w:rPr>
          <w:sz w:val="24"/>
          <w:szCs w:val="24"/>
        </w:rPr>
        <w:t xml:space="preserve">for scenario 2 </w:t>
      </w:r>
      <w:r w:rsidR="0016380E">
        <w:rPr>
          <w:sz w:val="24"/>
          <w:szCs w:val="24"/>
        </w:rPr>
        <w:t xml:space="preserve">and </w:t>
      </w:r>
      <w:r w:rsidR="00AB4FF3">
        <w:rPr>
          <w:sz w:val="24"/>
          <w:szCs w:val="24"/>
        </w:rPr>
        <w:t xml:space="preserve">that for WAG </w:t>
      </w:r>
      <w:r w:rsidR="0016380E">
        <w:rPr>
          <w:sz w:val="24"/>
          <w:szCs w:val="24"/>
        </w:rPr>
        <w:t>w</w:t>
      </w:r>
      <w:r w:rsidR="001F649C">
        <w:rPr>
          <w:sz w:val="24"/>
          <w:szCs w:val="24"/>
        </w:rPr>
        <w:t>ere</w:t>
      </w:r>
      <w:r w:rsidR="0016380E">
        <w:rPr>
          <w:sz w:val="24"/>
          <w:szCs w:val="24"/>
        </w:rPr>
        <w:t xml:space="preserve"> </w:t>
      </w:r>
      <w:r w:rsidR="00417A5F">
        <w:rPr>
          <w:sz w:val="24"/>
          <w:szCs w:val="24"/>
        </w:rPr>
        <w:t xml:space="preserve">710t </w:t>
      </w:r>
      <w:r w:rsidR="0016380E">
        <w:rPr>
          <w:sz w:val="24"/>
          <w:szCs w:val="24"/>
        </w:rPr>
        <w:t xml:space="preserve">for </w:t>
      </w:r>
      <w:r w:rsidR="009F5835">
        <w:rPr>
          <w:sz w:val="24"/>
          <w:szCs w:val="24"/>
        </w:rPr>
        <w:t xml:space="preserve">scenario 1 and </w:t>
      </w:r>
      <w:r w:rsidR="00923995">
        <w:rPr>
          <w:sz w:val="24"/>
          <w:szCs w:val="24"/>
        </w:rPr>
        <w:t xml:space="preserve">687t </w:t>
      </w:r>
      <w:r w:rsidR="009F5835">
        <w:rPr>
          <w:sz w:val="24"/>
          <w:szCs w:val="24"/>
        </w:rPr>
        <w:t>for scenario 2</w:t>
      </w:r>
      <w:r w:rsidR="00AB4FF3">
        <w:rPr>
          <w:sz w:val="24"/>
          <w:szCs w:val="24"/>
        </w:rPr>
        <w:t>, respectively</w:t>
      </w:r>
      <w:r>
        <w:rPr>
          <w:sz w:val="24"/>
          <w:szCs w:val="24"/>
        </w:rPr>
        <w:t>.</w:t>
      </w:r>
    </w:p>
    <w:p w:rsidR="00B86804" w:rsidRDefault="00B86804" w:rsidP="007C3C7A">
      <w:pPr>
        <w:pStyle w:val="BodyText"/>
        <w:numPr>
          <w:ilvl w:val="0"/>
          <w:numId w:val="12"/>
        </w:numPr>
        <w:spacing w:line="360" w:lineRule="auto"/>
        <w:rPr>
          <w:sz w:val="24"/>
          <w:szCs w:val="24"/>
        </w:rPr>
      </w:pPr>
      <w:r>
        <w:rPr>
          <w:sz w:val="24"/>
          <w:szCs w:val="24"/>
        </w:rPr>
        <w:t xml:space="preserve">Recommendation for </w:t>
      </w:r>
      <w:r w:rsidRPr="00047252">
        <w:rPr>
          <w:i/>
          <w:sz w:val="24"/>
          <w:szCs w:val="24"/>
        </w:rPr>
        <w:t>F</w:t>
      </w:r>
      <w:r w:rsidRPr="00047252">
        <w:rPr>
          <w:i/>
          <w:sz w:val="24"/>
          <w:szCs w:val="24"/>
          <w:vertAlign w:val="subscript"/>
        </w:rPr>
        <w:t>OFL</w:t>
      </w:r>
      <w:r>
        <w:rPr>
          <w:sz w:val="24"/>
          <w:szCs w:val="24"/>
        </w:rPr>
        <w:t>, OFL total catch, and the retained catch portion of the OFL for coming year:</w:t>
      </w:r>
      <w:r w:rsidR="00923995">
        <w:rPr>
          <w:sz w:val="24"/>
          <w:szCs w:val="24"/>
        </w:rPr>
        <w:t xml:space="preserve"> </w:t>
      </w:r>
    </w:p>
    <w:p w:rsidR="00923995" w:rsidRDefault="00923995" w:rsidP="00923995">
      <w:pPr>
        <w:pStyle w:val="BodyText"/>
        <w:spacing w:line="360" w:lineRule="auto"/>
        <w:ind w:left="720"/>
        <w:rPr>
          <w:sz w:val="24"/>
          <w:szCs w:val="24"/>
        </w:rPr>
      </w:pPr>
      <w:r>
        <w:rPr>
          <w:sz w:val="24"/>
          <w:szCs w:val="24"/>
        </w:rPr>
        <w:t>EAG: F</w:t>
      </w:r>
      <w:r w:rsidRPr="00796A50">
        <w:rPr>
          <w:sz w:val="24"/>
          <w:szCs w:val="24"/>
          <w:vertAlign w:val="subscript"/>
        </w:rPr>
        <w:t>OFL</w:t>
      </w:r>
      <w:r>
        <w:rPr>
          <w:sz w:val="24"/>
          <w:szCs w:val="24"/>
        </w:rPr>
        <w:t xml:space="preserve"> = 0.18; OFL total catch = 828t , retained catch portion of the OFL = 786t (under scenario 1).</w:t>
      </w:r>
    </w:p>
    <w:p w:rsidR="00923995" w:rsidRDefault="00923995" w:rsidP="00923995">
      <w:pPr>
        <w:pStyle w:val="BodyText"/>
        <w:spacing w:line="360" w:lineRule="auto"/>
        <w:ind w:left="720"/>
        <w:rPr>
          <w:sz w:val="24"/>
          <w:szCs w:val="24"/>
        </w:rPr>
      </w:pPr>
      <w:r>
        <w:rPr>
          <w:sz w:val="24"/>
          <w:szCs w:val="24"/>
        </w:rPr>
        <w:t>WAG: F</w:t>
      </w:r>
      <w:r w:rsidRPr="00796A50">
        <w:rPr>
          <w:sz w:val="24"/>
          <w:szCs w:val="24"/>
          <w:vertAlign w:val="subscript"/>
        </w:rPr>
        <w:t>OFL</w:t>
      </w:r>
      <w:r>
        <w:rPr>
          <w:sz w:val="24"/>
          <w:szCs w:val="24"/>
        </w:rPr>
        <w:t xml:space="preserve"> = 0.18; OFL total catch = 758t; retained catch portion of the OFL = 710t (under scenario 1).</w:t>
      </w:r>
    </w:p>
    <w:p w:rsidR="00C86259" w:rsidRDefault="00C86259" w:rsidP="00C86259">
      <w:pPr>
        <w:pStyle w:val="BodyText"/>
        <w:spacing w:line="360" w:lineRule="auto"/>
        <w:ind w:left="360"/>
        <w:jc w:val="both"/>
        <w:rPr>
          <w:sz w:val="24"/>
          <w:szCs w:val="24"/>
        </w:rPr>
      </w:pPr>
      <w:r>
        <w:rPr>
          <w:sz w:val="24"/>
          <w:szCs w:val="24"/>
        </w:rPr>
        <w:t xml:space="preserve"> </w:t>
      </w:r>
      <w:r w:rsidR="008A6272" w:rsidRPr="008A6272">
        <w:rPr>
          <w:sz w:val="24"/>
          <w:szCs w:val="24"/>
        </w:rPr>
        <w:t xml:space="preserve">  </w:t>
      </w:r>
    </w:p>
    <w:p w:rsidR="00971552" w:rsidRPr="00EF775C" w:rsidRDefault="00971552" w:rsidP="007C3C7A">
      <w:pPr>
        <w:pStyle w:val="ListParagraph"/>
        <w:numPr>
          <w:ilvl w:val="0"/>
          <w:numId w:val="2"/>
        </w:numPr>
        <w:spacing w:line="360" w:lineRule="auto"/>
        <w:rPr>
          <w:rFonts w:ascii="Arial" w:hAnsi="Arial"/>
          <w:b/>
          <w:i/>
          <w:sz w:val="28"/>
          <w:szCs w:val="24"/>
        </w:rPr>
      </w:pPr>
      <w:r w:rsidRPr="00EF775C">
        <w:rPr>
          <w:rFonts w:ascii="Arial" w:hAnsi="Arial"/>
          <w:b/>
          <w:i/>
          <w:sz w:val="28"/>
          <w:szCs w:val="24"/>
        </w:rPr>
        <w:lastRenderedPageBreak/>
        <w:t>Calculation of the ABC</w:t>
      </w:r>
    </w:p>
    <w:p w:rsidR="00971552" w:rsidRDefault="00971552" w:rsidP="007C3C7A">
      <w:pPr>
        <w:pStyle w:val="BodyText"/>
        <w:numPr>
          <w:ilvl w:val="0"/>
          <w:numId w:val="9"/>
        </w:numPr>
        <w:spacing w:line="360" w:lineRule="auto"/>
        <w:rPr>
          <w:sz w:val="24"/>
          <w:szCs w:val="24"/>
        </w:rPr>
      </w:pPr>
      <w:r>
        <w:rPr>
          <w:sz w:val="24"/>
          <w:szCs w:val="24"/>
        </w:rPr>
        <w:t>Specification of the probability distribution of the total catch OFL:</w:t>
      </w:r>
    </w:p>
    <w:p w:rsidR="00601024" w:rsidRDefault="00971552" w:rsidP="00971552">
      <w:pPr>
        <w:pStyle w:val="BodyText"/>
        <w:spacing w:line="360" w:lineRule="auto"/>
        <w:ind w:left="720"/>
        <w:rPr>
          <w:sz w:val="24"/>
          <w:szCs w:val="24"/>
        </w:rPr>
      </w:pPr>
      <w:r w:rsidRPr="006A07E6">
        <w:rPr>
          <w:sz w:val="24"/>
          <w:szCs w:val="24"/>
        </w:rPr>
        <w:t xml:space="preserve">We estimated the </w:t>
      </w:r>
      <w:r w:rsidR="00C04EC7" w:rsidRPr="006A07E6">
        <w:rPr>
          <w:sz w:val="24"/>
          <w:szCs w:val="24"/>
        </w:rPr>
        <w:t xml:space="preserve">cumulative probability </w:t>
      </w:r>
      <w:r w:rsidR="006A07E6">
        <w:rPr>
          <w:sz w:val="24"/>
          <w:szCs w:val="24"/>
        </w:rPr>
        <w:t xml:space="preserve">distribution of </w:t>
      </w:r>
      <w:r w:rsidRPr="006A07E6">
        <w:rPr>
          <w:sz w:val="24"/>
          <w:szCs w:val="24"/>
        </w:rPr>
        <w:t xml:space="preserve">OFL </w:t>
      </w:r>
      <w:r w:rsidR="00C04EC7" w:rsidRPr="006A07E6">
        <w:rPr>
          <w:sz w:val="24"/>
          <w:szCs w:val="24"/>
        </w:rPr>
        <w:t>assumin</w:t>
      </w:r>
      <w:r w:rsidR="008B3F97" w:rsidRPr="006A07E6">
        <w:rPr>
          <w:sz w:val="24"/>
          <w:szCs w:val="24"/>
        </w:rPr>
        <w:t xml:space="preserve">g </w:t>
      </w:r>
      <w:r w:rsidR="00786066" w:rsidRPr="006A07E6">
        <w:rPr>
          <w:sz w:val="24"/>
          <w:szCs w:val="24"/>
        </w:rPr>
        <w:t xml:space="preserve">a </w:t>
      </w:r>
      <w:r w:rsidR="008B3F97" w:rsidRPr="006A07E6">
        <w:rPr>
          <w:sz w:val="24"/>
          <w:szCs w:val="24"/>
        </w:rPr>
        <w:t>log normal distribution</w:t>
      </w:r>
      <w:r w:rsidR="006A07E6">
        <w:rPr>
          <w:sz w:val="24"/>
          <w:szCs w:val="24"/>
        </w:rPr>
        <w:t xml:space="preserve"> of OFL</w:t>
      </w:r>
      <w:r w:rsidRPr="006A07E6">
        <w:rPr>
          <w:sz w:val="24"/>
          <w:szCs w:val="24"/>
        </w:rPr>
        <w:t>.</w:t>
      </w:r>
      <w:r>
        <w:rPr>
          <w:sz w:val="24"/>
          <w:szCs w:val="24"/>
        </w:rPr>
        <w:t xml:space="preserve"> </w:t>
      </w:r>
      <w:r w:rsidR="00C04EC7">
        <w:rPr>
          <w:sz w:val="24"/>
          <w:szCs w:val="24"/>
        </w:rPr>
        <w:t xml:space="preserve">We </w:t>
      </w:r>
      <w:r>
        <w:rPr>
          <w:sz w:val="24"/>
          <w:szCs w:val="24"/>
        </w:rPr>
        <w:t xml:space="preserve">calculated the </w:t>
      </w:r>
      <w:r w:rsidR="006A07E6">
        <w:rPr>
          <w:sz w:val="24"/>
          <w:szCs w:val="24"/>
        </w:rPr>
        <w:t xml:space="preserve">OFL at the 0.5 probability and the ABC at the 0.49 probability. </w:t>
      </w:r>
      <w:r w:rsidR="0016380E">
        <w:rPr>
          <w:sz w:val="24"/>
          <w:szCs w:val="24"/>
        </w:rPr>
        <w:t xml:space="preserve"> The </w:t>
      </w:r>
      <w:r w:rsidR="00C04EC7">
        <w:rPr>
          <w:sz w:val="24"/>
          <w:szCs w:val="24"/>
        </w:rPr>
        <w:t xml:space="preserve">ABC </w:t>
      </w:r>
      <w:r w:rsidR="00BA0230">
        <w:rPr>
          <w:sz w:val="24"/>
          <w:szCs w:val="24"/>
        </w:rPr>
        <w:t>estimate</w:t>
      </w:r>
      <w:r w:rsidR="004D3F45">
        <w:rPr>
          <w:sz w:val="24"/>
          <w:szCs w:val="24"/>
        </w:rPr>
        <w:t xml:space="preserve"> </w:t>
      </w:r>
      <w:r w:rsidR="0016380E">
        <w:rPr>
          <w:sz w:val="24"/>
          <w:szCs w:val="24"/>
        </w:rPr>
        <w:t xml:space="preserve">varied </w:t>
      </w:r>
      <w:r w:rsidR="004D3F45">
        <w:rPr>
          <w:sz w:val="24"/>
          <w:szCs w:val="24"/>
        </w:rPr>
        <w:t xml:space="preserve">for different scenarios, </w:t>
      </w:r>
      <w:r w:rsidR="001F649C">
        <w:rPr>
          <w:sz w:val="24"/>
          <w:szCs w:val="24"/>
        </w:rPr>
        <w:t>0.</w:t>
      </w:r>
      <w:r w:rsidR="00796A50">
        <w:rPr>
          <w:sz w:val="24"/>
          <w:szCs w:val="24"/>
        </w:rPr>
        <w:t>743</w:t>
      </w:r>
      <w:r w:rsidR="00DF2A74">
        <w:rPr>
          <w:sz w:val="24"/>
          <w:szCs w:val="24"/>
        </w:rPr>
        <w:t>–</w:t>
      </w:r>
      <w:r w:rsidR="00796A50">
        <w:rPr>
          <w:sz w:val="24"/>
          <w:szCs w:val="24"/>
        </w:rPr>
        <w:t>0.823</w:t>
      </w:r>
      <w:r w:rsidR="004D3F45">
        <w:rPr>
          <w:sz w:val="24"/>
          <w:szCs w:val="24"/>
        </w:rPr>
        <w:t xml:space="preserve"> thousand tonnes for EAG </w:t>
      </w:r>
      <w:r w:rsidR="001F649C">
        <w:rPr>
          <w:sz w:val="24"/>
          <w:szCs w:val="24"/>
        </w:rPr>
        <w:t>and 0.</w:t>
      </w:r>
      <w:r w:rsidR="00796A50">
        <w:rPr>
          <w:sz w:val="24"/>
          <w:szCs w:val="24"/>
        </w:rPr>
        <w:t>728</w:t>
      </w:r>
      <w:r w:rsidR="00DF2A74">
        <w:rPr>
          <w:sz w:val="24"/>
          <w:szCs w:val="24"/>
        </w:rPr>
        <w:t>–</w:t>
      </w:r>
      <w:r w:rsidR="00796A50">
        <w:rPr>
          <w:sz w:val="24"/>
          <w:szCs w:val="24"/>
        </w:rPr>
        <w:t>0.754</w:t>
      </w:r>
      <w:r w:rsidR="0016380E">
        <w:rPr>
          <w:sz w:val="24"/>
          <w:szCs w:val="24"/>
        </w:rPr>
        <w:t xml:space="preserve"> thousand tonnes for WAG for the </w:t>
      </w:r>
      <w:r w:rsidR="00796A50">
        <w:rPr>
          <w:sz w:val="24"/>
          <w:szCs w:val="24"/>
        </w:rPr>
        <w:t xml:space="preserve">two </w:t>
      </w:r>
      <w:r w:rsidR="0016380E">
        <w:rPr>
          <w:sz w:val="24"/>
          <w:szCs w:val="24"/>
        </w:rPr>
        <w:t>scenarios</w:t>
      </w:r>
      <w:r w:rsidR="001F649C">
        <w:rPr>
          <w:sz w:val="24"/>
          <w:szCs w:val="24"/>
        </w:rPr>
        <w:t xml:space="preserve"> (see Tables in the executive summary)</w:t>
      </w:r>
      <w:r w:rsidR="0016380E">
        <w:rPr>
          <w:sz w:val="24"/>
          <w:szCs w:val="24"/>
        </w:rPr>
        <w:t xml:space="preserve">. </w:t>
      </w:r>
    </w:p>
    <w:p w:rsidR="00082679" w:rsidRPr="00CA5405" w:rsidRDefault="00082679" w:rsidP="00082679">
      <w:pPr>
        <w:pStyle w:val="BodyText"/>
        <w:spacing w:line="360" w:lineRule="auto"/>
        <w:ind w:left="1080"/>
        <w:jc w:val="both"/>
        <w:rPr>
          <w:sz w:val="32"/>
          <w:szCs w:val="32"/>
        </w:rPr>
      </w:pPr>
    </w:p>
    <w:p w:rsidR="00082679" w:rsidRPr="00EF775C" w:rsidRDefault="00082679" w:rsidP="007C3C7A">
      <w:pPr>
        <w:pStyle w:val="ListParagraph"/>
        <w:numPr>
          <w:ilvl w:val="0"/>
          <w:numId w:val="2"/>
        </w:numPr>
        <w:spacing w:line="360" w:lineRule="auto"/>
        <w:rPr>
          <w:rFonts w:ascii="Arial" w:hAnsi="Arial"/>
          <w:b/>
          <w:i/>
          <w:sz w:val="28"/>
          <w:szCs w:val="24"/>
        </w:rPr>
      </w:pPr>
      <w:r w:rsidRPr="00EF775C">
        <w:rPr>
          <w:rFonts w:ascii="Arial" w:hAnsi="Arial"/>
          <w:b/>
          <w:i/>
          <w:sz w:val="28"/>
          <w:szCs w:val="24"/>
        </w:rPr>
        <w:t>Rebuilding Analysis</w:t>
      </w:r>
    </w:p>
    <w:p w:rsidR="00082679" w:rsidRDefault="00082679" w:rsidP="00082679">
      <w:pPr>
        <w:pStyle w:val="BodyText"/>
        <w:spacing w:line="360" w:lineRule="auto"/>
        <w:ind w:left="720"/>
        <w:rPr>
          <w:sz w:val="24"/>
          <w:szCs w:val="24"/>
        </w:rPr>
      </w:pPr>
      <w:r>
        <w:rPr>
          <w:sz w:val="24"/>
          <w:szCs w:val="24"/>
        </w:rPr>
        <w:t xml:space="preserve"> Not applicable.</w:t>
      </w:r>
    </w:p>
    <w:p w:rsidR="00082679" w:rsidRDefault="00082679" w:rsidP="00082679">
      <w:pPr>
        <w:pStyle w:val="BodyText"/>
        <w:spacing w:line="360" w:lineRule="auto"/>
        <w:ind w:left="720"/>
        <w:rPr>
          <w:sz w:val="24"/>
          <w:szCs w:val="24"/>
        </w:rPr>
      </w:pPr>
    </w:p>
    <w:p w:rsidR="00082679" w:rsidRPr="00EF775C" w:rsidRDefault="00082679" w:rsidP="007C3C7A">
      <w:pPr>
        <w:pStyle w:val="ListParagraph"/>
        <w:numPr>
          <w:ilvl w:val="0"/>
          <w:numId w:val="2"/>
        </w:numPr>
        <w:spacing w:line="360" w:lineRule="auto"/>
        <w:rPr>
          <w:rFonts w:ascii="Arial" w:hAnsi="Arial"/>
          <w:b/>
          <w:i/>
          <w:sz w:val="28"/>
          <w:szCs w:val="24"/>
        </w:rPr>
      </w:pPr>
      <w:r w:rsidRPr="00EF775C">
        <w:rPr>
          <w:rFonts w:ascii="Arial" w:hAnsi="Arial"/>
          <w:b/>
          <w:i/>
          <w:sz w:val="28"/>
          <w:szCs w:val="24"/>
        </w:rPr>
        <w:t>Data Gaps and research Priorities</w:t>
      </w:r>
    </w:p>
    <w:p w:rsidR="00082679" w:rsidRPr="001F083A" w:rsidRDefault="00082679" w:rsidP="007C3C7A">
      <w:pPr>
        <w:pStyle w:val="BodyText"/>
        <w:numPr>
          <w:ilvl w:val="0"/>
          <w:numId w:val="10"/>
        </w:numPr>
        <w:spacing w:line="360" w:lineRule="auto"/>
        <w:rPr>
          <w:sz w:val="24"/>
          <w:szCs w:val="24"/>
        </w:rPr>
      </w:pPr>
      <w:r>
        <w:rPr>
          <w:sz w:val="24"/>
          <w:szCs w:val="24"/>
        </w:rPr>
        <w:t xml:space="preserve">The recruit abundances were estimated from commercial catch sampling data. The implicit assumption in the analysis was that the </w:t>
      </w:r>
      <w:r w:rsidR="006E1D46">
        <w:rPr>
          <w:sz w:val="24"/>
          <w:szCs w:val="24"/>
        </w:rPr>
        <w:t>estimated recruits co</w:t>
      </w:r>
      <w:r w:rsidRPr="001F083A">
        <w:rPr>
          <w:sz w:val="24"/>
          <w:szCs w:val="24"/>
        </w:rPr>
        <w:t>me</w:t>
      </w:r>
      <w:r w:rsidR="006E1D46">
        <w:rPr>
          <w:sz w:val="24"/>
          <w:szCs w:val="24"/>
        </w:rPr>
        <w:t xml:space="preserve"> solely</w:t>
      </w:r>
      <w:r w:rsidRPr="001F083A">
        <w:rPr>
          <w:sz w:val="24"/>
          <w:szCs w:val="24"/>
        </w:rPr>
        <w:t xml:space="preserve"> from the same exploited stock through growth and mortality. </w:t>
      </w:r>
      <w:r w:rsidR="006E1D46">
        <w:rPr>
          <w:sz w:val="24"/>
          <w:szCs w:val="24"/>
        </w:rPr>
        <w:t>While it p</w:t>
      </w:r>
      <w:r w:rsidR="00A554EF">
        <w:rPr>
          <w:sz w:val="24"/>
          <w:szCs w:val="24"/>
        </w:rPr>
        <w:t>ossib</w:t>
      </w:r>
      <w:r w:rsidR="006E1D46">
        <w:rPr>
          <w:sz w:val="24"/>
          <w:szCs w:val="24"/>
        </w:rPr>
        <w:t>le</w:t>
      </w:r>
      <w:r w:rsidRPr="001F083A">
        <w:rPr>
          <w:sz w:val="24"/>
          <w:szCs w:val="24"/>
        </w:rPr>
        <w:t xml:space="preserve"> </w:t>
      </w:r>
      <w:r w:rsidR="006E1D46">
        <w:rPr>
          <w:sz w:val="24"/>
          <w:szCs w:val="24"/>
        </w:rPr>
        <w:t>that additional recruitment occur</w:t>
      </w:r>
      <w:r w:rsidR="00A554EF">
        <w:rPr>
          <w:sz w:val="24"/>
          <w:szCs w:val="24"/>
        </w:rPr>
        <w:t>s</w:t>
      </w:r>
      <w:r w:rsidR="006E1D46">
        <w:rPr>
          <w:sz w:val="24"/>
          <w:szCs w:val="24"/>
        </w:rPr>
        <w:t xml:space="preserve"> through </w:t>
      </w:r>
      <w:r w:rsidRPr="001F083A">
        <w:rPr>
          <w:sz w:val="24"/>
          <w:szCs w:val="24"/>
        </w:rPr>
        <w:t xml:space="preserve">immigration from neighboring </w:t>
      </w:r>
      <w:r>
        <w:rPr>
          <w:sz w:val="24"/>
          <w:szCs w:val="24"/>
        </w:rPr>
        <w:t>areas and possibly separate sub-stocks</w:t>
      </w:r>
      <w:r w:rsidR="00A554EF">
        <w:rPr>
          <w:sz w:val="24"/>
          <w:szCs w:val="24"/>
        </w:rPr>
        <w:t>,</w:t>
      </w:r>
      <w:r>
        <w:rPr>
          <w:sz w:val="24"/>
          <w:szCs w:val="24"/>
        </w:rPr>
        <w:t xml:space="preserve"> the current </w:t>
      </w:r>
      <w:r w:rsidRPr="001F083A">
        <w:rPr>
          <w:sz w:val="24"/>
          <w:szCs w:val="24"/>
        </w:rPr>
        <w:t xml:space="preserve">analysis did not consider this possibility. </w:t>
      </w:r>
      <w:r>
        <w:rPr>
          <w:sz w:val="24"/>
          <w:szCs w:val="24"/>
        </w:rPr>
        <w:t xml:space="preserve"> Extensive tagging experiments </w:t>
      </w:r>
      <w:r w:rsidR="001F649C">
        <w:rPr>
          <w:sz w:val="24"/>
          <w:szCs w:val="24"/>
        </w:rPr>
        <w:t xml:space="preserve">or </w:t>
      </w:r>
      <w:r w:rsidR="00DE7C3E">
        <w:rPr>
          <w:sz w:val="24"/>
          <w:szCs w:val="24"/>
        </w:rPr>
        <w:t xml:space="preserve">resource </w:t>
      </w:r>
      <w:r w:rsidR="001F649C">
        <w:rPr>
          <w:sz w:val="24"/>
          <w:szCs w:val="24"/>
        </w:rPr>
        <w:t xml:space="preserve">surveys </w:t>
      </w:r>
      <w:r>
        <w:rPr>
          <w:sz w:val="24"/>
          <w:szCs w:val="24"/>
        </w:rPr>
        <w:t xml:space="preserve">are needed to investigate stock distributions. </w:t>
      </w:r>
    </w:p>
    <w:p w:rsidR="00082679" w:rsidRPr="00321631" w:rsidRDefault="00082679" w:rsidP="00082679">
      <w:pPr>
        <w:pStyle w:val="BodyText"/>
        <w:spacing w:line="360" w:lineRule="auto"/>
        <w:ind w:left="720"/>
        <w:rPr>
          <w:sz w:val="24"/>
          <w:szCs w:val="24"/>
        </w:rPr>
      </w:pPr>
    </w:p>
    <w:p w:rsidR="00840F44" w:rsidRDefault="00082679" w:rsidP="007C3C7A">
      <w:pPr>
        <w:pStyle w:val="BodyText"/>
        <w:numPr>
          <w:ilvl w:val="0"/>
          <w:numId w:val="10"/>
        </w:numPr>
        <w:spacing w:line="360" w:lineRule="auto"/>
        <w:rPr>
          <w:sz w:val="24"/>
          <w:szCs w:val="24"/>
        </w:rPr>
      </w:pPr>
      <w:r w:rsidRPr="00082679">
        <w:rPr>
          <w:sz w:val="24"/>
          <w:szCs w:val="24"/>
        </w:rPr>
        <w:t xml:space="preserve">An independent estimate of </w:t>
      </w:r>
      <w:r w:rsidRPr="00840F44">
        <w:rPr>
          <w:i/>
          <w:sz w:val="24"/>
          <w:szCs w:val="24"/>
        </w:rPr>
        <w:t>M</w:t>
      </w:r>
      <w:r w:rsidRPr="00082679">
        <w:rPr>
          <w:sz w:val="24"/>
          <w:szCs w:val="24"/>
        </w:rPr>
        <w:t xml:space="preserve"> is needed for this stock. Tagging is one possibility. </w:t>
      </w:r>
    </w:p>
    <w:p w:rsidR="00840F44" w:rsidRDefault="00840F44" w:rsidP="00840F44">
      <w:pPr>
        <w:pStyle w:val="ListParagraph"/>
        <w:rPr>
          <w:szCs w:val="24"/>
        </w:rPr>
      </w:pPr>
    </w:p>
    <w:p w:rsidR="00082679" w:rsidRDefault="00082679" w:rsidP="007C3C7A">
      <w:pPr>
        <w:pStyle w:val="BodyText"/>
        <w:numPr>
          <w:ilvl w:val="0"/>
          <w:numId w:val="10"/>
        </w:numPr>
        <w:spacing w:line="360" w:lineRule="auto"/>
        <w:rPr>
          <w:sz w:val="24"/>
          <w:szCs w:val="24"/>
        </w:rPr>
      </w:pPr>
      <w:r w:rsidRPr="00082679">
        <w:rPr>
          <w:sz w:val="24"/>
          <w:szCs w:val="24"/>
        </w:rPr>
        <w:t>An extensive tagging study will also provide independent estimates of molting probability and g</w:t>
      </w:r>
      <w:r w:rsidR="00840F44">
        <w:rPr>
          <w:sz w:val="24"/>
          <w:szCs w:val="24"/>
        </w:rPr>
        <w:t>rowth</w:t>
      </w:r>
      <w:r w:rsidRPr="00082679">
        <w:rPr>
          <w:sz w:val="24"/>
          <w:szCs w:val="24"/>
        </w:rPr>
        <w:t xml:space="preserve">. </w:t>
      </w:r>
      <w:r w:rsidR="004D3F45">
        <w:rPr>
          <w:sz w:val="24"/>
          <w:szCs w:val="24"/>
        </w:rPr>
        <w:t>We used the historical tagging data to determine the size transition matrix.</w:t>
      </w:r>
    </w:p>
    <w:p w:rsidR="00840F44" w:rsidRDefault="00840F44" w:rsidP="00840F44">
      <w:pPr>
        <w:pStyle w:val="ListParagraph"/>
        <w:rPr>
          <w:szCs w:val="24"/>
        </w:rPr>
      </w:pPr>
    </w:p>
    <w:p w:rsidR="00840F44" w:rsidRPr="001F083A" w:rsidRDefault="00840F44" w:rsidP="007C3C7A">
      <w:pPr>
        <w:pStyle w:val="BodyText"/>
        <w:numPr>
          <w:ilvl w:val="0"/>
          <w:numId w:val="10"/>
        </w:numPr>
        <w:spacing w:line="360" w:lineRule="auto"/>
        <w:rPr>
          <w:sz w:val="24"/>
          <w:szCs w:val="24"/>
        </w:rPr>
      </w:pPr>
      <w:r>
        <w:rPr>
          <w:sz w:val="24"/>
          <w:szCs w:val="24"/>
        </w:rPr>
        <w:t>A</w:t>
      </w:r>
      <w:r w:rsidRPr="001F083A">
        <w:rPr>
          <w:sz w:val="24"/>
          <w:szCs w:val="24"/>
        </w:rPr>
        <w:t>n arbitrary 20% handling mortality rate on discarded males</w:t>
      </w:r>
      <w:r>
        <w:rPr>
          <w:sz w:val="24"/>
          <w:szCs w:val="24"/>
        </w:rPr>
        <w:t xml:space="preserve"> was used</w:t>
      </w:r>
      <w:r w:rsidRPr="001F083A">
        <w:rPr>
          <w:sz w:val="24"/>
          <w:szCs w:val="24"/>
        </w:rPr>
        <w:t xml:space="preserve">, </w:t>
      </w:r>
      <w:r>
        <w:rPr>
          <w:sz w:val="24"/>
          <w:szCs w:val="24"/>
        </w:rPr>
        <w:t>which was obtained</w:t>
      </w:r>
      <w:r w:rsidRPr="001F083A">
        <w:rPr>
          <w:sz w:val="24"/>
          <w:szCs w:val="24"/>
        </w:rPr>
        <w:t xml:space="preserve"> from the red king crab literature (Siddeek 2002, Kruse et al. 2000). </w:t>
      </w:r>
      <w:r>
        <w:rPr>
          <w:sz w:val="24"/>
          <w:szCs w:val="24"/>
        </w:rPr>
        <w:t xml:space="preserve"> An experiment based independent estimate of handling mortality is needed for golden king crab.</w:t>
      </w:r>
    </w:p>
    <w:p w:rsidR="0025491C" w:rsidRDefault="0025491C" w:rsidP="00F2152D">
      <w:pPr>
        <w:pStyle w:val="BodyText"/>
        <w:spacing w:line="360" w:lineRule="auto"/>
        <w:jc w:val="both"/>
        <w:rPr>
          <w:sz w:val="24"/>
          <w:szCs w:val="24"/>
        </w:rPr>
      </w:pPr>
    </w:p>
    <w:p w:rsidR="00E81CA5" w:rsidRPr="00EF775C" w:rsidRDefault="00E81CA5" w:rsidP="00321631">
      <w:pPr>
        <w:pStyle w:val="ListParagraph"/>
        <w:numPr>
          <w:ilvl w:val="0"/>
          <w:numId w:val="2"/>
        </w:numPr>
        <w:spacing w:line="360" w:lineRule="auto"/>
        <w:ind w:left="360"/>
        <w:rPr>
          <w:rFonts w:ascii="Arial" w:hAnsi="Arial"/>
          <w:b/>
          <w:i/>
          <w:sz w:val="28"/>
          <w:szCs w:val="24"/>
        </w:rPr>
      </w:pPr>
      <w:r w:rsidRPr="00EF775C">
        <w:rPr>
          <w:rFonts w:ascii="Arial" w:hAnsi="Arial"/>
          <w:b/>
          <w:i/>
          <w:sz w:val="28"/>
          <w:szCs w:val="24"/>
        </w:rPr>
        <w:lastRenderedPageBreak/>
        <w:t>Acknowledgments</w:t>
      </w:r>
    </w:p>
    <w:p w:rsidR="00E81CA5" w:rsidRPr="00FC3149" w:rsidRDefault="000C3AF1" w:rsidP="00321631">
      <w:pPr>
        <w:pStyle w:val="BodyText"/>
        <w:spacing w:line="360" w:lineRule="auto"/>
        <w:ind w:left="360"/>
        <w:jc w:val="both"/>
        <w:rPr>
          <w:sz w:val="24"/>
          <w:szCs w:val="24"/>
        </w:rPr>
      </w:pPr>
      <w:r w:rsidRPr="00FC3149">
        <w:rPr>
          <w:sz w:val="24"/>
          <w:szCs w:val="24"/>
        </w:rPr>
        <w:t xml:space="preserve">We </w:t>
      </w:r>
      <w:r w:rsidR="00E81CA5" w:rsidRPr="00FC3149">
        <w:rPr>
          <w:sz w:val="24"/>
          <w:szCs w:val="24"/>
        </w:rPr>
        <w:t xml:space="preserve">thank </w:t>
      </w:r>
      <w:r w:rsidR="00D155A2">
        <w:rPr>
          <w:sz w:val="24"/>
          <w:szCs w:val="24"/>
        </w:rPr>
        <w:t>William G</w:t>
      </w:r>
      <w:r w:rsidR="00D801B9">
        <w:rPr>
          <w:sz w:val="24"/>
          <w:szCs w:val="24"/>
        </w:rPr>
        <w:t>aeu</w:t>
      </w:r>
      <w:r w:rsidR="00D155A2">
        <w:rPr>
          <w:sz w:val="24"/>
          <w:szCs w:val="24"/>
        </w:rPr>
        <w:t>man</w:t>
      </w:r>
      <w:r w:rsidR="00443636">
        <w:rPr>
          <w:sz w:val="24"/>
          <w:szCs w:val="24"/>
        </w:rPr>
        <w:t>, Robert Foy,</w:t>
      </w:r>
      <w:r w:rsidR="00241003">
        <w:rPr>
          <w:sz w:val="24"/>
          <w:szCs w:val="24"/>
        </w:rPr>
        <w:t xml:space="preserve"> </w:t>
      </w:r>
      <w:r w:rsidR="00D155A2">
        <w:rPr>
          <w:sz w:val="24"/>
          <w:szCs w:val="24"/>
        </w:rPr>
        <w:t>Heather Fitch</w:t>
      </w:r>
      <w:r w:rsidR="00241003">
        <w:rPr>
          <w:sz w:val="24"/>
          <w:szCs w:val="24"/>
        </w:rPr>
        <w:t>, and Vicki Vanek</w:t>
      </w:r>
      <w:r w:rsidR="00D155A2">
        <w:rPr>
          <w:sz w:val="24"/>
          <w:szCs w:val="24"/>
        </w:rPr>
        <w:t xml:space="preserve"> for providing various data for assessment; Leland</w:t>
      </w:r>
      <w:r w:rsidR="0066367B">
        <w:rPr>
          <w:sz w:val="24"/>
          <w:szCs w:val="24"/>
        </w:rPr>
        <w:t xml:space="preserve"> Hulbert for </w:t>
      </w:r>
      <w:r w:rsidR="00332275">
        <w:rPr>
          <w:sz w:val="24"/>
          <w:szCs w:val="24"/>
        </w:rPr>
        <w:t>preparing the catch distribution by ADFG statistical areas</w:t>
      </w:r>
      <w:r w:rsidR="0066367B">
        <w:rPr>
          <w:sz w:val="24"/>
          <w:szCs w:val="24"/>
        </w:rPr>
        <w:t xml:space="preserve">; </w:t>
      </w:r>
      <w:r w:rsidR="00810518">
        <w:rPr>
          <w:sz w:val="24"/>
          <w:szCs w:val="24"/>
        </w:rPr>
        <w:t>Andre Punt</w:t>
      </w:r>
      <w:r w:rsidR="00332275">
        <w:rPr>
          <w:sz w:val="24"/>
          <w:szCs w:val="24"/>
        </w:rPr>
        <w:t xml:space="preserve"> and Steve Martel for various modeling guidance; </w:t>
      </w:r>
      <w:r w:rsidR="00241003">
        <w:rPr>
          <w:sz w:val="24"/>
          <w:szCs w:val="24"/>
        </w:rPr>
        <w:t xml:space="preserve">other members of the CPT </w:t>
      </w:r>
      <w:r w:rsidR="00D0625F">
        <w:rPr>
          <w:sz w:val="24"/>
          <w:szCs w:val="24"/>
        </w:rPr>
        <w:t xml:space="preserve">for </w:t>
      </w:r>
      <w:r w:rsidR="00332275">
        <w:rPr>
          <w:sz w:val="24"/>
          <w:szCs w:val="24"/>
        </w:rPr>
        <w:t xml:space="preserve">various </w:t>
      </w:r>
      <w:r w:rsidR="0066367B">
        <w:rPr>
          <w:sz w:val="24"/>
          <w:szCs w:val="24"/>
        </w:rPr>
        <w:t>tech</w:t>
      </w:r>
      <w:r w:rsidR="00D0625F">
        <w:rPr>
          <w:sz w:val="24"/>
          <w:szCs w:val="24"/>
        </w:rPr>
        <w:t>nical guidance</w:t>
      </w:r>
      <w:r w:rsidR="00D155A2">
        <w:rPr>
          <w:sz w:val="24"/>
          <w:szCs w:val="24"/>
        </w:rPr>
        <w:t xml:space="preserve">; </w:t>
      </w:r>
      <w:r w:rsidR="0066367B">
        <w:rPr>
          <w:sz w:val="24"/>
          <w:szCs w:val="24"/>
        </w:rPr>
        <w:t xml:space="preserve">and </w:t>
      </w:r>
      <w:r w:rsidR="00332275">
        <w:rPr>
          <w:sz w:val="24"/>
          <w:szCs w:val="24"/>
        </w:rPr>
        <w:t>Joel Web</w:t>
      </w:r>
      <w:r w:rsidR="00DE7C3E">
        <w:rPr>
          <w:sz w:val="24"/>
          <w:szCs w:val="24"/>
        </w:rPr>
        <w:t>b</w:t>
      </w:r>
      <w:r w:rsidR="00332275">
        <w:rPr>
          <w:sz w:val="24"/>
          <w:szCs w:val="24"/>
        </w:rPr>
        <w:t xml:space="preserve"> </w:t>
      </w:r>
      <w:r w:rsidR="0066367B">
        <w:rPr>
          <w:sz w:val="24"/>
          <w:szCs w:val="24"/>
        </w:rPr>
        <w:t xml:space="preserve">for </w:t>
      </w:r>
      <w:r w:rsidR="00332275">
        <w:rPr>
          <w:sz w:val="24"/>
          <w:szCs w:val="24"/>
        </w:rPr>
        <w:t xml:space="preserve">additional </w:t>
      </w:r>
      <w:r w:rsidR="00DE7C3E">
        <w:rPr>
          <w:sz w:val="24"/>
          <w:szCs w:val="24"/>
        </w:rPr>
        <w:t xml:space="preserve">editorial </w:t>
      </w:r>
      <w:r w:rsidR="00241003">
        <w:rPr>
          <w:sz w:val="24"/>
          <w:szCs w:val="24"/>
        </w:rPr>
        <w:t xml:space="preserve">review </w:t>
      </w:r>
      <w:r w:rsidR="00F261C7">
        <w:rPr>
          <w:sz w:val="24"/>
          <w:szCs w:val="24"/>
        </w:rPr>
        <w:t xml:space="preserve">of </w:t>
      </w:r>
      <w:r w:rsidR="00A554EF">
        <w:rPr>
          <w:sz w:val="24"/>
          <w:szCs w:val="24"/>
        </w:rPr>
        <w:t>this document</w:t>
      </w:r>
      <w:r w:rsidR="00E81CA5" w:rsidRPr="00FC3149">
        <w:rPr>
          <w:sz w:val="24"/>
          <w:szCs w:val="24"/>
        </w:rPr>
        <w:t xml:space="preserve">. </w:t>
      </w:r>
    </w:p>
    <w:p w:rsidR="00C14CC3" w:rsidRPr="00FC3149" w:rsidRDefault="00E81CA5" w:rsidP="00F2152D">
      <w:pPr>
        <w:pStyle w:val="BodyText"/>
        <w:spacing w:line="360" w:lineRule="auto"/>
        <w:jc w:val="both"/>
        <w:rPr>
          <w:sz w:val="24"/>
          <w:szCs w:val="24"/>
        </w:rPr>
      </w:pPr>
      <w:r w:rsidRPr="001F083A">
        <w:rPr>
          <w:sz w:val="24"/>
          <w:szCs w:val="24"/>
        </w:rPr>
        <w:t xml:space="preserve"> </w:t>
      </w:r>
    </w:p>
    <w:p w:rsidR="00EB5FAA" w:rsidRDefault="00EB5FAA">
      <w:pPr>
        <w:rPr>
          <w:rFonts w:ascii="Arial" w:hAnsi="Arial"/>
          <w:b/>
          <w:i/>
          <w:sz w:val="28"/>
          <w:szCs w:val="24"/>
        </w:rPr>
      </w:pPr>
      <w:r>
        <w:rPr>
          <w:rFonts w:ascii="Arial" w:hAnsi="Arial"/>
          <w:b/>
          <w:i/>
          <w:sz w:val="28"/>
          <w:szCs w:val="24"/>
        </w:rPr>
        <w:br w:type="page"/>
      </w:r>
    </w:p>
    <w:p w:rsidR="00840F44" w:rsidRPr="00EF775C" w:rsidRDefault="00840F44" w:rsidP="00321631">
      <w:pPr>
        <w:pStyle w:val="ListParagraph"/>
        <w:numPr>
          <w:ilvl w:val="0"/>
          <w:numId w:val="2"/>
        </w:numPr>
        <w:spacing w:line="360" w:lineRule="auto"/>
        <w:ind w:left="450" w:hanging="450"/>
        <w:rPr>
          <w:rFonts w:ascii="Arial" w:hAnsi="Arial"/>
          <w:b/>
          <w:i/>
          <w:sz w:val="28"/>
          <w:szCs w:val="24"/>
        </w:rPr>
      </w:pPr>
      <w:r w:rsidRPr="00EF775C">
        <w:rPr>
          <w:rFonts w:ascii="Arial" w:hAnsi="Arial"/>
          <w:b/>
          <w:i/>
          <w:sz w:val="28"/>
          <w:szCs w:val="24"/>
        </w:rPr>
        <w:lastRenderedPageBreak/>
        <w:t>Literature Cited</w:t>
      </w:r>
    </w:p>
    <w:p w:rsidR="00E81CA5" w:rsidRDefault="00E81CA5" w:rsidP="00600E05">
      <w:pPr>
        <w:pStyle w:val="LitCite"/>
      </w:pPr>
      <w:r w:rsidRPr="001F083A">
        <w:t xml:space="preserve">ADF&amp;G (Alaska Department of Fish and Game). 2002. Annual management report for the shellfish fisheries of the westward region, 2001. Alaska Department of Fish and Game, Division of Commercial Fisheries, Regional Information Report 4K02–54, Kodiak, Alaska. </w:t>
      </w:r>
    </w:p>
    <w:p w:rsidR="004B223C" w:rsidRDefault="004B223C" w:rsidP="00600E05">
      <w:pPr>
        <w:pStyle w:val="LitCite"/>
      </w:pPr>
      <w:r w:rsidRPr="001F083A">
        <w:t>ADF&amp;G (Alaska Department of Fish and Game). 200</w:t>
      </w:r>
      <w:r>
        <w:t>8</w:t>
      </w:r>
      <w:r w:rsidRPr="001F083A">
        <w:t xml:space="preserve">. Annual management report for the </w:t>
      </w:r>
      <w:r>
        <w:t xml:space="preserve">commercial and subsistence </w:t>
      </w:r>
      <w:r w:rsidRPr="001F083A">
        <w:t xml:space="preserve">shellfish fisheries of the </w:t>
      </w:r>
      <w:r>
        <w:t>Aleutian Islands, Bering Sea, and the W</w:t>
      </w:r>
      <w:r w:rsidRPr="001F083A">
        <w:t>estward region</w:t>
      </w:r>
      <w:r>
        <w:t>’s shellfish observer program, 2006/07.</w:t>
      </w:r>
      <w:r w:rsidRPr="001F083A">
        <w:t xml:space="preserve"> Alaska Department of Fish and Game, Division</w:t>
      </w:r>
      <w:r>
        <w:t>s</w:t>
      </w:r>
      <w:r w:rsidRPr="001F083A">
        <w:t xml:space="preserve"> of </w:t>
      </w:r>
      <w:r>
        <w:t xml:space="preserve">Sport Fish and </w:t>
      </w:r>
      <w:r w:rsidRPr="001F083A">
        <w:t xml:space="preserve">Commercial Fisheries, </w:t>
      </w:r>
      <w:r>
        <w:t>Fishery Management Report No. 08-02</w:t>
      </w:r>
      <w:r w:rsidR="007D5508">
        <w:t>, Anchorage, Alaska</w:t>
      </w:r>
      <w:r>
        <w:t>.</w:t>
      </w:r>
      <w:r w:rsidRPr="001F083A">
        <w:t xml:space="preserve"> </w:t>
      </w:r>
    </w:p>
    <w:p w:rsidR="008B3F97" w:rsidRDefault="008B3F97" w:rsidP="00600E05">
      <w:pPr>
        <w:pStyle w:val="LitCite"/>
      </w:pPr>
      <w:r w:rsidRPr="001F083A">
        <w:t>ADF&amp;G (Alaska Department of Fish and Game). 20</w:t>
      </w:r>
      <w:r>
        <w:t>11</w:t>
      </w:r>
      <w:r w:rsidRPr="001F083A">
        <w:t xml:space="preserve">. Annual management report for the </w:t>
      </w:r>
      <w:r>
        <w:t xml:space="preserve">commercial and subsistence </w:t>
      </w:r>
      <w:r w:rsidRPr="001F083A">
        <w:t xml:space="preserve">shellfish fisheries of the </w:t>
      </w:r>
      <w:r>
        <w:t>Aleutian Islands, Bering Sea, and the W</w:t>
      </w:r>
      <w:r w:rsidRPr="001F083A">
        <w:t>estward region</w:t>
      </w:r>
      <w:r>
        <w:t>’s shellfish observer program, 2009/10.</w:t>
      </w:r>
      <w:r w:rsidRPr="001F083A">
        <w:t xml:space="preserve"> Alaska Department of Fish and Game, Division</w:t>
      </w:r>
      <w:r>
        <w:t>s</w:t>
      </w:r>
      <w:r w:rsidRPr="001F083A">
        <w:t xml:space="preserve"> of </w:t>
      </w:r>
      <w:r>
        <w:t xml:space="preserve">Sport Fish and </w:t>
      </w:r>
      <w:r w:rsidRPr="001F083A">
        <w:t xml:space="preserve">Commercial Fisheries, </w:t>
      </w:r>
      <w:r>
        <w:t>Fishery Management Report No. 11-05, Anchorage, Alaska.</w:t>
      </w:r>
      <w:r w:rsidRPr="001F083A">
        <w:t xml:space="preserve"> </w:t>
      </w:r>
    </w:p>
    <w:p w:rsidR="00F306EA" w:rsidRDefault="00F306EA" w:rsidP="00600E05">
      <w:pPr>
        <w:pStyle w:val="LitCite"/>
      </w:pPr>
      <w:r w:rsidRPr="00F306EA">
        <w:t xml:space="preserve">Adams, C. F., and A. J. Paul. 1999. Phototaxis and Geotaxis of Light-adapted Zoeae of the Golden King Crab </w:t>
      </w:r>
      <w:r w:rsidRPr="006F0B75">
        <w:rPr>
          <w:i/>
        </w:rPr>
        <w:t>Lithodes aequispinus</w:t>
      </w:r>
      <w:r w:rsidRPr="00F306EA">
        <w:t xml:space="preserve"> (Anomura:Lithodidae) In the Laboratory. Journal of Crustacean Biology. 19(1): 106-110.</w:t>
      </w:r>
    </w:p>
    <w:p w:rsidR="00E3401B" w:rsidRDefault="00E3401B" w:rsidP="00600E05">
      <w:pPr>
        <w:pStyle w:val="LitCite"/>
      </w:pPr>
      <w:r>
        <w:t xml:space="preserve">Barnard, D.R. and R. Burt. 2004. </w:t>
      </w:r>
      <w:r w:rsidRPr="001F083A">
        <w:t>Summary of the 200</w:t>
      </w:r>
      <w:r>
        <w:t>2</w:t>
      </w:r>
      <w:r w:rsidRPr="001F083A">
        <w:t xml:space="preserve"> mandatory shellfish observer program database for the </w:t>
      </w:r>
      <w:r>
        <w:t xml:space="preserve">general and CDQ </w:t>
      </w:r>
      <w:r w:rsidRPr="001F083A">
        <w:t xml:space="preserve">fisheries. Alaska Department of Fish and Game, Division of Commercial Fisheries, </w:t>
      </w:r>
      <w:r>
        <w:t>Regional Information Report 4K04–27</w:t>
      </w:r>
      <w:r w:rsidRPr="001F083A">
        <w:t xml:space="preserve">, Kodiak, Alaska. </w:t>
      </w:r>
    </w:p>
    <w:p w:rsidR="009C03E3" w:rsidRDefault="009C03E3" w:rsidP="00600E05">
      <w:pPr>
        <w:pStyle w:val="LitCite"/>
      </w:pPr>
      <w:r w:rsidRPr="001F083A">
        <w:t xml:space="preserve">Barnard, D.R., R. Burt, and H. Moore. 2001. Summary of the 2000 mandatory shellfish observer program database for the open access fisheries. Alaska Department of Fish and Game, Division of Commercial Fisheries, Regional Information Report 4K01–39, Kodiak, Alaska. </w:t>
      </w:r>
    </w:p>
    <w:p w:rsidR="005C7ED1" w:rsidRDefault="009374C7" w:rsidP="005C7ED1">
      <w:pPr>
        <w:pStyle w:val="LitCite"/>
      </w:pPr>
      <w:hyperlink r:id="rId27" w:history="1">
        <w:r w:rsidR="005C7ED1" w:rsidRPr="005C7ED1">
          <w:t>Fournier, D.A., H.J. Skaug, J. Ancheta, J. Ianelli, A. Magnusson, M.N. Maunder, A. Nielsen, and J. Sibert. 2012. AD Model Builder: using automatic differentiation for statistical inference of highly parameterized complex nonlinear models. Optim. Methods Softw. 27:233-249.</w:t>
        </w:r>
      </w:hyperlink>
    </w:p>
    <w:p w:rsidR="00193AA7" w:rsidRDefault="00193AA7" w:rsidP="00DA6002">
      <w:pPr>
        <w:pStyle w:val="LitCite"/>
      </w:pPr>
      <w:r w:rsidRPr="002B0B4C">
        <w:t>Fox, J. and S. Weisberg. 2011.  An R companion to applied regression. Second edition Sage Publications, Inc. 449 p.</w:t>
      </w:r>
    </w:p>
    <w:p w:rsidR="00E41BC9" w:rsidRDefault="00E41BC9" w:rsidP="00600E05">
      <w:pPr>
        <w:pStyle w:val="LitCite"/>
      </w:pPr>
      <w:r>
        <w:t>Gaeuman, W.B. 2011. Summary of the 2009/10 mandatory crab observer program database for the BSAI commercial crab fisheries. Fishery Data Series No. 11-</w:t>
      </w:r>
      <w:r w:rsidR="00E80ADA">
        <w:t>04</w:t>
      </w:r>
      <w:r>
        <w:t xml:space="preserve">. </w:t>
      </w:r>
      <w:r w:rsidRPr="001F083A">
        <w:t xml:space="preserve">Alaska Department of Fish and Game, Division of </w:t>
      </w:r>
      <w:r>
        <w:t xml:space="preserve">Sport Fish, </w:t>
      </w:r>
      <w:r w:rsidR="00E80ADA">
        <w:t>Kodiak</w:t>
      </w:r>
      <w:r>
        <w:t>.</w:t>
      </w:r>
    </w:p>
    <w:p w:rsidR="000800B4" w:rsidRDefault="000800B4" w:rsidP="00321631"/>
    <w:p w:rsidR="000800B4" w:rsidRPr="00321631" w:rsidRDefault="000800B4" w:rsidP="00321631">
      <w:pPr>
        <w:ind w:left="360" w:hanging="360"/>
        <w:rPr>
          <w:sz w:val="22"/>
          <w:szCs w:val="22"/>
        </w:rPr>
      </w:pPr>
      <w:r w:rsidRPr="00321631">
        <w:rPr>
          <w:sz w:val="22"/>
          <w:szCs w:val="22"/>
        </w:rPr>
        <w:t xml:space="preserve">Hiramoto, K. 1985. Overview of the golden king crab, </w:t>
      </w:r>
      <w:r w:rsidRPr="00321631">
        <w:rPr>
          <w:i/>
          <w:sz w:val="22"/>
          <w:szCs w:val="22"/>
        </w:rPr>
        <w:t>Lithodes aequispina</w:t>
      </w:r>
      <w:r w:rsidRPr="00321631">
        <w:rPr>
          <w:sz w:val="22"/>
          <w:szCs w:val="22"/>
        </w:rPr>
        <w:t xml:space="preserve">, fishery and its fishery biology in the Pacific waters of Central Japan. Pp 297-315 </w:t>
      </w:r>
      <w:r w:rsidRPr="00321631">
        <w:rPr>
          <w:i/>
          <w:sz w:val="22"/>
          <w:szCs w:val="22"/>
        </w:rPr>
        <w:t>in</w:t>
      </w:r>
      <w:r w:rsidRPr="00321631">
        <w:rPr>
          <w:sz w:val="22"/>
          <w:szCs w:val="22"/>
        </w:rPr>
        <w:t xml:space="preserve"> Proceedings of the International King Crab Symposium. Alaska Sea Grant Report No. 85-12. Fairbanks, AK.</w:t>
      </w:r>
    </w:p>
    <w:p w:rsidR="00E80ADA" w:rsidRDefault="00E80ADA" w:rsidP="00600E05">
      <w:pPr>
        <w:pStyle w:val="LitCite"/>
      </w:pPr>
      <w:r w:rsidRPr="00E80ADA">
        <w:t xml:space="preserve">Koeneman, T. M., and D. V. Buchanan. 1985. Growth of the golden king crab, </w:t>
      </w:r>
      <w:r w:rsidRPr="006F0B75">
        <w:rPr>
          <w:i/>
        </w:rPr>
        <w:t>Lithodes aequispina</w:t>
      </w:r>
      <w:r w:rsidRPr="00E80ADA">
        <w:t>, in Southeast Alaskan waters. pp. 281-297, In: Proceedings of the International King Crab Symposium. University of Alaska, Sea Grant, AK-SG-85-12, Anchorage.</w:t>
      </w:r>
    </w:p>
    <w:p w:rsidR="00E81CA5" w:rsidRPr="001F083A" w:rsidRDefault="00E81CA5" w:rsidP="00600E05">
      <w:pPr>
        <w:pStyle w:val="LitCite"/>
      </w:pPr>
      <w:r w:rsidRPr="001F083A">
        <w:t xml:space="preserve">Kruse, G.H., L.C. Byrne, F.C. Funk, S.C. Matulich, and J. Zheng. 2000.  Analysis of minimum size limit for the red king crab fishery in Bristol Bay, Alaska. N. Am. J. Fish. Manage. 20:307-319. </w:t>
      </w:r>
    </w:p>
    <w:p w:rsidR="00C14C2F" w:rsidRDefault="00E81CA5" w:rsidP="00600E05">
      <w:pPr>
        <w:pStyle w:val="LitCite"/>
      </w:pPr>
      <w:r w:rsidRPr="001F083A">
        <w:t xml:space="preserve">Moore, H., L.C. Byrne, and M.C. Schwenzfeier. 2000. Summary of the 1999 mandatory shellfish observer program database for the open access fisheries. Alaska Department of Fish and Game, Division of Commercial Fisheries, Regional Information Report 4K00–50, Kodiak, Alaska. </w:t>
      </w:r>
    </w:p>
    <w:p w:rsidR="00736AA4" w:rsidRDefault="00736AA4" w:rsidP="00600E05">
      <w:pPr>
        <w:pStyle w:val="LitCite"/>
      </w:pPr>
      <w:r w:rsidRPr="00C14C2F">
        <w:t xml:space="preserve">NPFMC (North Pacific Fishery Management Council) 2007.  Amendment 24 to the </w:t>
      </w:r>
      <w:r w:rsidR="00447C0F" w:rsidRPr="00C14C2F">
        <w:t>f</w:t>
      </w:r>
      <w:r w:rsidRPr="00C14C2F">
        <w:t xml:space="preserve">ishery </w:t>
      </w:r>
      <w:r w:rsidR="00447C0F" w:rsidRPr="00C14C2F">
        <w:t>m</w:t>
      </w:r>
      <w:r w:rsidRPr="00C14C2F">
        <w:t xml:space="preserve">anagement </w:t>
      </w:r>
      <w:r w:rsidR="00447C0F" w:rsidRPr="00C14C2F">
        <w:t>p</w:t>
      </w:r>
      <w:r w:rsidRPr="00C14C2F">
        <w:t xml:space="preserve">lan for Bering Sea and Aleutian Islands </w:t>
      </w:r>
      <w:r w:rsidR="00447C0F" w:rsidRPr="00C14C2F">
        <w:t>k</w:t>
      </w:r>
      <w:r w:rsidRPr="00C14C2F">
        <w:t xml:space="preserve">ing and Tanner </w:t>
      </w:r>
      <w:r w:rsidR="00447C0F" w:rsidRPr="00C14C2F">
        <w:t>c</w:t>
      </w:r>
      <w:r w:rsidRPr="00C14C2F">
        <w:t>rab</w:t>
      </w:r>
      <w:r w:rsidR="00447C0F" w:rsidRPr="00C14C2F">
        <w:t xml:space="preserve">s to revise </w:t>
      </w:r>
      <w:r w:rsidRPr="00C14C2F">
        <w:t>overfishing</w:t>
      </w:r>
      <w:r w:rsidR="00447C0F" w:rsidRPr="00C14C2F">
        <w:t xml:space="preserve"> definitions</w:t>
      </w:r>
      <w:r w:rsidRPr="00C14C2F">
        <w:t>.  North Pacific Fishery Management Co</w:t>
      </w:r>
      <w:r w:rsidR="00447C0F" w:rsidRPr="00C14C2F">
        <w:t xml:space="preserve">uncil, </w:t>
      </w:r>
      <w:r w:rsidRPr="00C14C2F">
        <w:t>Anchorage, Alaska.</w:t>
      </w:r>
    </w:p>
    <w:p w:rsidR="00E81CA5" w:rsidRDefault="00E81CA5" w:rsidP="00600E05">
      <w:pPr>
        <w:pStyle w:val="LitCite"/>
      </w:pPr>
      <w:r w:rsidRPr="00C14C2F">
        <w:lastRenderedPageBreak/>
        <w:t>Otto, R.S., and P.A. Cummiskey. 1985. Observations on the reproductive biology of golden king crab (</w:t>
      </w:r>
      <w:r w:rsidRPr="00C14C2F">
        <w:rPr>
          <w:i/>
        </w:rPr>
        <w:t>Lithodes aequispina</w:t>
      </w:r>
      <w:r w:rsidRPr="00C14C2F">
        <w:t>) in the Bering Sea and Aleutian Islands</w:t>
      </w:r>
      <w:r w:rsidR="007D5508" w:rsidRPr="00C14C2F">
        <w:t>. Pages 123-135</w:t>
      </w:r>
      <w:r w:rsidRPr="00C14C2F">
        <w:t xml:space="preserve"> In: Proceedings of the International King C</w:t>
      </w:r>
      <w:r w:rsidR="007D5508" w:rsidRPr="00C14C2F">
        <w:t xml:space="preserve">rab Symposium. </w:t>
      </w:r>
      <w:r w:rsidRPr="00C14C2F">
        <w:t>Alaska Sea Grant College Program</w:t>
      </w:r>
      <w:r w:rsidR="007D5508" w:rsidRPr="00C14C2F">
        <w:t>,</w:t>
      </w:r>
      <w:r w:rsidRPr="00C14C2F">
        <w:t xml:space="preserve"> AK-SG-85-12</w:t>
      </w:r>
      <w:r w:rsidR="007D5508" w:rsidRPr="00C14C2F">
        <w:t>, Fairbanks, Alaska</w:t>
      </w:r>
      <w:r w:rsidRPr="00C14C2F">
        <w:t>.</w:t>
      </w:r>
    </w:p>
    <w:p w:rsidR="00AB7DEE" w:rsidRPr="00C14C2F" w:rsidRDefault="00AB7DEE" w:rsidP="00507D43">
      <w:pPr>
        <w:pStyle w:val="LitCite"/>
        <w:ind w:left="720" w:hanging="720"/>
      </w:pPr>
      <w:r>
        <w:t>Punt, A.E.</w:t>
      </w:r>
      <w:r w:rsidR="00FF7404">
        <w:t>,</w:t>
      </w:r>
      <w:r>
        <w:t xml:space="preserve"> R.B. Kennedy</w:t>
      </w:r>
      <w:r w:rsidR="00FF7404">
        <w:t>, and S.D. Frusher</w:t>
      </w:r>
      <w:r>
        <w:t xml:space="preserve">. 1997. </w:t>
      </w:r>
      <w:r w:rsidR="00FF7404" w:rsidRPr="00507D43">
        <w:t>E</w:t>
      </w:r>
      <w:r w:rsidR="00507D43" w:rsidRPr="00507D43">
        <w:t xml:space="preserve">stimating the size-transition matrix </w:t>
      </w:r>
      <w:r w:rsidR="00507D43">
        <w:t xml:space="preserve">for </w:t>
      </w:r>
      <w:r>
        <w:t xml:space="preserve"> Tasmanian rock lobster, </w:t>
      </w:r>
      <w:r w:rsidRPr="00D83575">
        <w:rPr>
          <w:i/>
        </w:rPr>
        <w:t>Jasus edwardsii</w:t>
      </w:r>
      <w:r>
        <w:t>,. Mar.Freshwater Res., 48:9</w:t>
      </w:r>
      <w:r w:rsidR="00507D43">
        <w:t>81</w:t>
      </w:r>
      <w:r>
        <w:t>-98</w:t>
      </w:r>
      <w:r w:rsidR="00507D43">
        <w:t>2</w:t>
      </w:r>
      <w:r>
        <w:t>.</w:t>
      </w:r>
    </w:p>
    <w:p w:rsidR="00E81CA5" w:rsidRPr="001F083A" w:rsidRDefault="00E81CA5" w:rsidP="00600E05">
      <w:pPr>
        <w:pStyle w:val="LitCite"/>
      </w:pPr>
      <w:r w:rsidRPr="001F083A">
        <w:t xml:space="preserve">Shirley, T.C., and S. Zhou. 1997. Lecithotrophic development of the golden king crab </w:t>
      </w:r>
      <w:r w:rsidRPr="00C14C2F">
        <w:rPr>
          <w:i/>
        </w:rPr>
        <w:t>Lithodes aequispinus</w:t>
      </w:r>
      <w:r w:rsidRPr="00C14C2F">
        <w:t xml:space="preserve"> </w:t>
      </w:r>
      <w:r w:rsidRPr="001F083A">
        <w:t>(</w:t>
      </w:r>
      <w:r w:rsidR="001C4509">
        <w:t>Anomura: Lithodidae). J. Crust. Biol.</w:t>
      </w:r>
      <w:r w:rsidRPr="001F083A">
        <w:t>, 17(2):207-216.</w:t>
      </w:r>
    </w:p>
    <w:p w:rsidR="00E81CA5" w:rsidRDefault="00E81CA5" w:rsidP="00600E05">
      <w:pPr>
        <w:pStyle w:val="LitCite"/>
      </w:pPr>
      <w:r w:rsidRPr="00C14C2F">
        <w:t>Siddeek, M.S.M. 2002. Review of biological reference points used in Bering Sea and Aleutian Islands (king and Tanner) crab management. Alaska Department of Fish and Game, Division of Commercial Fisheries, Regional Information Report 5J02-06, Juneau, Alaska.</w:t>
      </w:r>
    </w:p>
    <w:p w:rsidR="00257D67" w:rsidRDefault="00257D67" w:rsidP="00600E05">
      <w:pPr>
        <w:pStyle w:val="LitCite"/>
        <w:rPr>
          <w:snapToGrid w:val="0"/>
          <w:lang w:eastAsia="fr-FR"/>
        </w:rPr>
      </w:pPr>
      <w:r w:rsidRPr="00257D67">
        <w:rPr>
          <w:snapToGrid w:val="0"/>
          <w:lang w:eastAsia="fr-FR"/>
        </w:rPr>
        <w:t xml:space="preserve">Siddeek, M.S.M., </w:t>
      </w:r>
      <w:r>
        <w:rPr>
          <w:snapToGrid w:val="0"/>
          <w:lang w:eastAsia="fr-FR"/>
        </w:rPr>
        <w:t>D.R. Barnard, L.J. Watson, and R.</w:t>
      </w:r>
      <w:r w:rsidR="006547E1">
        <w:rPr>
          <w:snapToGrid w:val="0"/>
          <w:lang w:eastAsia="fr-FR"/>
        </w:rPr>
        <w:t>K. Gish. 2005</w:t>
      </w:r>
      <w:r w:rsidRPr="00257D67">
        <w:rPr>
          <w:snapToGrid w:val="0"/>
          <w:lang w:eastAsia="fr-FR"/>
        </w:rPr>
        <w:t>. A modified catch-length analysis model for golden king crab (</w:t>
      </w:r>
      <w:r w:rsidRPr="00257D67">
        <w:rPr>
          <w:i/>
          <w:snapToGrid w:val="0"/>
          <w:lang w:eastAsia="fr-FR"/>
        </w:rPr>
        <w:t>Lithodes aequispinus</w:t>
      </w:r>
      <w:r w:rsidRPr="00257D67">
        <w:rPr>
          <w:snapToGrid w:val="0"/>
          <w:lang w:eastAsia="fr-FR"/>
        </w:rPr>
        <w:t xml:space="preserve">) stock assessment in the eastern Aleutian Islands. </w:t>
      </w:r>
      <w:r w:rsidR="001C4509">
        <w:rPr>
          <w:snapToGrid w:val="0"/>
          <w:lang w:eastAsia="fr-FR"/>
        </w:rPr>
        <w:t xml:space="preserve">Pages 783-805 </w:t>
      </w:r>
      <w:r w:rsidR="001C4509" w:rsidRPr="001C4509">
        <w:rPr>
          <w:i/>
          <w:snapToGrid w:val="0"/>
          <w:lang w:eastAsia="fr-FR"/>
        </w:rPr>
        <w:t>In</w:t>
      </w:r>
      <w:r w:rsidR="001C4509">
        <w:rPr>
          <w:snapToGrid w:val="0"/>
          <w:lang w:eastAsia="fr-FR"/>
        </w:rPr>
        <w:t xml:space="preserve">: </w:t>
      </w:r>
      <w:r w:rsidR="00D0669B">
        <w:rPr>
          <w:snapToGrid w:val="0"/>
          <w:lang w:eastAsia="fr-FR"/>
        </w:rPr>
        <w:t xml:space="preserve">Fisheries </w:t>
      </w:r>
      <w:r w:rsidR="001C4509">
        <w:rPr>
          <w:snapToGrid w:val="0"/>
          <w:lang w:eastAsia="fr-FR"/>
        </w:rPr>
        <w:t>a</w:t>
      </w:r>
      <w:r w:rsidR="00D0669B">
        <w:rPr>
          <w:snapToGrid w:val="0"/>
          <w:lang w:eastAsia="fr-FR"/>
        </w:rPr>
        <w:t xml:space="preserve">ssessment and </w:t>
      </w:r>
      <w:r w:rsidR="001C4509">
        <w:rPr>
          <w:snapToGrid w:val="0"/>
          <w:lang w:eastAsia="fr-FR"/>
        </w:rPr>
        <w:t>m</w:t>
      </w:r>
      <w:r w:rsidRPr="00257D67">
        <w:rPr>
          <w:snapToGrid w:val="0"/>
          <w:lang w:eastAsia="fr-FR"/>
        </w:rPr>
        <w:t xml:space="preserve">anagement </w:t>
      </w:r>
      <w:r w:rsidR="00D0669B">
        <w:rPr>
          <w:snapToGrid w:val="0"/>
          <w:lang w:eastAsia="fr-FR"/>
        </w:rPr>
        <w:t xml:space="preserve">in </w:t>
      </w:r>
      <w:r w:rsidR="001C4509">
        <w:rPr>
          <w:snapToGrid w:val="0"/>
          <w:lang w:eastAsia="fr-FR"/>
        </w:rPr>
        <w:t>d</w:t>
      </w:r>
      <w:r w:rsidR="00D0669B">
        <w:rPr>
          <w:snapToGrid w:val="0"/>
          <w:lang w:eastAsia="fr-FR"/>
        </w:rPr>
        <w:t xml:space="preserve">ata </w:t>
      </w:r>
      <w:r w:rsidR="001C4509">
        <w:rPr>
          <w:snapToGrid w:val="0"/>
          <w:lang w:eastAsia="fr-FR"/>
        </w:rPr>
        <w:t>l</w:t>
      </w:r>
      <w:r w:rsidR="00D0669B">
        <w:rPr>
          <w:snapToGrid w:val="0"/>
          <w:lang w:eastAsia="fr-FR"/>
        </w:rPr>
        <w:t xml:space="preserve">imited </w:t>
      </w:r>
      <w:r w:rsidR="001C4509">
        <w:rPr>
          <w:snapToGrid w:val="0"/>
          <w:lang w:eastAsia="fr-FR"/>
        </w:rPr>
        <w:t>s</w:t>
      </w:r>
      <w:r w:rsidR="00D0669B">
        <w:rPr>
          <w:snapToGrid w:val="0"/>
          <w:lang w:eastAsia="fr-FR"/>
        </w:rPr>
        <w:t>ituations, Alaska Sea Grant College Program, AK-SG-05-02,</w:t>
      </w:r>
      <w:r w:rsidR="001C4509">
        <w:rPr>
          <w:snapToGrid w:val="0"/>
          <w:lang w:eastAsia="fr-FR"/>
        </w:rPr>
        <w:t xml:space="preserve"> Fairbanks, Alaska.</w:t>
      </w:r>
    </w:p>
    <w:p w:rsidR="00F306EA" w:rsidRDefault="00F306EA" w:rsidP="00600E05">
      <w:pPr>
        <w:pStyle w:val="LitCite"/>
        <w:rPr>
          <w:snapToGrid w:val="0"/>
          <w:lang w:eastAsia="fr-FR"/>
        </w:rPr>
      </w:pPr>
      <w:r w:rsidRPr="00F306EA">
        <w:rPr>
          <w:snapToGrid w:val="0"/>
          <w:lang w:eastAsia="fr-FR"/>
        </w:rPr>
        <w:t xml:space="preserve">Somerton, D. A., and R. S. Otto. 1986. Distribution and reproductive biology of the golden king crab, </w:t>
      </w:r>
      <w:r w:rsidRPr="00C034AF">
        <w:rPr>
          <w:i/>
          <w:snapToGrid w:val="0"/>
          <w:lang w:eastAsia="fr-FR"/>
        </w:rPr>
        <w:t>Lithodes aequispina</w:t>
      </w:r>
      <w:r w:rsidRPr="00F306EA">
        <w:rPr>
          <w:snapToGrid w:val="0"/>
          <w:lang w:eastAsia="fr-FR"/>
        </w:rPr>
        <w:t>, in the Eastern Bering Sea. Fishery Bulletin. 81(3): 571-584.</w:t>
      </w:r>
    </w:p>
    <w:p w:rsidR="00C034AF" w:rsidRPr="002B0B4C" w:rsidRDefault="00C034AF" w:rsidP="00C034AF">
      <w:pPr>
        <w:pStyle w:val="Ref"/>
        <w:spacing w:line="360" w:lineRule="auto"/>
        <w:rPr>
          <w:sz w:val="22"/>
        </w:rPr>
      </w:pPr>
      <w:r w:rsidRPr="002B0B4C">
        <w:rPr>
          <w:sz w:val="22"/>
        </w:rPr>
        <w:t>Starr, P.J. 2012. Standardized CPUE analysis exploration: using the rock lobster voluntary logbook and observer catch sampling programmes. New Zealand Fisheries Assessment Report 2012/34, 75 p.</w:t>
      </w:r>
    </w:p>
    <w:p w:rsidR="00A0558A" w:rsidRDefault="00A0558A" w:rsidP="00600E05">
      <w:pPr>
        <w:pStyle w:val="LitCite"/>
        <w:rPr>
          <w:snapToGrid w:val="0"/>
          <w:lang w:eastAsia="fr-FR"/>
        </w:rPr>
      </w:pPr>
      <w:r>
        <w:rPr>
          <w:snapToGrid w:val="0"/>
          <w:lang w:eastAsia="fr-FR"/>
        </w:rPr>
        <w:t>Watson, L.J., D. Pengilly, and S.F. Blau. 2002. Growth and molting of golden king crabs (</w:t>
      </w:r>
      <w:r w:rsidRPr="00C034AF">
        <w:rPr>
          <w:snapToGrid w:val="0"/>
          <w:lang w:eastAsia="fr-FR"/>
        </w:rPr>
        <w:t>Lithodes aequispinus</w:t>
      </w:r>
      <w:r>
        <w:rPr>
          <w:snapToGrid w:val="0"/>
          <w:lang w:eastAsia="fr-FR"/>
        </w:rPr>
        <w:t xml:space="preserve">) in the eastern Aleutian Islands, Alaska. </w:t>
      </w:r>
      <w:r w:rsidR="001C4509">
        <w:rPr>
          <w:snapToGrid w:val="0"/>
          <w:lang w:eastAsia="fr-FR"/>
        </w:rPr>
        <w:t xml:space="preserve">Pages 169-187 </w:t>
      </w:r>
      <w:r w:rsidR="001C4509" w:rsidRPr="00C034AF">
        <w:rPr>
          <w:snapToGrid w:val="0"/>
          <w:lang w:eastAsia="fr-FR"/>
        </w:rPr>
        <w:t>In</w:t>
      </w:r>
      <w:r w:rsidR="001C4509">
        <w:rPr>
          <w:snapToGrid w:val="0"/>
          <w:lang w:eastAsia="fr-FR"/>
        </w:rPr>
        <w:t xml:space="preserve">: </w:t>
      </w:r>
      <w:r>
        <w:rPr>
          <w:snapToGrid w:val="0"/>
          <w:lang w:eastAsia="fr-FR"/>
        </w:rPr>
        <w:t xml:space="preserve">Crabs in cold water regions: </w:t>
      </w:r>
      <w:r w:rsidR="001C4509">
        <w:rPr>
          <w:snapToGrid w:val="0"/>
          <w:lang w:eastAsia="fr-FR"/>
        </w:rPr>
        <w:t>b</w:t>
      </w:r>
      <w:r>
        <w:rPr>
          <w:snapToGrid w:val="0"/>
          <w:lang w:eastAsia="fr-FR"/>
        </w:rPr>
        <w:t xml:space="preserve">iology, </w:t>
      </w:r>
      <w:r w:rsidR="001C4509">
        <w:rPr>
          <w:snapToGrid w:val="0"/>
          <w:lang w:eastAsia="fr-FR"/>
        </w:rPr>
        <w:t>m</w:t>
      </w:r>
      <w:r>
        <w:rPr>
          <w:snapToGrid w:val="0"/>
          <w:lang w:eastAsia="fr-FR"/>
        </w:rPr>
        <w:t xml:space="preserve">anagement, and </w:t>
      </w:r>
      <w:r w:rsidR="001C4509">
        <w:rPr>
          <w:snapToGrid w:val="0"/>
          <w:lang w:eastAsia="fr-FR"/>
        </w:rPr>
        <w:t>e</w:t>
      </w:r>
      <w:r>
        <w:rPr>
          <w:snapToGrid w:val="0"/>
          <w:lang w:eastAsia="fr-FR"/>
        </w:rPr>
        <w:t>conomics</w:t>
      </w:r>
      <w:r w:rsidR="00563B10">
        <w:rPr>
          <w:snapToGrid w:val="0"/>
          <w:lang w:eastAsia="fr-FR"/>
        </w:rPr>
        <w:t>,</w:t>
      </w:r>
      <w:r>
        <w:rPr>
          <w:snapToGrid w:val="0"/>
          <w:lang w:eastAsia="fr-FR"/>
        </w:rPr>
        <w:t xml:space="preserve"> Alaska Sea Grant College Program, AK-SG-02-01, </w:t>
      </w:r>
      <w:r w:rsidR="001C4509">
        <w:rPr>
          <w:snapToGrid w:val="0"/>
          <w:lang w:eastAsia="fr-FR"/>
        </w:rPr>
        <w:t>Fairbanks, Alaska</w:t>
      </w:r>
      <w:r>
        <w:rPr>
          <w:snapToGrid w:val="0"/>
          <w:lang w:eastAsia="fr-FR"/>
        </w:rPr>
        <w:t>.</w:t>
      </w:r>
    </w:p>
    <w:p w:rsidR="00600E05" w:rsidRDefault="00600E05" w:rsidP="00600E05">
      <w:pPr>
        <w:pStyle w:val="LitCite"/>
      </w:pPr>
      <w:r w:rsidRPr="00744628">
        <w:t>Webb. J. 2014. Reproductive ecology of commercially important Lithodid crabs. Pages 285-314 In B.G. Stevens (ed.): King Crabs of the World: Biology and Fisheries Management. CRC Press, Taylor &amp; Francis Group, New York</w:t>
      </w:r>
    </w:p>
    <w:p w:rsidR="00B86BD8" w:rsidRDefault="00B86BD8" w:rsidP="00600E05">
      <w:pPr>
        <w:pStyle w:val="LitCite"/>
      </w:pPr>
    </w:p>
    <w:p w:rsidR="00B86BD8" w:rsidRDefault="00B86BD8" w:rsidP="00600E05">
      <w:pPr>
        <w:pStyle w:val="LitCite"/>
      </w:pPr>
    </w:p>
    <w:p w:rsidR="00B86BD8" w:rsidRDefault="00B86BD8" w:rsidP="00600E05">
      <w:pPr>
        <w:pStyle w:val="LitCite"/>
      </w:pPr>
    </w:p>
    <w:p w:rsidR="00B86BD8" w:rsidRDefault="00B86BD8" w:rsidP="00600E05">
      <w:pPr>
        <w:pStyle w:val="LitCite"/>
      </w:pPr>
    </w:p>
    <w:p w:rsidR="00B86BD8" w:rsidRDefault="00B86BD8" w:rsidP="00600E05">
      <w:pPr>
        <w:pStyle w:val="LitCite"/>
      </w:pPr>
    </w:p>
    <w:p w:rsidR="00B86BD8" w:rsidRDefault="00B86BD8" w:rsidP="00600E05">
      <w:pPr>
        <w:pStyle w:val="LitCite"/>
      </w:pPr>
    </w:p>
    <w:p w:rsidR="00B86BD8" w:rsidRDefault="00B86BD8" w:rsidP="00600E05">
      <w:pPr>
        <w:pStyle w:val="LitCite"/>
      </w:pPr>
    </w:p>
    <w:p w:rsidR="00B86BD8" w:rsidRPr="00600E05" w:rsidRDefault="00B86BD8" w:rsidP="00600E05">
      <w:pPr>
        <w:pStyle w:val="LitCite"/>
        <w:rPr>
          <w:snapToGrid w:val="0"/>
          <w:lang w:eastAsia="fr-FR"/>
        </w:rPr>
      </w:pPr>
    </w:p>
    <w:p w:rsidR="00B86BD8" w:rsidRDefault="00B86BD8" w:rsidP="006F0B75">
      <w:pPr>
        <w:pStyle w:val="Heading1"/>
      </w:pPr>
    </w:p>
    <w:p w:rsidR="00B86BD8" w:rsidRPr="006F0B75" w:rsidRDefault="00B86BD8" w:rsidP="006F0B75">
      <w:pPr>
        <w:pStyle w:val="Caption"/>
        <w:keepNext/>
        <w:jc w:val="both"/>
        <w:rPr>
          <w:sz w:val="18"/>
        </w:rPr>
      </w:pPr>
      <w:r>
        <w:t xml:space="preserve">Table </w:t>
      </w:r>
      <w:r w:rsidR="009374C7">
        <w:fldChar w:fldCharType="begin"/>
      </w:r>
      <w:r w:rsidR="009374C7">
        <w:instrText xml:space="preserve"> SEQ Table \* ARABIC </w:instrText>
      </w:r>
      <w:r w:rsidR="009374C7">
        <w:fldChar w:fldCharType="separate"/>
      </w:r>
      <w:r>
        <w:rPr>
          <w:noProof/>
        </w:rPr>
        <w:t>1</w:t>
      </w:r>
      <w:r w:rsidR="009374C7">
        <w:rPr>
          <w:noProof/>
        </w:rPr>
        <w:fldChar w:fldCharType="end"/>
      </w:r>
      <w:r>
        <w:t xml:space="preserve">. </w:t>
      </w:r>
      <w:r w:rsidRPr="004F22CA">
        <w:rPr>
          <w:snapToGrid w:val="0"/>
          <w:szCs w:val="22"/>
          <w:lang w:eastAsia="fr-FR"/>
        </w:rPr>
        <w:t xml:space="preserve">Time series of annual retained </w:t>
      </w:r>
      <w:r>
        <w:rPr>
          <w:snapToGrid w:val="0"/>
          <w:szCs w:val="22"/>
          <w:lang w:eastAsia="fr-FR"/>
        </w:rPr>
        <w:t xml:space="preserve">catch, total </w:t>
      </w:r>
      <w:r w:rsidRPr="004F22CA">
        <w:rPr>
          <w:snapToGrid w:val="0"/>
          <w:szCs w:val="22"/>
          <w:lang w:eastAsia="fr-FR"/>
        </w:rPr>
        <w:t>ca</w:t>
      </w:r>
      <w:r>
        <w:rPr>
          <w:snapToGrid w:val="0"/>
          <w:szCs w:val="22"/>
          <w:lang w:eastAsia="fr-FR"/>
        </w:rPr>
        <w:t xml:space="preserve">tch (number of crabs on the deck), pot fishery effort (number of pot lifts), and </w:t>
      </w:r>
      <w:r w:rsidRPr="004F22CA">
        <w:rPr>
          <w:snapToGrid w:val="0"/>
          <w:szCs w:val="22"/>
          <w:lang w:eastAsia="fr-FR"/>
        </w:rPr>
        <w:t>gr</w:t>
      </w:r>
      <w:r>
        <w:rPr>
          <w:snapToGrid w:val="0"/>
          <w:szCs w:val="22"/>
          <w:lang w:eastAsia="fr-FR"/>
        </w:rPr>
        <w:t>oundfish fishery discard mortality</w:t>
      </w:r>
      <w:r w:rsidRPr="004F22CA">
        <w:rPr>
          <w:snapToGrid w:val="0"/>
          <w:szCs w:val="22"/>
          <w:lang w:eastAsia="fr-FR"/>
        </w:rPr>
        <w:t xml:space="preserve"> (handling mortality </w:t>
      </w:r>
      <w:r>
        <w:rPr>
          <w:snapToGrid w:val="0"/>
          <w:szCs w:val="22"/>
          <w:lang w:eastAsia="fr-FR"/>
        </w:rPr>
        <w:t xml:space="preserve">rates </w:t>
      </w:r>
      <w:r w:rsidRPr="004F22CA">
        <w:rPr>
          <w:snapToGrid w:val="0"/>
          <w:szCs w:val="22"/>
          <w:lang w:eastAsia="fr-FR"/>
        </w:rPr>
        <w:t>of 50% for pot and 80% for trawl gear</w:t>
      </w:r>
      <w:r>
        <w:rPr>
          <w:snapToGrid w:val="0"/>
          <w:szCs w:val="22"/>
          <w:lang w:eastAsia="fr-FR"/>
        </w:rPr>
        <w:t xml:space="preserve"> were applied, only to the male portion) </w:t>
      </w:r>
      <w:r w:rsidRPr="004F22CA">
        <w:rPr>
          <w:snapToGrid w:val="0"/>
          <w:szCs w:val="22"/>
          <w:lang w:eastAsia="fr-FR"/>
        </w:rPr>
        <w:t>for the EAG</w:t>
      </w:r>
      <w:r w:rsidRPr="004F22CA">
        <w:rPr>
          <w:szCs w:val="22"/>
        </w:rPr>
        <w:t xml:space="preserve"> golden king crab stock</w:t>
      </w:r>
      <w:r w:rsidRPr="004F22CA">
        <w:rPr>
          <w:snapToGrid w:val="0"/>
          <w:szCs w:val="22"/>
          <w:lang w:eastAsia="fr-FR"/>
        </w:rPr>
        <w:t xml:space="preserve">. The </w:t>
      </w:r>
      <w:r>
        <w:rPr>
          <w:snapToGrid w:val="0"/>
          <w:szCs w:val="22"/>
          <w:lang w:eastAsia="fr-FR"/>
        </w:rPr>
        <w:t xml:space="preserve">crab numbers are </w:t>
      </w:r>
      <w:r w:rsidRPr="004F22CA">
        <w:rPr>
          <w:snapToGrid w:val="0"/>
          <w:szCs w:val="22"/>
          <w:lang w:eastAsia="fr-FR"/>
        </w:rPr>
        <w:t>for the size range 101</w:t>
      </w:r>
      <w:r>
        <w:rPr>
          <w:snapToGrid w:val="0"/>
          <w:szCs w:val="22"/>
          <w:lang w:eastAsia="fr-FR"/>
        </w:rPr>
        <w:t>–170+</w:t>
      </w:r>
      <w:r w:rsidRPr="004F22CA">
        <w:rPr>
          <w:snapToGrid w:val="0"/>
          <w:szCs w:val="22"/>
          <w:lang w:eastAsia="fr-FR"/>
        </w:rPr>
        <w:t xml:space="preserve"> mm CL. </w:t>
      </w:r>
      <w:r w:rsidRPr="00664A9A">
        <w:rPr>
          <w:szCs w:val="22"/>
        </w:rPr>
        <w:t>1985</w:t>
      </w:r>
      <w:r w:rsidRPr="004F22CA">
        <w:rPr>
          <w:snapToGrid w:val="0"/>
          <w:szCs w:val="22"/>
          <w:lang w:eastAsia="fr-FR"/>
        </w:rPr>
        <w:t xml:space="preserve"> </w:t>
      </w:r>
      <w:r>
        <w:rPr>
          <w:snapToGrid w:val="0"/>
          <w:szCs w:val="22"/>
          <w:lang w:eastAsia="fr-FR"/>
        </w:rPr>
        <w:t xml:space="preserve">refers to the </w:t>
      </w:r>
      <w:r w:rsidRPr="004F22CA">
        <w:rPr>
          <w:snapToGrid w:val="0"/>
          <w:szCs w:val="22"/>
          <w:lang w:eastAsia="fr-FR"/>
        </w:rPr>
        <w:t>1985/86 fish</w:t>
      </w:r>
      <w:r>
        <w:rPr>
          <w:snapToGrid w:val="0"/>
          <w:szCs w:val="22"/>
          <w:lang w:eastAsia="fr-FR"/>
        </w:rPr>
        <w:t>ery</w:t>
      </w:r>
      <w:r w:rsidRPr="004F22CA">
        <w:rPr>
          <w:snapToGrid w:val="0"/>
          <w:szCs w:val="22"/>
          <w:lang w:eastAsia="fr-FR"/>
        </w:rPr>
        <w:t>.</w:t>
      </w:r>
      <w:r>
        <w:rPr>
          <w:snapToGrid w:val="0"/>
          <w:szCs w:val="22"/>
          <w:lang w:eastAsia="fr-FR"/>
        </w:rPr>
        <w:t xml:space="preserve"> NA: no observer sampling to compute total catch.</w:t>
      </w:r>
    </w:p>
    <w:tbl>
      <w:tblPr>
        <w:tblStyle w:val="TableClassic1"/>
        <w:tblW w:w="3572" w:type="pct"/>
        <w:tblInd w:w="1114" w:type="dxa"/>
        <w:tblLook w:val="01E0" w:firstRow="1" w:lastRow="1" w:firstColumn="1" w:lastColumn="1" w:noHBand="0" w:noVBand="0"/>
      </w:tblPr>
      <w:tblGrid>
        <w:gridCol w:w="998"/>
        <w:gridCol w:w="1603"/>
        <w:gridCol w:w="1416"/>
        <w:gridCol w:w="1412"/>
        <w:gridCol w:w="1412"/>
      </w:tblGrid>
      <w:tr w:rsidR="00B86BD8" w:rsidRPr="00926355" w:rsidTr="00600E05">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29" w:type="pct"/>
            <w:vAlign w:val="center"/>
          </w:tcPr>
          <w:p w:rsidR="00B86BD8" w:rsidRPr="00926355" w:rsidRDefault="00B86BD8" w:rsidP="00600E05">
            <w:pPr>
              <w:widowControl w:val="0"/>
              <w:spacing w:after="120" w:line="276" w:lineRule="auto"/>
              <w:jc w:val="center"/>
              <w:rPr>
                <w:snapToGrid w:val="0"/>
                <w:lang w:eastAsia="fr-FR"/>
              </w:rPr>
            </w:pPr>
            <w:r w:rsidRPr="00926355">
              <w:rPr>
                <w:snapToGrid w:val="0"/>
                <w:lang w:eastAsia="fr-FR"/>
              </w:rPr>
              <w:t>Year</w:t>
            </w:r>
          </w:p>
        </w:tc>
        <w:tc>
          <w:tcPr>
            <w:tcW w:w="1171" w:type="pct"/>
            <w:vAlign w:val="center"/>
          </w:tcPr>
          <w:p w:rsidR="00B86BD8" w:rsidRPr="00926355" w:rsidRDefault="00B86BD8" w:rsidP="00600E05">
            <w:pPr>
              <w:widowControl w:val="0"/>
              <w:spacing w:after="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sidRPr="00926355">
              <w:rPr>
                <w:snapToGrid w:val="0"/>
                <w:lang w:eastAsia="fr-FR"/>
              </w:rPr>
              <w:t>Retained Catch</w:t>
            </w:r>
          </w:p>
        </w:tc>
        <w:tc>
          <w:tcPr>
            <w:tcW w:w="1035" w:type="pct"/>
            <w:vAlign w:val="center"/>
          </w:tcPr>
          <w:p w:rsidR="00B86BD8" w:rsidRPr="00926355" w:rsidRDefault="00B86BD8" w:rsidP="00600E05">
            <w:pPr>
              <w:widowControl w:val="0"/>
              <w:spacing w:after="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sidRPr="00926355">
              <w:rPr>
                <w:snapToGrid w:val="0"/>
                <w:lang w:eastAsia="fr-FR"/>
              </w:rPr>
              <w:t>Total</w:t>
            </w:r>
          </w:p>
          <w:p w:rsidR="00B86BD8" w:rsidRPr="00926355" w:rsidRDefault="00B86BD8" w:rsidP="00600E05">
            <w:pPr>
              <w:widowControl w:val="0"/>
              <w:spacing w:after="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sidRPr="00926355">
              <w:rPr>
                <w:snapToGrid w:val="0"/>
                <w:lang w:eastAsia="fr-FR"/>
              </w:rPr>
              <w:t>Catch</w:t>
            </w:r>
          </w:p>
        </w:tc>
        <w:tc>
          <w:tcPr>
            <w:tcW w:w="1032" w:type="pct"/>
            <w:vAlign w:val="center"/>
          </w:tcPr>
          <w:p w:rsidR="00B86BD8" w:rsidRPr="00926355" w:rsidRDefault="00B86BD8" w:rsidP="00600E05">
            <w:pPr>
              <w:widowControl w:val="0"/>
              <w:spacing w:after="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Pr>
                <w:snapToGrid w:val="0"/>
                <w:lang w:eastAsia="fr-FR"/>
              </w:rPr>
              <w:t>Pot Fishery Effort</w:t>
            </w:r>
          </w:p>
        </w:tc>
        <w:tc>
          <w:tcPr>
            <w:cnfStyle w:val="000000001000" w:firstRow="0" w:lastRow="0" w:firstColumn="0" w:lastColumn="0" w:oddVBand="0" w:evenVBand="0" w:oddHBand="0" w:evenHBand="0" w:firstRowFirstColumn="0" w:firstRowLastColumn="1" w:lastRowFirstColumn="0" w:lastRowLastColumn="0"/>
            <w:tcW w:w="1032" w:type="pct"/>
            <w:vAlign w:val="center"/>
          </w:tcPr>
          <w:p w:rsidR="00B86BD8" w:rsidRPr="00926355" w:rsidRDefault="00B86BD8" w:rsidP="00600E05">
            <w:pPr>
              <w:widowControl w:val="0"/>
              <w:spacing w:after="120" w:line="276" w:lineRule="auto"/>
              <w:jc w:val="center"/>
              <w:rPr>
                <w:snapToGrid w:val="0"/>
                <w:lang w:eastAsia="fr-FR"/>
              </w:rPr>
            </w:pPr>
            <w:r w:rsidRPr="00926355">
              <w:rPr>
                <w:snapToGrid w:val="0"/>
                <w:lang w:eastAsia="fr-FR"/>
              </w:rPr>
              <w:t>Groundfish Discard Mortality</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1985</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1251267</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pPr>
          </w:p>
        </w:tc>
        <w:tc>
          <w:tcPr>
            <w:tcW w:w="1032" w:type="pct"/>
            <w:vAlign w:val="center"/>
          </w:tcPr>
          <w:p w:rsidR="00B86BD8" w:rsidRPr="006F5D52"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6F5D52">
              <w:rPr>
                <w:color w:val="000000"/>
              </w:rPr>
              <w:t>117718</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pP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1986</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1374943</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pPr>
          </w:p>
        </w:tc>
        <w:tc>
          <w:tcPr>
            <w:tcW w:w="1032" w:type="pct"/>
            <w:vAlign w:val="center"/>
          </w:tcPr>
          <w:p w:rsidR="00B86BD8" w:rsidRPr="006F5D52"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6F5D52">
              <w:rPr>
                <w:color w:val="000000"/>
              </w:rPr>
              <w:t>155240</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pP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1987</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968614</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pPr>
          </w:p>
        </w:tc>
        <w:tc>
          <w:tcPr>
            <w:tcW w:w="1032" w:type="pct"/>
            <w:vAlign w:val="center"/>
          </w:tcPr>
          <w:p w:rsidR="00B86BD8" w:rsidRPr="006F5D52"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6F5D52">
              <w:rPr>
                <w:color w:val="000000"/>
              </w:rPr>
              <w:t>146501</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pP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1988</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1156046</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pPr>
          </w:p>
        </w:tc>
        <w:tc>
          <w:tcPr>
            <w:tcW w:w="1032" w:type="pct"/>
            <w:vAlign w:val="center"/>
          </w:tcPr>
          <w:p w:rsidR="00B86BD8" w:rsidRPr="006F5D52"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6F5D52">
              <w:rPr>
                <w:color w:val="000000"/>
              </w:rPr>
              <w:t>155518</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pP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1989</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1419777</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pPr>
          </w:p>
        </w:tc>
        <w:tc>
          <w:tcPr>
            <w:tcW w:w="1032" w:type="pct"/>
            <w:vAlign w:val="center"/>
          </w:tcPr>
          <w:p w:rsidR="00B86BD8" w:rsidRPr="006F5D52"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6F5D52">
              <w:rPr>
                <w:color w:val="000000"/>
              </w:rPr>
              <w:t>155262</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pP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1990</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892699</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1148518</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106281</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pP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1991</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1083243</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3758078</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133428</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pP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1992</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1127291</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4350561</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133778</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pP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1993</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767918</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NA</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106890</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pP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1994</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1086560</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1884229</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191455</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pP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1995</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1150168</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2754746</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177773</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339</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1996</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848045</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1443634</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113460</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133</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1997</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780481</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1774902</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106403</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25</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1998</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740011</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1969432</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83378</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364</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1999</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709332</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1544013</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79129</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648</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2000</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704363</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1708649</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71551</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349</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2001</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730030</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1353490</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62639</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132</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2002</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643668</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1125801</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52042</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7620</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2003</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643074</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1112774</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58883</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4277</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2004</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637536</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961070</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34848</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100</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2005</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623971</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860919</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24569</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114</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2006</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650587</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847280</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26195</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3063</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2007</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633253</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892203</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22653</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19942</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2008</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666947</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916778</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24466</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4858</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jc w:val="right"/>
              <w:rPr>
                <w:snapToGrid w:val="0"/>
                <w:lang w:eastAsia="fr-FR"/>
              </w:rPr>
            </w:pPr>
            <w:r w:rsidRPr="00926355">
              <w:rPr>
                <w:snapToGrid w:val="0"/>
                <w:lang w:eastAsia="fr-FR"/>
              </w:rPr>
              <w:t>2009</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679886</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948856</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26298</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1079</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spacing w:line="360" w:lineRule="auto"/>
              <w:jc w:val="right"/>
              <w:rPr>
                <w:b/>
                <w:snapToGrid w:val="0"/>
                <w:lang w:eastAsia="fr-FR"/>
              </w:rPr>
            </w:pPr>
            <w:r w:rsidRPr="00926355">
              <w:rPr>
                <w:snapToGrid w:val="0"/>
                <w:lang w:eastAsia="fr-FR"/>
              </w:rPr>
              <w:t>2010</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670698</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906409</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25851</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12735</w:t>
            </w:r>
          </w:p>
        </w:tc>
      </w:tr>
      <w:tr w:rsidR="00B86BD8" w:rsidRPr="00926355" w:rsidTr="00600E05">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00E05">
            <w:pPr>
              <w:widowControl w:val="0"/>
              <w:spacing w:line="360" w:lineRule="auto"/>
              <w:jc w:val="right"/>
              <w:rPr>
                <w:snapToGrid w:val="0"/>
                <w:lang w:eastAsia="fr-FR"/>
              </w:rPr>
            </w:pPr>
            <w:r w:rsidRPr="00926355">
              <w:rPr>
                <w:snapToGrid w:val="0"/>
                <w:lang w:eastAsia="fr-FR"/>
              </w:rPr>
              <w:t>2011</w:t>
            </w:r>
          </w:p>
        </w:tc>
        <w:tc>
          <w:tcPr>
            <w:tcW w:w="1171"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668828</w:t>
            </w:r>
          </w:p>
        </w:tc>
        <w:tc>
          <w:tcPr>
            <w:tcW w:w="1035"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942859</w:t>
            </w:r>
          </w:p>
        </w:tc>
        <w:tc>
          <w:tcPr>
            <w:tcW w:w="1032" w:type="pct"/>
            <w:vAlign w:val="center"/>
          </w:tcPr>
          <w:p w:rsidR="00B86BD8" w:rsidRPr="00B6129D"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B6129D">
              <w:rPr>
                <w:color w:val="000000"/>
              </w:rPr>
              <w:t>17915</w:t>
            </w:r>
          </w:p>
        </w:tc>
        <w:tc>
          <w:tcPr>
            <w:tcW w:w="1032" w:type="pct"/>
            <w:vAlign w:val="center"/>
          </w:tcPr>
          <w:p w:rsidR="00B86BD8" w:rsidRPr="00926355"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926355">
              <w:rPr>
                <w:color w:val="000000"/>
              </w:rPr>
              <w:t>2925</w:t>
            </w:r>
          </w:p>
        </w:tc>
      </w:tr>
      <w:tr w:rsidR="00B86BD8" w:rsidRPr="00926355" w:rsidTr="00600E05">
        <w:trPr>
          <w:cnfStyle w:val="010000000000" w:firstRow="0" w:lastRow="1" w:firstColumn="0" w:lastColumn="0" w:oddVBand="0" w:evenVBand="0" w:oddHBand="0" w:evenHBand="0" w:firstRowFirstColumn="0" w:firstRowLastColumn="0" w:lastRowFirstColumn="0" w:lastRowLastColumn="0"/>
          <w:trHeight w:val="317"/>
        </w:trPr>
        <w:tc>
          <w:tcPr>
            <w:cnfStyle w:val="001000000001" w:firstRow="0" w:lastRow="0" w:firstColumn="1" w:lastColumn="0" w:oddVBand="0" w:evenVBand="0" w:oddHBand="0" w:evenHBand="0" w:firstRowFirstColumn="0" w:firstRowLastColumn="0" w:lastRowFirstColumn="1" w:lastRowLastColumn="0"/>
            <w:tcW w:w="729" w:type="pct"/>
          </w:tcPr>
          <w:p w:rsidR="00B86BD8" w:rsidRPr="005F6104" w:rsidRDefault="00B86BD8" w:rsidP="00600E05">
            <w:pPr>
              <w:widowControl w:val="0"/>
              <w:spacing w:line="360" w:lineRule="auto"/>
              <w:jc w:val="right"/>
              <w:rPr>
                <w:b w:val="0"/>
                <w:snapToGrid w:val="0"/>
                <w:lang w:eastAsia="fr-FR"/>
              </w:rPr>
            </w:pPr>
            <w:r w:rsidRPr="005F6104">
              <w:rPr>
                <w:b w:val="0"/>
                <w:snapToGrid w:val="0"/>
                <w:lang w:eastAsia="fr-FR"/>
              </w:rPr>
              <w:t>2012</w:t>
            </w:r>
          </w:p>
        </w:tc>
        <w:tc>
          <w:tcPr>
            <w:tcW w:w="1171" w:type="pct"/>
            <w:vAlign w:val="center"/>
          </w:tcPr>
          <w:p w:rsidR="00B86BD8" w:rsidRPr="00926355" w:rsidRDefault="00B86BD8" w:rsidP="00600E05">
            <w:pPr>
              <w:jc w:val="right"/>
              <w:cnfStyle w:val="010000000000" w:firstRow="0" w:lastRow="1" w:firstColumn="0" w:lastColumn="0" w:oddVBand="0" w:evenVBand="0" w:oddHBand="0" w:evenHBand="0" w:firstRowFirstColumn="0" w:firstRowLastColumn="0" w:lastRowFirstColumn="0" w:lastRowLastColumn="0"/>
              <w:rPr>
                <w:color w:val="000000"/>
              </w:rPr>
            </w:pPr>
            <w:r w:rsidRPr="00926355">
              <w:rPr>
                <w:color w:val="000000"/>
              </w:rPr>
              <w:t>687666</w:t>
            </w:r>
          </w:p>
        </w:tc>
        <w:tc>
          <w:tcPr>
            <w:tcW w:w="1035" w:type="pct"/>
            <w:vAlign w:val="center"/>
          </w:tcPr>
          <w:p w:rsidR="00B86BD8" w:rsidRPr="00926355" w:rsidRDefault="00B86BD8" w:rsidP="00600E05">
            <w:pPr>
              <w:jc w:val="right"/>
              <w:cnfStyle w:val="010000000000" w:firstRow="0" w:lastRow="1" w:firstColumn="0" w:lastColumn="0" w:oddVBand="0" w:evenVBand="0" w:oddHBand="0" w:evenHBand="0" w:firstRowFirstColumn="0" w:firstRowLastColumn="0" w:lastRowFirstColumn="0" w:lastRowLastColumn="0"/>
              <w:rPr>
                <w:color w:val="000000"/>
              </w:rPr>
            </w:pPr>
            <w:r w:rsidRPr="00926355">
              <w:rPr>
                <w:color w:val="000000"/>
              </w:rPr>
              <w:t>982606</w:t>
            </w:r>
          </w:p>
        </w:tc>
        <w:tc>
          <w:tcPr>
            <w:tcW w:w="1032" w:type="pct"/>
            <w:vAlign w:val="center"/>
          </w:tcPr>
          <w:p w:rsidR="00B86BD8" w:rsidRPr="00B6129D" w:rsidRDefault="00B86BD8" w:rsidP="00600E05">
            <w:pPr>
              <w:jc w:val="right"/>
              <w:cnfStyle w:val="010000000000" w:firstRow="0" w:lastRow="1" w:firstColumn="0" w:lastColumn="0" w:oddVBand="0" w:evenVBand="0" w:oddHBand="0" w:evenHBand="0" w:firstRowFirstColumn="0" w:firstRowLastColumn="0" w:lastRowFirstColumn="0" w:lastRowLastColumn="0"/>
              <w:rPr>
                <w:color w:val="000000"/>
              </w:rPr>
            </w:pPr>
            <w:r w:rsidRPr="00B6129D">
              <w:rPr>
                <w:color w:val="000000"/>
              </w:rPr>
              <w:t>20827</w:t>
            </w:r>
          </w:p>
        </w:tc>
        <w:tc>
          <w:tcPr>
            <w:tcW w:w="1032" w:type="pct"/>
            <w:vAlign w:val="center"/>
          </w:tcPr>
          <w:p w:rsidR="00B86BD8" w:rsidRPr="00926355" w:rsidRDefault="00B86BD8" w:rsidP="00600E05">
            <w:pPr>
              <w:jc w:val="right"/>
              <w:cnfStyle w:val="010000000000" w:firstRow="0" w:lastRow="1" w:firstColumn="0" w:lastColumn="0" w:oddVBand="0" w:evenVBand="0" w:oddHBand="0" w:evenHBand="0" w:firstRowFirstColumn="0" w:firstRowLastColumn="0" w:lastRowFirstColumn="0" w:lastRowLastColumn="0"/>
              <w:rPr>
                <w:color w:val="000000"/>
              </w:rPr>
            </w:pPr>
            <w:r w:rsidRPr="00926355">
              <w:rPr>
                <w:color w:val="000000"/>
              </w:rPr>
              <w:t>4439</w:t>
            </w:r>
          </w:p>
        </w:tc>
      </w:tr>
    </w:tbl>
    <w:p w:rsidR="00B86BD8" w:rsidRDefault="00B86BD8" w:rsidP="009D7EBD"/>
    <w:p w:rsidR="00B86BD8" w:rsidRDefault="00B86BD8">
      <w:r>
        <w:br w:type="page"/>
      </w:r>
    </w:p>
    <w:p w:rsidR="00B86BD8" w:rsidRPr="00600E05" w:rsidRDefault="00B86BD8" w:rsidP="006F0B75">
      <w:pPr>
        <w:rPr>
          <w:snapToGrid w:val="0"/>
          <w:vanish/>
          <w:sz w:val="22"/>
          <w:szCs w:val="22"/>
          <w:lang w:eastAsia="fr-FR"/>
          <w:specVanish/>
        </w:rPr>
      </w:pPr>
      <w:r w:rsidRPr="00600E05">
        <w:rPr>
          <w:sz w:val="22"/>
          <w:szCs w:val="22"/>
        </w:rPr>
        <w:lastRenderedPageBreak/>
        <w:t xml:space="preserve">Table 2. </w:t>
      </w:r>
      <w:r w:rsidRPr="00600E05">
        <w:rPr>
          <w:snapToGrid w:val="0"/>
          <w:sz w:val="22"/>
          <w:szCs w:val="22"/>
          <w:lang w:eastAsia="fr-FR"/>
        </w:rPr>
        <w:t>Time series of nominal annual pot fishery retained, observer retained, and observer total catch-per-unit-effort (CPUE, number of crabs per pot lift), observer sample size (number of sampled pots), GLM estimated CPUE Index, and nominal legal size crabs CPUE standardized by the CPUE index for the EAG</w:t>
      </w:r>
      <w:r w:rsidRPr="00600E05">
        <w:rPr>
          <w:sz w:val="22"/>
          <w:szCs w:val="22"/>
        </w:rPr>
        <w:t xml:space="preserve"> golden king crab stock</w:t>
      </w:r>
      <w:r w:rsidRPr="00600E05">
        <w:rPr>
          <w:snapToGrid w:val="0"/>
          <w:sz w:val="22"/>
          <w:szCs w:val="22"/>
          <w:lang w:eastAsia="fr-FR"/>
        </w:rPr>
        <w:t>. NA = no sampling information. 1990 refers to the 1990/91 fish</w:t>
      </w:r>
      <w:r>
        <w:rPr>
          <w:snapToGrid w:val="0"/>
          <w:sz w:val="22"/>
          <w:szCs w:val="22"/>
          <w:lang w:eastAsia="fr-FR"/>
        </w:rPr>
        <w:t>ery</w:t>
      </w:r>
      <w:r w:rsidRPr="00600E05">
        <w:rPr>
          <w:snapToGrid w:val="0"/>
          <w:sz w:val="22"/>
          <w:szCs w:val="22"/>
          <w:lang w:eastAsia="fr-FR"/>
        </w:rPr>
        <w:t>.</w:t>
      </w:r>
    </w:p>
    <w:tbl>
      <w:tblPr>
        <w:tblStyle w:val="TableClassic1"/>
        <w:tblpPr w:leftFromText="180" w:rightFromText="180" w:vertAnchor="text" w:horzAnchor="page" w:tblpX="2156" w:tblpY="361"/>
        <w:tblOverlap w:val="never"/>
        <w:tblW w:w="4075" w:type="pct"/>
        <w:tblLayout w:type="fixed"/>
        <w:tblLook w:val="01E0" w:firstRow="1" w:lastRow="1" w:firstColumn="1" w:lastColumn="1" w:noHBand="0" w:noVBand="0"/>
      </w:tblPr>
      <w:tblGrid>
        <w:gridCol w:w="802"/>
        <w:gridCol w:w="1163"/>
        <w:gridCol w:w="1160"/>
        <w:gridCol w:w="1174"/>
        <w:gridCol w:w="994"/>
        <w:gridCol w:w="994"/>
        <w:gridCol w:w="1517"/>
      </w:tblGrid>
      <w:tr w:rsidR="00B86BD8" w:rsidRPr="008E57FB" w:rsidTr="00600E0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spacing w:before="120" w:line="276" w:lineRule="auto"/>
              <w:rPr>
                <w:snapToGrid w:val="0"/>
                <w:lang w:eastAsia="fr-FR"/>
              </w:rPr>
            </w:pPr>
            <w:r w:rsidRPr="006F0B75">
              <w:rPr>
                <w:snapToGrid w:val="0"/>
                <w:lang w:eastAsia="fr-FR"/>
              </w:rPr>
              <w:t>Year</w:t>
            </w:r>
          </w:p>
        </w:tc>
        <w:tc>
          <w:tcPr>
            <w:tcW w:w="745" w:type="pct"/>
            <w:vAlign w:val="center"/>
          </w:tcPr>
          <w:p w:rsidR="00B86BD8" w:rsidRPr="006F0B75" w:rsidRDefault="00B86BD8" w:rsidP="00600E05">
            <w:pPr>
              <w:widowControl w:val="0"/>
              <w:spacing w:before="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Pr>
                <w:snapToGrid w:val="0"/>
                <w:lang w:eastAsia="fr-FR"/>
              </w:rPr>
              <w:t>Pot Fishery Nominal Retained CPUE</w:t>
            </w:r>
          </w:p>
        </w:tc>
        <w:tc>
          <w:tcPr>
            <w:tcW w:w="743" w:type="pct"/>
            <w:vAlign w:val="center"/>
          </w:tcPr>
          <w:p w:rsidR="00B86BD8" w:rsidRPr="006F0B75" w:rsidRDefault="00B86BD8" w:rsidP="00600E05">
            <w:pPr>
              <w:widowControl w:val="0"/>
              <w:spacing w:before="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sidRPr="006F0B75">
              <w:rPr>
                <w:snapToGrid w:val="0"/>
                <w:lang w:eastAsia="fr-FR"/>
              </w:rPr>
              <w:t xml:space="preserve">Obs. </w:t>
            </w:r>
            <w:r>
              <w:rPr>
                <w:snapToGrid w:val="0"/>
                <w:lang w:eastAsia="fr-FR"/>
              </w:rPr>
              <w:t>Nominal</w:t>
            </w:r>
            <w:r w:rsidRPr="006F0B75">
              <w:rPr>
                <w:snapToGrid w:val="0"/>
                <w:lang w:eastAsia="fr-FR"/>
              </w:rPr>
              <w:t xml:space="preserve"> Retained CPUE</w:t>
            </w:r>
          </w:p>
        </w:tc>
        <w:tc>
          <w:tcPr>
            <w:tcW w:w="752" w:type="pct"/>
            <w:vAlign w:val="center"/>
          </w:tcPr>
          <w:p w:rsidR="00B86BD8" w:rsidRPr="006F0B75" w:rsidRDefault="00B86BD8" w:rsidP="00600E05">
            <w:pPr>
              <w:widowControl w:val="0"/>
              <w:spacing w:before="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sidRPr="006F0B75">
              <w:rPr>
                <w:snapToGrid w:val="0"/>
                <w:lang w:eastAsia="fr-FR"/>
              </w:rPr>
              <w:t xml:space="preserve">Obs. </w:t>
            </w:r>
            <w:r>
              <w:rPr>
                <w:snapToGrid w:val="0"/>
                <w:lang w:eastAsia="fr-FR"/>
              </w:rPr>
              <w:t xml:space="preserve">Nominal  Total </w:t>
            </w:r>
            <w:r w:rsidRPr="006F0B75">
              <w:rPr>
                <w:snapToGrid w:val="0"/>
                <w:lang w:eastAsia="fr-FR"/>
              </w:rPr>
              <w:t>CPUE</w:t>
            </w:r>
          </w:p>
        </w:tc>
        <w:tc>
          <w:tcPr>
            <w:tcW w:w="637" w:type="pct"/>
            <w:vAlign w:val="center"/>
          </w:tcPr>
          <w:p w:rsidR="00B86BD8" w:rsidRPr="006F0B75" w:rsidRDefault="00B86BD8" w:rsidP="00600E05">
            <w:pPr>
              <w:widowControl w:val="0"/>
              <w:spacing w:before="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sidRPr="006F0B75">
              <w:rPr>
                <w:snapToGrid w:val="0"/>
                <w:lang w:eastAsia="fr-FR"/>
              </w:rPr>
              <w:t>Sample Size (no.pot lifts)</w:t>
            </w:r>
          </w:p>
        </w:tc>
        <w:tc>
          <w:tcPr>
            <w:tcW w:w="637" w:type="pct"/>
            <w:vAlign w:val="center"/>
          </w:tcPr>
          <w:p w:rsidR="00B86BD8" w:rsidRPr="006F0B75" w:rsidRDefault="00B86BD8" w:rsidP="00600E05">
            <w:pPr>
              <w:widowControl w:val="0"/>
              <w:spacing w:before="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Pr>
                <w:snapToGrid w:val="0"/>
                <w:lang w:eastAsia="fr-FR"/>
              </w:rPr>
              <w:t>CPUE Index</w:t>
            </w:r>
          </w:p>
        </w:tc>
        <w:tc>
          <w:tcPr>
            <w:cnfStyle w:val="000000001000" w:firstRow="0" w:lastRow="0" w:firstColumn="0" w:lastColumn="0" w:oddVBand="0" w:evenVBand="0" w:oddHBand="0" w:evenHBand="0" w:firstRowFirstColumn="0" w:firstRowLastColumn="1" w:lastRowFirstColumn="0" w:lastRowLastColumn="0"/>
            <w:tcW w:w="972" w:type="pct"/>
            <w:vAlign w:val="center"/>
          </w:tcPr>
          <w:p w:rsidR="00B86BD8" w:rsidRPr="006F0B75" w:rsidRDefault="00B86BD8" w:rsidP="00600E05">
            <w:pPr>
              <w:widowControl w:val="0"/>
              <w:spacing w:before="120" w:line="276" w:lineRule="auto"/>
              <w:jc w:val="center"/>
              <w:rPr>
                <w:snapToGrid w:val="0"/>
                <w:lang w:eastAsia="fr-FR"/>
              </w:rPr>
            </w:pPr>
            <w:r>
              <w:rPr>
                <w:snapToGrid w:val="0"/>
                <w:lang w:eastAsia="fr-FR"/>
              </w:rPr>
              <w:t>Nominal CPUE Standardized</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1990</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8.898</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2.167</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13.000</w:t>
            </w:r>
          </w:p>
        </w:tc>
        <w:tc>
          <w:tcPr>
            <w:tcW w:w="637" w:type="pct"/>
            <w:vAlign w:val="center"/>
          </w:tcPr>
          <w:p w:rsidR="00B86BD8" w:rsidRPr="006F0B75" w:rsidRDefault="00B86BD8" w:rsidP="00600E05">
            <w:pPr>
              <w:jc w:val="right"/>
              <w:cnfStyle w:val="000000000000" w:firstRow="0" w:lastRow="0" w:firstColumn="0" w:lastColumn="0" w:oddVBand="0" w:evenVBand="0" w:oddHBand="0" w:evenHBand="0" w:firstRowFirstColumn="0" w:firstRowLastColumn="0" w:lastRowFirstColumn="0" w:lastRowLastColumn="0"/>
            </w:pPr>
            <w:r w:rsidRPr="006F0B75">
              <w:t>90</w:t>
            </w:r>
          </w:p>
        </w:tc>
        <w:tc>
          <w:tcPr>
            <w:tcW w:w="637" w:type="pct"/>
            <w:vAlign w:val="center"/>
          </w:tcPr>
          <w:p w:rsidR="00B86BD8" w:rsidRPr="006F0B75" w:rsidRDefault="00B86BD8" w:rsidP="00600E05">
            <w:pPr>
              <w:jc w:val="right"/>
              <w:cnfStyle w:val="000000000000" w:firstRow="0" w:lastRow="0" w:firstColumn="0" w:lastColumn="0" w:oddVBand="0" w:evenVBand="0" w:oddHBand="0" w:evenHBand="0" w:firstRowFirstColumn="0" w:firstRowLastColumn="0" w:lastRowFirstColumn="0" w:lastRowLastColumn="0"/>
            </w:pPr>
          </w:p>
        </w:tc>
        <w:tc>
          <w:tcPr>
            <w:tcW w:w="972" w:type="pct"/>
            <w:vAlign w:val="center"/>
          </w:tcPr>
          <w:p w:rsidR="00B86BD8" w:rsidRPr="006F0B75" w:rsidRDefault="00B86BD8" w:rsidP="00600E05">
            <w:pPr>
              <w:jc w:val="right"/>
              <w:cnfStyle w:val="000000000000" w:firstRow="0" w:lastRow="0" w:firstColumn="0" w:lastColumn="0" w:oddVBand="0" w:evenVBand="0" w:oddHBand="0" w:evenHBand="0" w:firstRowFirstColumn="0" w:firstRowLastColumn="0" w:lastRowFirstColumn="0" w:lastRowLastColumn="0"/>
            </w:pP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1991</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8.199</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14.633</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31.633</w:t>
            </w:r>
          </w:p>
        </w:tc>
        <w:tc>
          <w:tcPr>
            <w:tcW w:w="637" w:type="pct"/>
            <w:vAlign w:val="center"/>
          </w:tcPr>
          <w:p w:rsidR="00B86BD8" w:rsidRPr="006F0B75" w:rsidRDefault="00B86BD8" w:rsidP="00600E05">
            <w:pPr>
              <w:jc w:val="right"/>
              <w:cnfStyle w:val="000000000000" w:firstRow="0" w:lastRow="0" w:firstColumn="0" w:lastColumn="0" w:oddVBand="0" w:evenVBand="0" w:oddHBand="0" w:evenHBand="0" w:firstRowFirstColumn="0" w:firstRowLastColumn="0" w:lastRowFirstColumn="0" w:lastRowLastColumn="0"/>
            </w:pPr>
            <w:r w:rsidRPr="006F0B75">
              <w:t>206</w:t>
            </w:r>
          </w:p>
        </w:tc>
        <w:tc>
          <w:tcPr>
            <w:tcW w:w="637" w:type="pct"/>
            <w:vAlign w:val="center"/>
          </w:tcPr>
          <w:p w:rsidR="00B86BD8" w:rsidRPr="006F0B75" w:rsidRDefault="00B86BD8" w:rsidP="00600E05">
            <w:pPr>
              <w:jc w:val="right"/>
              <w:cnfStyle w:val="000000000000" w:firstRow="0" w:lastRow="0" w:firstColumn="0" w:lastColumn="0" w:oddVBand="0" w:evenVBand="0" w:oddHBand="0" w:evenHBand="0" w:firstRowFirstColumn="0" w:firstRowLastColumn="0" w:lastRowFirstColumn="0" w:lastRowLastColumn="0"/>
            </w:pPr>
          </w:p>
        </w:tc>
        <w:tc>
          <w:tcPr>
            <w:tcW w:w="972" w:type="pct"/>
            <w:vAlign w:val="center"/>
          </w:tcPr>
          <w:p w:rsidR="00B86BD8" w:rsidRPr="006F0B75" w:rsidRDefault="00B86BD8" w:rsidP="00600E05">
            <w:pPr>
              <w:jc w:val="right"/>
              <w:cnfStyle w:val="000000000000" w:firstRow="0" w:lastRow="0" w:firstColumn="0" w:lastColumn="0" w:oddVBand="0" w:evenVBand="0" w:oddHBand="0" w:evenHBand="0" w:firstRowFirstColumn="0" w:firstRowLastColumn="0" w:lastRowFirstColumn="0" w:lastRowLastColumn="0"/>
            </w:pP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1992</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8.364</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10.111</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38.692</w:t>
            </w:r>
          </w:p>
        </w:tc>
        <w:tc>
          <w:tcPr>
            <w:tcW w:w="637" w:type="pct"/>
            <w:vAlign w:val="center"/>
          </w:tcPr>
          <w:p w:rsidR="00B86BD8" w:rsidRPr="006F0B75" w:rsidRDefault="00B86BD8" w:rsidP="00600E05">
            <w:pPr>
              <w:jc w:val="right"/>
              <w:cnfStyle w:val="000000000000" w:firstRow="0" w:lastRow="0" w:firstColumn="0" w:lastColumn="0" w:oddVBand="0" w:evenVBand="0" w:oddHBand="0" w:evenHBand="0" w:firstRowFirstColumn="0" w:firstRowLastColumn="0" w:lastRowFirstColumn="0" w:lastRowLastColumn="0"/>
            </w:pPr>
            <w:r w:rsidRPr="006F0B75">
              <w:t>137</w:t>
            </w:r>
          </w:p>
        </w:tc>
        <w:tc>
          <w:tcPr>
            <w:tcW w:w="637" w:type="pct"/>
            <w:vAlign w:val="center"/>
          </w:tcPr>
          <w:p w:rsidR="00B86BD8" w:rsidRPr="006F0B75" w:rsidRDefault="00B86BD8" w:rsidP="00600E05">
            <w:pPr>
              <w:jc w:val="right"/>
              <w:cnfStyle w:val="000000000000" w:firstRow="0" w:lastRow="0" w:firstColumn="0" w:lastColumn="0" w:oddVBand="0" w:evenVBand="0" w:oddHBand="0" w:evenHBand="0" w:firstRowFirstColumn="0" w:firstRowLastColumn="0" w:lastRowFirstColumn="0" w:lastRowLastColumn="0"/>
            </w:pPr>
          </w:p>
        </w:tc>
        <w:tc>
          <w:tcPr>
            <w:tcW w:w="972" w:type="pct"/>
            <w:vAlign w:val="center"/>
          </w:tcPr>
          <w:p w:rsidR="00B86BD8" w:rsidRPr="006F0B75" w:rsidRDefault="00B86BD8" w:rsidP="00600E05">
            <w:pPr>
              <w:jc w:val="right"/>
              <w:cnfStyle w:val="000000000000" w:firstRow="0" w:lastRow="0" w:firstColumn="0" w:lastColumn="0" w:oddVBand="0" w:evenVBand="0" w:oddHBand="0" w:evenHBand="0" w:firstRowFirstColumn="0" w:firstRowLastColumn="0" w:lastRowFirstColumn="0" w:lastRowLastColumn="0"/>
            </w:pP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1993</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7.786</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5.300</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20.400</w:t>
            </w:r>
          </w:p>
        </w:tc>
        <w:tc>
          <w:tcPr>
            <w:tcW w:w="637" w:type="pct"/>
            <w:vAlign w:val="center"/>
          </w:tcPr>
          <w:p w:rsidR="00B86BD8" w:rsidRPr="006F0B75" w:rsidRDefault="00B86BD8" w:rsidP="00600E05">
            <w:pPr>
              <w:jc w:val="right"/>
              <w:cnfStyle w:val="000000000000" w:firstRow="0" w:lastRow="0" w:firstColumn="0" w:lastColumn="0" w:oddVBand="0" w:evenVBand="0" w:oddHBand="0" w:evenHBand="0" w:firstRowFirstColumn="0" w:firstRowLastColumn="0" w:lastRowFirstColumn="0" w:lastRowLastColumn="0"/>
            </w:pPr>
            <w:r>
              <w:t>NA</w:t>
            </w:r>
          </w:p>
        </w:tc>
        <w:tc>
          <w:tcPr>
            <w:tcW w:w="637" w:type="pct"/>
            <w:vAlign w:val="center"/>
          </w:tcPr>
          <w:p w:rsidR="00B86BD8" w:rsidRDefault="00B86BD8" w:rsidP="00600E05">
            <w:pPr>
              <w:jc w:val="right"/>
              <w:cnfStyle w:val="000000000000" w:firstRow="0" w:lastRow="0" w:firstColumn="0" w:lastColumn="0" w:oddVBand="0" w:evenVBand="0" w:oddHBand="0" w:evenHBand="0" w:firstRowFirstColumn="0" w:firstRowLastColumn="0" w:lastRowFirstColumn="0" w:lastRowLastColumn="0"/>
            </w:pPr>
          </w:p>
        </w:tc>
        <w:tc>
          <w:tcPr>
            <w:tcW w:w="972" w:type="pct"/>
            <w:vAlign w:val="center"/>
          </w:tcPr>
          <w:p w:rsidR="00B86BD8" w:rsidRDefault="00B86BD8" w:rsidP="00600E05">
            <w:pPr>
              <w:jc w:val="right"/>
              <w:cnfStyle w:val="000000000000" w:firstRow="0" w:lastRow="0" w:firstColumn="0" w:lastColumn="0" w:oddVBand="0" w:evenVBand="0" w:oddHBand="0" w:evenHBand="0" w:firstRowFirstColumn="0" w:firstRowLastColumn="0" w:lastRowFirstColumn="0" w:lastRowLastColumn="0"/>
            </w:pP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1994</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5.892</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2.488</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14.205</w:t>
            </w:r>
          </w:p>
        </w:tc>
        <w:tc>
          <w:tcPr>
            <w:tcW w:w="637" w:type="pct"/>
            <w:vAlign w:val="center"/>
          </w:tcPr>
          <w:p w:rsidR="00B86BD8" w:rsidRPr="006F0B75" w:rsidRDefault="00B86BD8" w:rsidP="00600E05">
            <w:pPr>
              <w:jc w:val="right"/>
              <w:cnfStyle w:val="000000000000" w:firstRow="0" w:lastRow="0" w:firstColumn="0" w:lastColumn="0" w:oddVBand="0" w:evenVBand="0" w:oddHBand="0" w:evenHBand="0" w:firstRowFirstColumn="0" w:firstRowLastColumn="0" w:lastRowFirstColumn="0" w:lastRowLastColumn="0"/>
            </w:pPr>
            <w:r>
              <w:t>NA</w:t>
            </w:r>
          </w:p>
        </w:tc>
        <w:tc>
          <w:tcPr>
            <w:tcW w:w="637" w:type="pct"/>
            <w:vAlign w:val="center"/>
          </w:tcPr>
          <w:p w:rsidR="00B86BD8" w:rsidRDefault="00B86BD8" w:rsidP="00600E05">
            <w:pPr>
              <w:jc w:val="right"/>
              <w:cnfStyle w:val="000000000000" w:firstRow="0" w:lastRow="0" w:firstColumn="0" w:lastColumn="0" w:oddVBand="0" w:evenVBand="0" w:oddHBand="0" w:evenHBand="0" w:firstRowFirstColumn="0" w:firstRowLastColumn="0" w:lastRowFirstColumn="0" w:lastRowLastColumn="0"/>
            </w:pPr>
          </w:p>
        </w:tc>
        <w:tc>
          <w:tcPr>
            <w:tcW w:w="972" w:type="pct"/>
            <w:vAlign w:val="center"/>
          </w:tcPr>
          <w:p w:rsidR="00B86BD8" w:rsidRDefault="00B86BD8" w:rsidP="00600E05">
            <w:pPr>
              <w:jc w:val="right"/>
              <w:cnfStyle w:val="000000000000" w:firstRow="0" w:lastRow="0" w:firstColumn="0" w:lastColumn="0" w:oddVBand="0" w:evenVBand="0" w:oddHBand="0" w:evenHBand="0" w:firstRowFirstColumn="0" w:firstRowLastColumn="0" w:lastRowFirstColumn="0" w:lastRowLastColumn="0"/>
            </w:pP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1995</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5.888</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5.283</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17.055</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7547</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0.734</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6.693</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1996</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6.451</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5.167</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13.723</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6561</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0.758</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6.910</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1997</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7.336</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7.127</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18.111</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4676</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0.791</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7.210</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1998</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8.875</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8.900</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25.224</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3616</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0.954</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8.701</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1999</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8.964</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9.141</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20.607</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3857</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0.884</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8.058</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2000</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9.849</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9.885</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25.414</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5047</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0.907</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8.266</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2001</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11.655</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11.015</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22.488</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4629</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1.184</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10.797</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2002</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12.372</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11.945</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22.718</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3990</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1.261</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11.494</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2003</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10.921</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11.003</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19.458</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3970</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1.105</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10.079</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2004</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18.295</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17.541</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28.354</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2208</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1.802</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16.432</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2005</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25.397</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27.536</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35.715</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1198</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1.109</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33.144</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2006</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24.836</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24.802</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32.998</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1103</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0.884</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26.421</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2007</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27.954</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30.723</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39.532</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1006</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1.019</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30.452</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2008</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27.260</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29.520</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37.648</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613</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0.991</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29.620</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sidRPr="006F0B75">
              <w:rPr>
                <w:snapToGrid w:val="0"/>
                <w:lang w:eastAsia="fr-FR"/>
              </w:rPr>
              <w:t>2009</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25.853</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26.669</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36.348</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411</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0.829</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24.773</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b/>
                <w:snapToGrid w:val="0"/>
                <w:lang w:eastAsia="fr-FR"/>
              </w:rPr>
            </w:pPr>
            <w:r w:rsidRPr="006F0B75">
              <w:rPr>
                <w:snapToGrid w:val="0"/>
                <w:lang w:eastAsia="fr-FR"/>
              </w:rPr>
              <w:t>2010</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25.956</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25.374</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35.617</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436</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0.849</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25.363</w:t>
            </w:r>
          </w:p>
        </w:tc>
      </w:tr>
      <w:tr w:rsidR="00B86BD8" w:rsidRPr="008E57FB" w:rsidTr="00600E05">
        <w:trPr>
          <w:trHeight w:val="317"/>
        </w:trPr>
        <w:tc>
          <w:tcPr>
            <w:cnfStyle w:val="001000000000" w:firstRow="0" w:lastRow="0" w:firstColumn="1" w:lastColumn="0" w:oddVBand="0" w:evenVBand="0" w:oddHBand="0" w:evenHBand="0" w:firstRowFirstColumn="0" w:firstRowLastColumn="0" w:lastRowFirstColumn="0" w:lastRowLastColumn="0"/>
            <w:tcW w:w="513" w:type="pct"/>
            <w:vAlign w:val="center"/>
          </w:tcPr>
          <w:p w:rsidR="00B86BD8" w:rsidRPr="006F0B75" w:rsidRDefault="00B86BD8" w:rsidP="00600E05">
            <w:pPr>
              <w:widowControl w:val="0"/>
              <w:jc w:val="right"/>
              <w:rPr>
                <w:snapToGrid w:val="0"/>
                <w:lang w:eastAsia="fr-FR"/>
              </w:rPr>
            </w:pPr>
            <w:r>
              <w:rPr>
                <w:snapToGrid w:val="0"/>
                <w:lang w:eastAsia="fr-FR"/>
              </w:rPr>
              <w:t>2011</w:t>
            </w:r>
          </w:p>
        </w:tc>
        <w:tc>
          <w:tcPr>
            <w:tcW w:w="745"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37.333</w:t>
            </w:r>
          </w:p>
        </w:tc>
        <w:tc>
          <w:tcPr>
            <w:tcW w:w="743" w:type="pct"/>
            <w:vAlign w:val="center"/>
          </w:tcPr>
          <w:p w:rsidR="00B86BD8" w:rsidRPr="00E53B0E"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E53B0E">
              <w:rPr>
                <w:color w:val="000000"/>
              </w:rPr>
              <w:t>40.127</w:t>
            </w:r>
          </w:p>
        </w:tc>
        <w:tc>
          <w:tcPr>
            <w:tcW w:w="752" w:type="pct"/>
            <w:vAlign w:val="center"/>
          </w:tcPr>
          <w:p w:rsidR="00B86BD8" w:rsidRPr="00D2608B"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rPr>
            </w:pPr>
            <w:r w:rsidRPr="00D2608B">
              <w:rPr>
                <w:color w:val="000000"/>
              </w:rPr>
              <w:t>52.925</w:t>
            </w:r>
          </w:p>
        </w:tc>
        <w:tc>
          <w:tcPr>
            <w:tcW w:w="637" w:type="pct"/>
            <w:vAlign w:val="center"/>
          </w:tcPr>
          <w:p w:rsidR="00B86BD8" w:rsidRPr="004D083F"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361</w:t>
            </w:r>
          </w:p>
        </w:tc>
        <w:tc>
          <w:tcPr>
            <w:tcW w:w="637"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1.223</w:t>
            </w:r>
          </w:p>
        </w:tc>
        <w:tc>
          <w:tcPr>
            <w:tcW w:w="972" w:type="pct"/>
            <w:vAlign w:val="center"/>
          </w:tcPr>
          <w:p w:rsidR="00B86BD8" w:rsidRPr="00724988" w:rsidRDefault="00B86BD8" w:rsidP="00600E05">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36.525</w:t>
            </w:r>
          </w:p>
        </w:tc>
      </w:tr>
      <w:tr w:rsidR="00B86BD8" w:rsidRPr="008E57FB" w:rsidTr="00600E05">
        <w:trPr>
          <w:cnfStyle w:val="010000000000" w:firstRow="0" w:lastRow="1" w:firstColumn="0" w:lastColumn="0" w:oddVBand="0" w:evenVBand="0" w:oddHBand="0" w:evenHBand="0" w:firstRowFirstColumn="0" w:firstRowLastColumn="0" w:lastRowFirstColumn="0" w:lastRowLastColumn="0"/>
          <w:trHeight w:val="317"/>
        </w:trPr>
        <w:tc>
          <w:tcPr>
            <w:cnfStyle w:val="001000000001" w:firstRow="0" w:lastRow="0" w:firstColumn="1" w:lastColumn="0" w:oddVBand="0" w:evenVBand="0" w:oddHBand="0" w:evenHBand="0" w:firstRowFirstColumn="0" w:firstRowLastColumn="0" w:lastRowFirstColumn="1" w:lastRowLastColumn="0"/>
            <w:tcW w:w="513" w:type="pct"/>
            <w:vAlign w:val="center"/>
          </w:tcPr>
          <w:p w:rsidR="00B86BD8" w:rsidRPr="007F4DE3" w:rsidRDefault="00B86BD8" w:rsidP="00600E05">
            <w:pPr>
              <w:widowControl w:val="0"/>
              <w:jc w:val="right"/>
              <w:rPr>
                <w:b w:val="0"/>
                <w:snapToGrid w:val="0"/>
                <w:lang w:eastAsia="fr-FR"/>
              </w:rPr>
            </w:pPr>
            <w:r w:rsidRPr="007F4DE3">
              <w:rPr>
                <w:b w:val="0"/>
                <w:snapToGrid w:val="0"/>
                <w:lang w:eastAsia="fr-FR"/>
              </w:rPr>
              <w:t>2012</w:t>
            </w:r>
          </w:p>
        </w:tc>
        <w:tc>
          <w:tcPr>
            <w:tcW w:w="745" w:type="pct"/>
            <w:vAlign w:val="center"/>
          </w:tcPr>
          <w:p w:rsidR="00B86BD8" w:rsidRPr="00D2608B" w:rsidRDefault="00B86BD8" w:rsidP="00600E05">
            <w:pPr>
              <w:jc w:val="right"/>
              <w:cnfStyle w:val="010000000000" w:firstRow="0" w:lastRow="1" w:firstColumn="0" w:lastColumn="0" w:oddVBand="0" w:evenVBand="0" w:oddHBand="0" w:evenHBand="0" w:firstRowFirstColumn="0" w:firstRowLastColumn="0" w:lastRowFirstColumn="0" w:lastRowLastColumn="0"/>
              <w:rPr>
                <w:color w:val="000000"/>
              </w:rPr>
            </w:pPr>
            <w:r w:rsidRPr="00D2608B">
              <w:rPr>
                <w:color w:val="000000"/>
              </w:rPr>
              <w:t>33.018</w:t>
            </w:r>
          </w:p>
        </w:tc>
        <w:tc>
          <w:tcPr>
            <w:tcW w:w="743" w:type="pct"/>
            <w:vAlign w:val="center"/>
          </w:tcPr>
          <w:p w:rsidR="00B86BD8" w:rsidRPr="00E53B0E" w:rsidRDefault="00B86BD8" w:rsidP="00600E05">
            <w:pPr>
              <w:jc w:val="right"/>
              <w:cnfStyle w:val="010000000000" w:firstRow="0" w:lastRow="1" w:firstColumn="0" w:lastColumn="0" w:oddVBand="0" w:evenVBand="0" w:oddHBand="0" w:evenHBand="0" w:firstRowFirstColumn="0" w:firstRowLastColumn="0" w:lastRowFirstColumn="0" w:lastRowLastColumn="0"/>
              <w:rPr>
                <w:color w:val="000000"/>
              </w:rPr>
            </w:pPr>
            <w:r w:rsidRPr="00E53B0E">
              <w:rPr>
                <w:color w:val="000000"/>
              </w:rPr>
              <w:t>37.735</w:t>
            </w:r>
          </w:p>
        </w:tc>
        <w:tc>
          <w:tcPr>
            <w:tcW w:w="752" w:type="pct"/>
            <w:vAlign w:val="center"/>
          </w:tcPr>
          <w:p w:rsidR="00B86BD8" w:rsidRPr="00D2608B" w:rsidRDefault="00B86BD8" w:rsidP="00600E05">
            <w:pPr>
              <w:jc w:val="right"/>
              <w:cnfStyle w:val="010000000000" w:firstRow="0" w:lastRow="1" w:firstColumn="0" w:lastColumn="0" w:oddVBand="0" w:evenVBand="0" w:oddHBand="0" w:evenHBand="0" w:firstRowFirstColumn="0" w:firstRowLastColumn="0" w:lastRowFirstColumn="0" w:lastRowLastColumn="0"/>
              <w:rPr>
                <w:color w:val="000000"/>
              </w:rPr>
            </w:pPr>
            <w:r w:rsidRPr="00D2608B">
              <w:rPr>
                <w:color w:val="000000"/>
              </w:rPr>
              <w:t>47.363</w:t>
            </w:r>
          </w:p>
        </w:tc>
        <w:tc>
          <w:tcPr>
            <w:tcW w:w="637" w:type="pct"/>
            <w:vAlign w:val="center"/>
          </w:tcPr>
          <w:p w:rsidR="00B86BD8" w:rsidRPr="004D083F" w:rsidRDefault="00B86BD8" w:rsidP="00600E05">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4D083F">
              <w:rPr>
                <w:color w:val="000000"/>
                <w:sz w:val="22"/>
                <w:szCs w:val="22"/>
              </w:rPr>
              <w:t>438</w:t>
            </w:r>
          </w:p>
        </w:tc>
        <w:tc>
          <w:tcPr>
            <w:tcW w:w="637" w:type="pct"/>
            <w:vAlign w:val="center"/>
          </w:tcPr>
          <w:p w:rsidR="00B86BD8" w:rsidRPr="00724988" w:rsidRDefault="00B86BD8" w:rsidP="00600E05">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1.172</w:t>
            </w:r>
          </w:p>
        </w:tc>
        <w:tc>
          <w:tcPr>
            <w:tcW w:w="972" w:type="pct"/>
            <w:vAlign w:val="center"/>
          </w:tcPr>
          <w:p w:rsidR="00B86BD8" w:rsidRPr="00724988" w:rsidRDefault="00B86BD8" w:rsidP="00600E05">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724988">
              <w:rPr>
                <w:color w:val="000000"/>
                <w:sz w:val="22"/>
                <w:szCs w:val="22"/>
              </w:rPr>
              <w:t>35.015</w:t>
            </w:r>
          </w:p>
        </w:tc>
      </w:tr>
    </w:tbl>
    <w:p w:rsidR="00B86BD8" w:rsidRDefault="00B86BD8" w:rsidP="00C5301F">
      <w:r>
        <w:br w:type="textWrapping" w:clear="all"/>
      </w:r>
      <w:r>
        <w:br w:type="page"/>
      </w:r>
    </w:p>
    <w:p w:rsidR="00B86BD8" w:rsidRDefault="00B86BD8" w:rsidP="006F0B75">
      <w:pPr>
        <w:pStyle w:val="Caption"/>
      </w:pPr>
      <w:r>
        <w:lastRenderedPageBreak/>
        <w:t xml:space="preserve">Table 3. Optimization scenarios considered for the stock assessment model for the eastern Aleutian Islands golden king crab (EAG) stock. </w:t>
      </w:r>
    </w:p>
    <w:tbl>
      <w:tblPr>
        <w:tblStyle w:val="TableClassic1"/>
        <w:tblW w:w="0" w:type="auto"/>
        <w:tblLook w:val="04A0" w:firstRow="1" w:lastRow="0" w:firstColumn="1" w:lastColumn="0" w:noHBand="0" w:noVBand="1"/>
      </w:tblPr>
      <w:tblGrid>
        <w:gridCol w:w="1215"/>
        <w:gridCol w:w="3149"/>
        <w:gridCol w:w="2432"/>
        <w:gridCol w:w="2060"/>
      </w:tblGrid>
      <w:tr w:rsidR="00B86BD8" w:rsidRPr="008E57FB" w:rsidTr="006B4E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dxa"/>
          </w:tcPr>
          <w:p w:rsidR="00B86BD8" w:rsidRPr="003B0123" w:rsidRDefault="00B86BD8" w:rsidP="006F0B75">
            <w:pPr>
              <w:spacing w:after="120"/>
              <w:rPr>
                <w:b w:val="0"/>
                <w:iCs w:val="0"/>
              </w:rPr>
            </w:pPr>
            <w:r w:rsidRPr="003B0123">
              <w:t>Scenario</w:t>
            </w:r>
          </w:p>
        </w:tc>
        <w:tc>
          <w:tcPr>
            <w:tcW w:w="3149" w:type="dxa"/>
          </w:tcPr>
          <w:p w:rsidR="00B86BD8" w:rsidRPr="003B0123" w:rsidRDefault="00B86BD8" w:rsidP="006F0B75">
            <w:pPr>
              <w:spacing w:after="120"/>
              <w:cnfStyle w:val="100000000000" w:firstRow="1" w:lastRow="0" w:firstColumn="0" w:lastColumn="0" w:oddVBand="0" w:evenVBand="0" w:oddHBand="0" w:evenHBand="0" w:firstRowFirstColumn="0" w:firstRowLastColumn="0" w:lastRowFirstColumn="0" w:lastRowLastColumn="0"/>
              <w:rPr>
                <w:b w:val="0"/>
                <w:iCs w:val="0"/>
              </w:rPr>
            </w:pPr>
          </w:p>
        </w:tc>
        <w:tc>
          <w:tcPr>
            <w:tcW w:w="2432" w:type="dxa"/>
          </w:tcPr>
          <w:p w:rsidR="00B86BD8" w:rsidRPr="003B0123" w:rsidRDefault="00B86BD8" w:rsidP="006F0B75">
            <w:pPr>
              <w:spacing w:after="120"/>
              <w:cnfStyle w:val="100000000000" w:firstRow="1" w:lastRow="0" w:firstColumn="0" w:lastColumn="0" w:oddVBand="0" w:evenVBand="0" w:oddHBand="0" w:evenHBand="0" w:firstRowFirstColumn="0" w:firstRowLastColumn="0" w:lastRowFirstColumn="0" w:lastRowLastColumn="0"/>
              <w:rPr>
                <w:b w:val="0"/>
                <w:iCs w:val="0"/>
              </w:rPr>
            </w:pPr>
            <w:r>
              <w:t>Likelihood/Penalty Weights</w:t>
            </w:r>
          </w:p>
        </w:tc>
        <w:tc>
          <w:tcPr>
            <w:tcW w:w="2060" w:type="dxa"/>
          </w:tcPr>
          <w:p w:rsidR="00B86BD8" w:rsidRDefault="00B86BD8" w:rsidP="006F0B75">
            <w:pPr>
              <w:spacing w:after="120"/>
              <w:cnfStyle w:val="100000000000" w:firstRow="1" w:lastRow="0" w:firstColumn="0" w:lastColumn="0" w:oddVBand="0" w:evenVBand="0" w:oddHBand="0" w:evenHBand="0" w:firstRowFirstColumn="0" w:firstRowLastColumn="0" w:lastRowFirstColumn="0" w:lastRowLastColumn="0"/>
            </w:pPr>
            <w:r>
              <w:t>Maximum Effective Sample Size</w:t>
            </w:r>
          </w:p>
        </w:tc>
      </w:tr>
      <w:tr w:rsidR="00B86BD8" w:rsidTr="006B4EDE">
        <w:tc>
          <w:tcPr>
            <w:cnfStyle w:val="001000000000" w:firstRow="0" w:lastRow="0" w:firstColumn="1" w:lastColumn="0" w:oddVBand="0" w:evenVBand="0" w:oddHBand="0" w:evenHBand="0" w:firstRowFirstColumn="0" w:firstRowLastColumn="0" w:lastRowFirstColumn="0" w:lastRowLastColumn="0"/>
            <w:tcW w:w="1215" w:type="dxa"/>
          </w:tcPr>
          <w:p w:rsidR="00B86BD8" w:rsidRDefault="00B86BD8" w:rsidP="006F0B75">
            <w:pPr>
              <w:jc w:val="center"/>
            </w:pPr>
            <w:r>
              <w:t>1</w:t>
            </w:r>
          </w:p>
        </w:tc>
        <w:tc>
          <w:tcPr>
            <w:tcW w:w="3149" w:type="dxa"/>
          </w:tcPr>
          <w:p w:rsidR="00B86BD8" w:rsidRDefault="00B86BD8" w:rsidP="004116D2">
            <w:pPr>
              <w:cnfStyle w:val="000000000000" w:firstRow="0" w:lastRow="0" w:firstColumn="0" w:lastColumn="0" w:oddVBand="0" w:evenVBand="0" w:oddHBand="0" w:evenHBand="0" w:firstRowFirstColumn="0" w:firstRowLastColumn="0" w:lastRowFirstColumn="0" w:lastRowLastColumn="0"/>
            </w:pPr>
            <w:r>
              <w:t>Commercial fishery retained catch for 1985–2012, total fishery catch for 1990–2012, observer legal size crab CPUE index for 1995–2012, and groundfish bycatch for 1995–2012; M = 0.18, pot fishery handling mortality = 0.2, and ground fish bycatch handling mortality for trawl = 0.8 and for pot = 0.5.  Tag-release-recapture size data for 1991, 1997, 2000, 2003, and 2006 for size transition matrix estimation. Gamma distribution function considered for the size transition matrix fit. Groundfish fishery selectivity was set to 1.</w:t>
            </w:r>
          </w:p>
        </w:tc>
        <w:tc>
          <w:tcPr>
            <w:tcW w:w="2432" w:type="dxa"/>
          </w:tcPr>
          <w:p w:rsidR="00B86BD8" w:rsidRDefault="00B86BD8" w:rsidP="00463962">
            <w:pPr>
              <w:cnfStyle w:val="000000000000" w:firstRow="0" w:lastRow="0" w:firstColumn="0" w:lastColumn="0" w:oddVBand="0" w:evenVBand="0" w:oddHBand="0" w:evenHBand="0" w:firstRowFirstColumn="0" w:firstRowLastColumn="0" w:lastRowFirstColumn="0" w:lastRowLastColumn="0"/>
            </w:pPr>
            <w:r>
              <w:t>Retained catch = 500, total catch = 50, groundfish discard catch = 25, recruitment deviation = 1.5,  pot fishery F deviation (initial) = 1000 (later relaxed to 0.00001), penalty for regularizing the mean F to 0.3 (initial) = 1000 (later relaxed to 0.00001),</w:t>
            </w:r>
          </w:p>
          <w:p w:rsidR="00B86BD8" w:rsidRDefault="00B86BD8" w:rsidP="00463962">
            <w:pPr>
              <w:cnfStyle w:val="000000000000" w:firstRow="0" w:lastRow="0" w:firstColumn="0" w:lastColumn="0" w:oddVBand="0" w:evenVBand="0" w:oddHBand="0" w:evenHBand="0" w:firstRowFirstColumn="0" w:firstRowLastColumn="0" w:lastRowFirstColumn="0" w:lastRowLastColumn="0"/>
            </w:pPr>
            <w:r>
              <w:t xml:space="preserve">groundfish bycatch fishery F deviation  = 0.0001, tagging data = 0.001, and posfunction = 1000 </w:t>
            </w:r>
          </w:p>
        </w:tc>
        <w:tc>
          <w:tcPr>
            <w:tcW w:w="2060" w:type="dxa"/>
          </w:tcPr>
          <w:p w:rsidR="00B86BD8" w:rsidRDefault="00B86BD8" w:rsidP="006B4EDE">
            <w:pPr>
              <w:cnfStyle w:val="000000000000" w:firstRow="0" w:lastRow="0" w:firstColumn="0" w:lastColumn="0" w:oddVBand="0" w:evenVBand="0" w:oddHBand="0" w:evenHBand="0" w:firstRowFirstColumn="0" w:firstRowLastColumn="0" w:lastRowFirstColumn="0" w:lastRowLastColumn="0"/>
            </w:pPr>
            <w:r>
              <w:t>Retained = 200, total = 125, groundfish discard = 30</w:t>
            </w:r>
          </w:p>
        </w:tc>
      </w:tr>
      <w:tr w:rsidR="00B86BD8" w:rsidTr="006B4EDE">
        <w:tc>
          <w:tcPr>
            <w:cnfStyle w:val="001000000000" w:firstRow="0" w:lastRow="0" w:firstColumn="1" w:lastColumn="0" w:oddVBand="0" w:evenVBand="0" w:oddHBand="0" w:evenHBand="0" w:firstRowFirstColumn="0" w:firstRowLastColumn="0" w:lastRowFirstColumn="0" w:lastRowLastColumn="0"/>
            <w:tcW w:w="1215" w:type="dxa"/>
          </w:tcPr>
          <w:p w:rsidR="00B86BD8" w:rsidRDefault="00B86BD8" w:rsidP="006F0B75">
            <w:pPr>
              <w:jc w:val="center"/>
            </w:pPr>
            <w:r>
              <w:t>2</w:t>
            </w:r>
          </w:p>
          <w:p w:rsidR="00B86BD8" w:rsidRDefault="00B86BD8" w:rsidP="006F0B75">
            <w:pPr>
              <w:jc w:val="center"/>
            </w:pPr>
          </w:p>
          <w:p w:rsidR="00B86BD8" w:rsidRDefault="00B86BD8" w:rsidP="006F0B75">
            <w:pPr>
              <w:jc w:val="center"/>
            </w:pPr>
          </w:p>
          <w:p w:rsidR="00B86BD8" w:rsidRDefault="00B86BD8" w:rsidP="006F0B75">
            <w:pPr>
              <w:jc w:val="center"/>
            </w:pPr>
          </w:p>
          <w:p w:rsidR="00B86BD8" w:rsidRDefault="00B86BD8" w:rsidP="006F0B75">
            <w:pPr>
              <w:jc w:val="center"/>
            </w:pPr>
          </w:p>
        </w:tc>
        <w:tc>
          <w:tcPr>
            <w:tcW w:w="3149" w:type="dxa"/>
          </w:tcPr>
          <w:p w:rsidR="00B86BD8" w:rsidRDefault="00B86BD8" w:rsidP="004116D2">
            <w:pPr>
              <w:cnfStyle w:val="000000000000" w:firstRow="0" w:lastRow="0" w:firstColumn="0" w:lastColumn="0" w:oddVBand="0" w:evenVBand="0" w:oddHBand="0" w:evenHBand="0" w:firstRowFirstColumn="0" w:firstRowLastColumn="0" w:lastRowFirstColumn="0" w:lastRowLastColumn="0"/>
            </w:pPr>
            <w:r>
              <w:t>Same as scenario 1, but considered a composite Gamma and the logistic (molt probability) functions for the size transition matrix fit.</w:t>
            </w:r>
          </w:p>
        </w:tc>
        <w:tc>
          <w:tcPr>
            <w:tcW w:w="2432" w:type="dxa"/>
          </w:tcPr>
          <w:p w:rsidR="00B86BD8" w:rsidRDefault="00B86BD8" w:rsidP="006B4EDE">
            <w:pPr>
              <w:cnfStyle w:val="000000000000" w:firstRow="0" w:lastRow="0" w:firstColumn="0" w:lastColumn="0" w:oddVBand="0" w:evenVBand="0" w:oddHBand="0" w:evenHBand="0" w:firstRowFirstColumn="0" w:firstRowLastColumn="0" w:lastRowFirstColumn="0" w:lastRowLastColumn="0"/>
            </w:pPr>
            <w:r>
              <w:t>Same as those in scenario 1.</w:t>
            </w:r>
          </w:p>
          <w:p w:rsidR="00B86BD8" w:rsidRDefault="00B86BD8" w:rsidP="00AF16FC">
            <w:pPr>
              <w:cnfStyle w:val="000000000000" w:firstRow="0" w:lastRow="0" w:firstColumn="0" w:lastColumn="0" w:oddVBand="0" w:evenVBand="0" w:oddHBand="0" w:evenHBand="0" w:firstRowFirstColumn="0" w:firstRowLastColumn="0" w:lastRowFirstColumn="0" w:lastRowLastColumn="0"/>
            </w:pPr>
          </w:p>
        </w:tc>
        <w:tc>
          <w:tcPr>
            <w:tcW w:w="2060" w:type="dxa"/>
          </w:tcPr>
          <w:p w:rsidR="00B86BD8" w:rsidRDefault="00B86BD8" w:rsidP="006B4EDE">
            <w:pPr>
              <w:cnfStyle w:val="000000000000" w:firstRow="0" w:lastRow="0" w:firstColumn="0" w:lastColumn="0" w:oddVBand="0" w:evenVBand="0" w:oddHBand="0" w:evenHBand="0" w:firstRowFirstColumn="0" w:firstRowLastColumn="0" w:lastRowFirstColumn="0" w:lastRowLastColumn="0"/>
            </w:pPr>
            <w:r>
              <w:t>Same as those in scenario 1.</w:t>
            </w:r>
          </w:p>
        </w:tc>
      </w:tr>
    </w:tbl>
    <w:p w:rsidR="00B86BD8" w:rsidRDefault="00B86BD8" w:rsidP="00AF16FC"/>
    <w:p w:rsidR="00B86BD8" w:rsidRDefault="00B86BD8" w:rsidP="00AF16FC">
      <w:r>
        <w:t xml:space="preserve"> </w:t>
      </w:r>
    </w:p>
    <w:p w:rsidR="00B86BD8" w:rsidRDefault="00B86BD8" w:rsidP="00AF16FC"/>
    <w:p w:rsidR="00B86BD8" w:rsidRDefault="00B86BD8" w:rsidP="00AF16FC"/>
    <w:p w:rsidR="00B86BD8" w:rsidRDefault="00B86BD8" w:rsidP="00AF16FC"/>
    <w:p w:rsidR="00B86BD8" w:rsidRDefault="00B86BD8" w:rsidP="00AF16FC"/>
    <w:p w:rsidR="00B86BD8" w:rsidRDefault="00B86BD8" w:rsidP="00AF16FC"/>
    <w:p w:rsidR="00B86BD8" w:rsidRDefault="00B86BD8">
      <w:r>
        <w:br w:type="page"/>
      </w:r>
    </w:p>
    <w:p w:rsidR="00B86BD8" w:rsidRDefault="00B86BD8" w:rsidP="006C499D">
      <w:pPr>
        <w:sectPr w:rsidR="00B86BD8" w:rsidSect="005D1096">
          <w:footerReference w:type="default" r:id="rId28"/>
          <w:footerReference w:type="first" r:id="rId29"/>
          <w:pgSz w:w="12240" w:h="15840"/>
          <w:pgMar w:top="1440" w:right="1440" w:bottom="1440" w:left="1440" w:header="720" w:footer="720" w:gutter="0"/>
          <w:cols w:space="720"/>
          <w:docGrid w:linePitch="360"/>
        </w:sectPr>
      </w:pPr>
    </w:p>
    <w:p w:rsidR="00B86BD8" w:rsidRDefault="00B86BD8"/>
    <w:p w:rsidR="00B86BD8" w:rsidRDefault="00B86BD8" w:rsidP="006B4EDE">
      <w:pPr>
        <w:pStyle w:val="Caption"/>
        <w:rPr>
          <w:szCs w:val="22"/>
        </w:rPr>
      </w:pPr>
      <w:r>
        <w:t xml:space="preserve">Table 4. </w:t>
      </w:r>
      <w:r>
        <w:rPr>
          <w:szCs w:val="22"/>
        </w:rPr>
        <w:t>Parameter e</w:t>
      </w:r>
      <w:r w:rsidRPr="00930D54">
        <w:rPr>
          <w:szCs w:val="22"/>
        </w:rPr>
        <w:t xml:space="preserve">stimates </w:t>
      </w:r>
      <w:r>
        <w:rPr>
          <w:szCs w:val="22"/>
        </w:rPr>
        <w:t xml:space="preserve">and </w:t>
      </w:r>
      <w:r w:rsidRPr="00930D54">
        <w:rPr>
          <w:szCs w:val="22"/>
        </w:rPr>
        <w:t>standard deviations</w:t>
      </w:r>
      <w:r>
        <w:rPr>
          <w:szCs w:val="22"/>
        </w:rPr>
        <w:t xml:space="preserve"> with the 2013 (February 15) MMB for</w:t>
      </w:r>
      <w:r w:rsidRPr="00930D54">
        <w:rPr>
          <w:szCs w:val="22"/>
        </w:rPr>
        <w:t xml:space="preserve"> the </w:t>
      </w:r>
      <w:r>
        <w:rPr>
          <w:szCs w:val="22"/>
        </w:rPr>
        <w:t xml:space="preserve">scenario 1 model </w:t>
      </w:r>
      <w:r w:rsidRPr="00930D54">
        <w:rPr>
          <w:szCs w:val="22"/>
        </w:rPr>
        <w:t>for the golden king crab data from the EAG, 1985/86</w:t>
      </w:r>
      <w:r>
        <w:rPr>
          <w:szCs w:val="22"/>
        </w:rPr>
        <w:t>–</w:t>
      </w:r>
      <w:r w:rsidRPr="00930D54">
        <w:rPr>
          <w:szCs w:val="22"/>
        </w:rPr>
        <w:t>201</w:t>
      </w:r>
      <w:r>
        <w:rPr>
          <w:szCs w:val="22"/>
        </w:rPr>
        <w:t>2</w:t>
      </w:r>
      <w:r w:rsidRPr="00930D54">
        <w:rPr>
          <w:szCs w:val="22"/>
        </w:rPr>
        <w:t>/1</w:t>
      </w:r>
      <w:r>
        <w:rPr>
          <w:szCs w:val="22"/>
        </w:rPr>
        <w:t>3</w:t>
      </w:r>
      <w:r w:rsidRPr="00930D54">
        <w:rPr>
          <w:szCs w:val="22"/>
        </w:rPr>
        <w:t xml:space="preserve">. </w:t>
      </w:r>
      <w:r>
        <w:rPr>
          <w:szCs w:val="22"/>
        </w:rPr>
        <w:t xml:space="preserve">A total of </w:t>
      </w:r>
      <w:r w:rsidRPr="00930D54">
        <w:rPr>
          <w:szCs w:val="22"/>
        </w:rPr>
        <w:t>1</w:t>
      </w:r>
      <w:r>
        <w:rPr>
          <w:szCs w:val="22"/>
        </w:rPr>
        <w:t xml:space="preserve">06 </w:t>
      </w:r>
      <w:r w:rsidRPr="00930D54">
        <w:rPr>
          <w:szCs w:val="22"/>
        </w:rPr>
        <w:t>parameters were estimated, but recruitment</w:t>
      </w:r>
      <w:r>
        <w:rPr>
          <w:szCs w:val="22"/>
        </w:rPr>
        <w:t xml:space="preserve"> and</w:t>
      </w:r>
      <w:r w:rsidRPr="00930D54">
        <w:rPr>
          <w:szCs w:val="22"/>
        </w:rPr>
        <w:t xml:space="preserve"> fishing mortality deviations and initial size frequency determination paramet</w:t>
      </w:r>
      <w:r>
        <w:rPr>
          <w:szCs w:val="22"/>
        </w:rPr>
        <w:t>ers were omitted from this list.</w:t>
      </w:r>
    </w:p>
    <w:tbl>
      <w:tblPr>
        <w:tblStyle w:val="TableClassic1"/>
        <w:tblW w:w="5238" w:type="dxa"/>
        <w:tblLook w:val="04A0" w:firstRow="1" w:lastRow="0" w:firstColumn="1" w:lastColumn="0" w:noHBand="0" w:noVBand="1"/>
      </w:tblPr>
      <w:tblGrid>
        <w:gridCol w:w="1818"/>
        <w:gridCol w:w="1105"/>
        <w:gridCol w:w="1051"/>
        <w:gridCol w:w="1264"/>
      </w:tblGrid>
      <w:tr w:rsidR="00B86BD8" w:rsidRPr="00872096" w:rsidTr="00F63B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8" w:type="dxa"/>
            <w:noWrap/>
            <w:hideMark/>
          </w:tcPr>
          <w:p w:rsidR="00B86BD8" w:rsidRPr="006F0B75" w:rsidRDefault="00B86BD8" w:rsidP="00A36AB3">
            <w:pPr>
              <w:spacing w:after="120"/>
              <w:jc w:val="center"/>
              <w:rPr>
                <w:color w:val="000000"/>
              </w:rPr>
            </w:pPr>
            <w:r w:rsidRPr="006F0B75">
              <w:rPr>
                <w:color w:val="000000"/>
              </w:rPr>
              <w:t>Parameter</w:t>
            </w:r>
          </w:p>
        </w:tc>
        <w:tc>
          <w:tcPr>
            <w:tcW w:w="1105" w:type="dxa"/>
            <w:noWrap/>
            <w:hideMark/>
          </w:tcPr>
          <w:p w:rsidR="00B86BD8" w:rsidRPr="006F0B75" w:rsidRDefault="00B86BD8" w:rsidP="00A36AB3">
            <w:pPr>
              <w:spacing w:after="120"/>
              <w:jc w:val="center"/>
              <w:cnfStyle w:val="100000000000" w:firstRow="1" w:lastRow="0" w:firstColumn="0" w:lastColumn="0" w:oddVBand="0" w:evenVBand="0" w:oddHBand="0" w:evenHBand="0" w:firstRowFirstColumn="0" w:firstRowLastColumn="0" w:lastRowFirstColumn="0" w:lastRowLastColumn="0"/>
              <w:rPr>
                <w:color w:val="000000"/>
              </w:rPr>
            </w:pPr>
            <w:r w:rsidRPr="006F0B75">
              <w:rPr>
                <w:color w:val="000000"/>
              </w:rPr>
              <w:t>Estimate</w:t>
            </w:r>
          </w:p>
        </w:tc>
        <w:tc>
          <w:tcPr>
            <w:tcW w:w="1051" w:type="dxa"/>
            <w:noWrap/>
            <w:hideMark/>
          </w:tcPr>
          <w:p w:rsidR="00B86BD8" w:rsidRPr="006F0B75" w:rsidRDefault="00B86BD8" w:rsidP="00A36AB3">
            <w:pPr>
              <w:spacing w:after="120"/>
              <w:jc w:val="center"/>
              <w:cnfStyle w:val="100000000000" w:firstRow="1" w:lastRow="0" w:firstColumn="0" w:lastColumn="0" w:oddVBand="0" w:evenVBand="0" w:oddHBand="0" w:evenHBand="0" w:firstRowFirstColumn="0" w:firstRowLastColumn="0" w:lastRowFirstColumn="0" w:lastRowLastColumn="0"/>
              <w:rPr>
                <w:color w:val="000000"/>
              </w:rPr>
            </w:pPr>
            <w:r w:rsidRPr="006F0B75">
              <w:rPr>
                <w:color w:val="000000"/>
              </w:rPr>
              <w:t>Std Dev</w:t>
            </w:r>
          </w:p>
        </w:tc>
        <w:tc>
          <w:tcPr>
            <w:tcW w:w="1264" w:type="dxa"/>
          </w:tcPr>
          <w:p w:rsidR="00B86BD8" w:rsidRPr="006F0B75" w:rsidRDefault="00B86BD8" w:rsidP="00A36AB3">
            <w:pPr>
              <w:spacing w:after="12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Limits</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hideMark/>
          </w:tcPr>
          <w:p w:rsidR="00B86BD8" w:rsidRPr="00FB09C1" w:rsidRDefault="00B86BD8" w:rsidP="006B4EDE">
            <w:r w:rsidRPr="00FB09C1">
              <w:t>log_a</w:t>
            </w:r>
          </w:p>
        </w:tc>
        <w:tc>
          <w:tcPr>
            <w:tcW w:w="1105" w:type="dxa"/>
            <w:noWrap/>
            <w:vAlign w:val="bottom"/>
            <w:hideMark/>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3.6221</w:t>
            </w:r>
          </w:p>
        </w:tc>
        <w:tc>
          <w:tcPr>
            <w:tcW w:w="1051" w:type="dxa"/>
            <w:noWrap/>
            <w:vAlign w:val="bottom"/>
            <w:hideMark/>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0.1127</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t xml:space="preserve">      </w:t>
            </w:r>
            <w:r w:rsidRPr="00F2601E">
              <w:t>2.5,</w:t>
            </w:r>
            <w:r>
              <w:t xml:space="preserve"> </w:t>
            </w:r>
            <w:r w:rsidRPr="00F2601E">
              <w:t>4.5</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hideMark/>
          </w:tcPr>
          <w:p w:rsidR="00B86BD8" w:rsidRPr="00FB09C1" w:rsidRDefault="00B86BD8" w:rsidP="006B4EDE">
            <w:r w:rsidRPr="00FB09C1">
              <w:t>G_b</w:t>
            </w:r>
          </w:p>
        </w:tc>
        <w:tc>
          <w:tcPr>
            <w:tcW w:w="1105" w:type="dxa"/>
            <w:noWrap/>
            <w:vAlign w:val="bottom"/>
            <w:hideMark/>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-0.1971</w:t>
            </w:r>
          </w:p>
        </w:tc>
        <w:tc>
          <w:tcPr>
            <w:tcW w:w="1051" w:type="dxa"/>
            <w:noWrap/>
            <w:vAlign w:val="bottom"/>
            <w:hideMark/>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0.0276</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-0.49,</w:t>
            </w:r>
            <w:r>
              <w:rPr>
                <w:color w:val="000000"/>
              </w:rPr>
              <w:t xml:space="preserve">  </w:t>
            </w:r>
            <w:r w:rsidRPr="00F2601E">
              <w:rPr>
                <w:color w:val="000000"/>
              </w:rPr>
              <w:t>-0.01</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hideMark/>
          </w:tcPr>
          <w:p w:rsidR="00B86BD8" w:rsidRPr="00FB09C1" w:rsidRDefault="00B86BD8" w:rsidP="006B4EDE">
            <w:pPr>
              <w:rPr>
                <w:color w:val="000000"/>
              </w:rPr>
            </w:pPr>
            <w:r w:rsidRPr="00FB09C1">
              <w:rPr>
                <w:color w:val="000000"/>
              </w:rPr>
              <w:t>log_beta</w:t>
            </w:r>
          </w:p>
        </w:tc>
        <w:tc>
          <w:tcPr>
            <w:tcW w:w="1105"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-0.3</w:t>
            </w:r>
          </w:p>
        </w:tc>
        <w:tc>
          <w:tcPr>
            <w:tcW w:w="1051"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log_T04L50</w:t>
            </w:r>
          </w:p>
        </w:tc>
        <w:tc>
          <w:tcPr>
            <w:tcW w:w="1105"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4.8022</w:t>
            </w:r>
          </w:p>
        </w:tc>
        <w:tc>
          <w:tcPr>
            <w:tcW w:w="1051"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0.0358</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4.0,</w:t>
            </w:r>
            <w:r>
              <w:rPr>
                <w:color w:val="000000"/>
              </w:rPr>
              <w:t xml:space="preserve">  </w:t>
            </w:r>
            <w:r w:rsidRPr="00F2601E">
              <w:rPr>
                <w:color w:val="000000"/>
              </w:rPr>
              <w:t>5.0</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log_T04L95</w:t>
            </w:r>
          </w:p>
        </w:tc>
        <w:tc>
          <w:tcPr>
            <w:tcW w:w="1105"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5.0392</w:t>
            </w:r>
          </w:p>
        </w:tc>
        <w:tc>
          <w:tcPr>
            <w:tcW w:w="1051"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0.0774</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4.4,</w:t>
            </w:r>
            <w:r>
              <w:rPr>
                <w:color w:val="000000"/>
              </w:rPr>
              <w:t xml:space="preserve"> </w:t>
            </w:r>
            <w:r w:rsidRPr="00F2601E">
              <w:rPr>
                <w:color w:val="000000"/>
              </w:rPr>
              <w:t>5.4</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log_T12L50</w:t>
            </w:r>
          </w:p>
        </w:tc>
        <w:tc>
          <w:tcPr>
            <w:tcW w:w="1105"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4.8845</w:t>
            </w:r>
          </w:p>
        </w:tc>
        <w:tc>
          <w:tcPr>
            <w:tcW w:w="1051"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0.0176</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4.0,</w:t>
            </w:r>
            <w:r>
              <w:rPr>
                <w:color w:val="000000"/>
              </w:rPr>
              <w:t xml:space="preserve"> </w:t>
            </w:r>
            <w:r w:rsidRPr="00F2601E">
              <w:rPr>
                <w:color w:val="000000"/>
              </w:rPr>
              <w:t>5.0</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log_T12L95</w:t>
            </w:r>
          </w:p>
        </w:tc>
        <w:tc>
          <w:tcPr>
            <w:tcW w:w="1105"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4.9891</w:t>
            </w:r>
          </w:p>
        </w:tc>
        <w:tc>
          <w:tcPr>
            <w:tcW w:w="1051"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0.0418</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4.4,</w:t>
            </w:r>
            <w:r>
              <w:rPr>
                <w:color w:val="000000"/>
              </w:rPr>
              <w:t xml:space="preserve"> </w:t>
            </w:r>
            <w:r w:rsidRPr="00F2601E">
              <w:rPr>
                <w:color w:val="000000"/>
              </w:rPr>
              <w:t>5.4</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log_R04L50</w:t>
            </w:r>
          </w:p>
        </w:tc>
        <w:tc>
          <w:tcPr>
            <w:tcW w:w="1105"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4.9087</w:t>
            </w:r>
          </w:p>
        </w:tc>
        <w:tc>
          <w:tcPr>
            <w:tcW w:w="1051"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0.0024</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4.0,</w:t>
            </w:r>
            <w:r>
              <w:rPr>
                <w:color w:val="000000"/>
              </w:rPr>
              <w:t xml:space="preserve"> </w:t>
            </w:r>
            <w:r w:rsidRPr="00F2601E">
              <w:rPr>
                <w:color w:val="000000"/>
              </w:rPr>
              <w:t>5.0</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log_R04L95</w:t>
            </w:r>
          </w:p>
        </w:tc>
        <w:tc>
          <w:tcPr>
            <w:tcW w:w="1105"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4.9543</w:t>
            </w:r>
          </w:p>
        </w:tc>
        <w:tc>
          <w:tcPr>
            <w:tcW w:w="1051"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0.0052</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4.65,</w:t>
            </w:r>
            <w:r>
              <w:rPr>
                <w:color w:val="000000"/>
              </w:rPr>
              <w:t xml:space="preserve"> </w:t>
            </w:r>
            <w:r w:rsidRPr="00F2601E">
              <w:rPr>
                <w:color w:val="000000"/>
              </w:rPr>
              <w:t>5.4</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log_R12L50</w:t>
            </w:r>
          </w:p>
        </w:tc>
        <w:tc>
          <w:tcPr>
            <w:tcW w:w="1105"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4.9287</w:t>
            </w:r>
          </w:p>
        </w:tc>
        <w:tc>
          <w:tcPr>
            <w:tcW w:w="1051"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0.0070</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4.3,</w:t>
            </w:r>
            <w:r>
              <w:rPr>
                <w:color w:val="000000"/>
              </w:rPr>
              <w:t xml:space="preserve"> </w:t>
            </w:r>
            <w:r w:rsidRPr="00F2601E">
              <w:rPr>
                <w:color w:val="000000"/>
              </w:rPr>
              <w:t>5.2</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log_R12L95</w:t>
            </w:r>
          </w:p>
        </w:tc>
        <w:tc>
          <w:tcPr>
            <w:tcW w:w="1105"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4.9798</w:t>
            </w:r>
          </w:p>
        </w:tc>
        <w:tc>
          <w:tcPr>
            <w:tcW w:w="1051"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0.0203</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4.65,</w:t>
            </w:r>
            <w:r>
              <w:rPr>
                <w:color w:val="000000"/>
              </w:rPr>
              <w:t xml:space="preserve"> </w:t>
            </w:r>
            <w:r w:rsidRPr="00F2601E">
              <w:rPr>
                <w:color w:val="000000"/>
              </w:rPr>
              <w:t>5.4</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log_betar</w:t>
            </w:r>
          </w:p>
        </w:tc>
        <w:tc>
          <w:tcPr>
            <w:tcW w:w="1105"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-0.8128</w:t>
            </w:r>
          </w:p>
        </w:tc>
        <w:tc>
          <w:tcPr>
            <w:tcW w:w="1051"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0.2710</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-4.6,</w:t>
            </w:r>
            <w:r>
              <w:rPr>
                <w:color w:val="000000"/>
              </w:rPr>
              <w:t xml:space="preserve"> </w:t>
            </w:r>
            <w:r w:rsidRPr="00F2601E">
              <w:rPr>
                <w:color w:val="000000"/>
              </w:rPr>
              <w:t>6.0</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logq2</w:t>
            </w:r>
          </w:p>
        </w:tc>
        <w:tc>
          <w:tcPr>
            <w:tcW w:w="1105"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-0.2557</w:t>
            </w:r>
          </w:p>
        </w:tc>
        <w:tc>
          <w:tcPr>
            <w:tcW w:w="1051"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0.1886</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-9.0,</w:t>
            </w:r>
            <w:r>
              <w:rPr>
                <w:color w:val="000000"/>
              </w:rPr>
              <w:t xml:space="preserve"> </w:t>
            </w:r>
            <w:r w:rsidRPr="00F2601E">
              <w:rPr>
                <w:color w:val="000000"/>
              </w:rPr>
              <w:t>2.01</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logq3</w:t>
            </w:r>
          </w:p>
        </w:tc>
        <w:tc>
          <w:tcPr>
            <w:tcW w:w="1105"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-0.5900</w:t>
            </w:r>
          </w:p>
        </w:tc>
        <w:tc>
          <w:tcPr>
            <w:tcW w:w="1051"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0.2363</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-9.0,</w:t>
            </w:r>
            <w:r>
              <w:rPr>
                <w:color w:val="000000"/>
              </w:rPr>
              <w:t xml:space="preserve"> </w:t>
            </w:r>
            <w:r w:rsidRPr="00F2601E">
              <w:rPr>
                <w:color w:val="000000"/>
              </w:rPr>
              <w:t>5.01</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log_newsh1</w:t>
            </w:r>
          </w:p>
        </w:tc>
        <w:tc>
          <w:tcPr>
            <w:tcW w:w="1105"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2.0183</w:t>
            </w:r>
          </w:p>
        </w:tc>
        <w:tc>
          <w:tcPr>
            <w:tcW w:w="1051"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0.0686</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0.01,</w:t>
            </w:r>
            <w:r>
              <w:rPr>
                <w:color w:val="000000"/>
              </w:rPr>
              <w:t xml:space="preserve"> </w:t>
            </w:r>
            <w:r w:rsidRPr="00F2601E">
              <w:rPr>
                <w:color w:val="000000"/>
              </w:rPr>
              <w:t>10.0</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log_mean_rec</w:t>
            </w:r>
          </w:p>
        </w:tc>
        <w:tc>
          <w:tcPr>
            <w:tcW w:w="1105"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0.5589</w:t>
            </w:r>
          </w:p>
        </w:tc>
        <w:tc>
          <w:tcPr>
            <w:tcW w:w="1051"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0.0887</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0.01,</w:t>
            </w:r>
            <w:r>
              <w:rPr>
                <w:color w:val="000000"/>
              </w:rPr>
              <w:t xml:space="preserve"> </w:t>
            </w:r>
            <w:r w:rsidRPr="00F2601E">
              <w:rPr>
                <w:color w:val="000000"/>
              </w:rPr>
              <w:t>5.0</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log_mean_Fpot</w:t>
            </w:r>
          </w:p>
        </w:tc>
        <w:tc>
          <w:tcPr>
            <w:tcW w:w="1105"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-0.5450</w:t>
            </w:r>
          </w:p>
        </w:tc>
        <w:tc>
          <w:tcPr>
            <w:tcW w:w="1051"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0.1800</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-15.0,</w:t>
            </w:r>
            <w:r>
              <w:rPr>
                <w:color w:val="000000"/>
              </w:rPr>
              <w:t xml:space="preserve"> </w:t>
            </w:r>
            <w:r w:rsidRPr="00F2601E">
              <w:rPr>
                <w:color w:val="000000"/>
              </w:rPr>
              <w:t>-0.1</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log_mean_Fground</w:t>
            </w:r>
          </w:p>
        </w:tc>
        <w:tc>
          <w:tcPr>
            <w:tcW w:w="1105"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-8.0766</w:t>
            </w:r>
          </w:p>
        </w:tc>
        <w:tc>
          <w:tcPr>
            <w:tcW w:w="1051"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0.1818</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-15.0,</w:t>
            </w:r>
            <w:r>
              <w:rPr>
                <w:color w:val="000000"/>
              </w:rPr>
              <w:t xml:space="preserve"> </w:t>
            </w:r>
            <w:r w:rsidRPr="00F2601E">
              <w:rPr>
                <w:color w:val="000000"/>
              </w:rPr>
              <w:t>-1.6</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prelegal_var</w:t>
            </w:r>
          </w:p>
        </w:tc>
        <w:tc>
          <w:tcPr>
            <w:tcW w:w="1105"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0.0162</w:t>
            </w:r>
          </w:p>
        </w:tc>
        <w:tc>
          <w:tcPr>
            <w:tcW w:w="1051"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0.0068</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0.0,</w:t>
            </w:r>
            <w:r>
              <w:rPr>
                <w:color w:val="000000"/>
              </w:rPr>
              <w:t xml:space="preserve"> </w:t>
            </w:r>
            <w:r w:rsidRPr="00F2601E">
              <w:rPr>
                <w:color w:val="000000"/>
              </w:rPr>
              <w:t>0.15</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B09C1" w:rsidRDefault="00B86BD8" w:rsidP="006B4EDE">
            <w:r w:rsidRPr="00FB09C1">
              <w:t>Ftemp</w:t>
            </w:r>
          </w:p>
        </w:tc>
        <w:tc>
          <w:tcPr>
            <w:tcW w:w="1105"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0.1800</w:t>
            </w:r>
          </w:p>
        </w:tc>
        <w:tc>
          <w:tcPr>
            <w:tcW w:w="1051" w:type="dxa"/>
            <w:noWrap/>
            <w:vAlign w:val="bottom"/>
          </w:tcPr>
          <w:p w:rsidR="00B86BD8" w:rsidRPr="00F2601E" w:rsidRDefault="00B86BD8">
            <w:pPr>
              <w:jc w:val="right"/>
              <w:cnfStyle w:val="000000000000" w:firstRow="0" w:lastRow="0" w:firstColumn="0" w:lastColumn="0" w:oddVBand="0" w:evenVBand="0" w:oddHBand="0" w:evenHBand="0" w:firstRowFirstColumn="0" w:firstRowLastColumn="0" w:lastRowFirstColumn="0" w:lastRowLastColumn="0"/>
            </w:pPr>
            <w:r w:rsidRPr="00F2601E">
              <w:t>0.7071</w:t>
            </w:r>
          </w:p>
        </w:tc>
        <w:tc>
          <w:tcPr>
            <w:tcW w:w="1264" w:type="dxa"/>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F2601E">
              <w:rPr>
                <w:color w:val="000000"/>
              </w:rPr>
              <w:t>0.0,</w:t>
            </w:r>
            <w:r>
              <w:rPr>
                <w:color w:val="000000"/>
              </w:rPr>
              <w:t xml:space="preserve"> </w:t>
            </w:r>
            <w:r w:rsidRPr="00F2601E">
              <w:rPr>
                <w:color w:val="000000"/>
              </w:rPr>
              <w:t>0.75</w:t>
            </w:r>
          </w:p>
        </w:tc>
      </w:tr>
      <w:tr w:rsidR="00B86BD8" w:rsidRPr="00872096" w:rsidTr="00F63B8E">
        <w:trPr>
          <w:trHeight w:val="300"/>
        </w:trPr>
        <w:tc>
          <w:tcPr>
            <w:cnfStyle w:val="001000000000" w:firstRow="0" w:lastRow="0" w:firstColumn="1" w:lastColumn="0" w:oddVBand="0" w:evenVBand="0" w:oddHBand="0" w:evenHBand="0" w:firstRowFirstColumn="0" w:firstRowLastColumn="0" w:lastRowFirstColumn="0" w:lastRowLastColumn="0"/>
            <w:tcW w:w="1818" w:type="dxa"/>
            <w:noWrap/>
            <w:vAlign w:val="bottom"/>
          </w:tcPr>
          <w:p w:rsidR="00B86BD8" w:rsidRPr="00F2601E" w:rsidRDefault="00B86BD8" w:rsidP="00A36AB3">
            <w:r w:rsidRPr="00F2601E">
              <w:t>2013 MMB</w:t>
            </w:r>
          </w:p>
        </w:tc>
        <w:tc>
          <w:tcPr>
            <w:tcW w:w="1105"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5140</w:t>
            </w:r>
          </w:p>
        </w:tc>
        <w:tc>
          <w:tcPr>
            <w:tcW w:w="1051" w:type="dxa"/>
            <w:noWrap/>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F2601E">
              <w:t>1388</w:t>
            </w:r>
          </w:p>
        </w:tc>
        <w:tc>
          <w:tcPr>
            <w:tcW w:w="1264" w:type="dxa"/>
            <w:vAlign w:val="bottom"/>
          </w:tcPr>
          <w:p w:rsidR="00B86BD8" w:rsidRPr="00F2601E" w:rsidRDefault="00B86BD8" w:rsidP="00A36AB3">
            <w:pPr>
              <w:jc w:val="right"/>
              <w:cnfStyle w:val="000000000000" w:firstRow="0" w:lastRow="0" w:firstColumn="0" w:lastColumn="0" w:oddVBand="0" w:evenVBand="0" w:oddHBand="0" w:evenHBand="0" w:firstRowFirstColumn="0" w:firstRowLastColumn="0" w:lastRowFirstColumn="0" w:lastRowLastColumn="0"/>
            </w:pPr>
          </w:p>
        </w:tc>
      </w:tr>
    </w:tbl>
    <w:p w:rsidR="00B86BD8" w:rsidRDefault="00B86BD8"/>
    <w:p w:rsidR="00B86BD8" w:rsidRDefault="00B86BD8">
      <w:r>
        <w:br w:type="page"/>
      </w:r>
    </w:p>
    <w:p w:rsidR="00B86BD8" w:rsidRDefault="00B86BD8" w:rsidP="006B4EDE">
      <w:pPr>
        <w:pStyle w:val="Caption"/>
        <w:rPr>
          <w:szCs w:val="22"/>
        </w:rPr>
      </w:pPr>
      <w:r>
        <w:lastRenderedPageBreak/>
        <w:t xml:space="preserve">Table 5. </w:t>
      </w:r>
      <w:r>
        <w:rPr>
          <w:szCs w:val="22"/>
        </w:rPr>
        <w:t>Parameter e</w:t>
      </w:r>
      <w:r w:rsidRPr="00930D54">
        <w:rPr>
          <w:szCs w:val="22"/>
        </w:rPr>
        <w:t xml:space="preserve">stimates </w:t>
      </w:r>
      <w:r>
        <w:rPr>
          <w:szCs w:val="22"/>
        </w:rPr>
        <w:t xml:space="preserve">and </w:t>
      </w:r>
      <w:r w:rsidRPr="00930D54">
        <w:rPr>
          <w:szCs w:val="22"/>
        </w:rPr>
        <w:t>standard deviations</w:t>
      </w:r>
      <w:r>
        <w:rPr>
          <w:szCs w:val="22"/>
        </w:rPr>
        <w:t xml:space="preserve"> with the 2013 (February 15) MMB for</w:t>
      </w:r>
      <w:r w:rsidRPr="00930D54">
        <w:rPr>
          <w:szCs w:val="22"/>
        </w:rPr>
        <w:t xml:space="preserve"> the </w:t>
      </w:r>
      <w:r>
        <w:rPr>
          <w:szCs w:val="22"/>
        </w:rPr>
        <w:t xml:space="preserve">scenario 2 model </w:t>
      </w:r>
      <w:r w:rsidRPr="00930D54">
        <w:rPr>
          <w:szCs w:val="22"/>
        </w:rPr>
        <w:t>for the golden king crab data from the EAG, 1985/86</w:t>
      </w:r>
      <w:r>
        <w:rPr>
          <w:szCs w:val="22"/>
        </w:rPr>
        <w:t>–</w:t>
      </w:r>
      <w:r w:rsidRPr="00930D54">
        <w:rPr>
          <w:szCs w:val="22"/>
        </w:rPr>
        <w:t>201</w:t>
      </w:r>
      <w:r>
        <w:rPr>
          <w:szCs w:val="22"/>
        </w:rPr>
        <w:t>2</w:t>
      </w:r>
      <w:r w:rsidRPr="00930D54">
        <w:rPr>
          <w:szCs w:val="22"/>
        </w:rPr>
        <w:t>/1</w:t>
      </w:r>
      <w:r>
        <w:rPr>
          <w:szCs w:val="22"/>
        </w:rPr>
        <w:t>3</w:t>
      </w:r>
      <w:r w:rsidRPr="00930D54">
        <w:rPr>
          <w:szCs w:val="22"/>
        </w:rPr>
        <w:t xml:space="preserve">. </w:t>
      </w:r>
      <w:r>
        <w:rPr>
          <w:szCs w:val="22"/>
        </w:rPr>
        <w:t xml:space="preserve">A total of </w:t>
      </w:r>
      <w:r w:rsidRPr="00930D54">
        <w:rPr>
          <w:szCs w:val="22"/>
        </w:rPr>
        <w:t>1</w:t>
      </w:r>
      <w:r>
        <w:rPr>
          <w:szCs w:val="22"/>
        </w:rPr>
        <w:t xml:space="preserve">06 </w:t>
      </w:r>
      <w:r w:rsidRPr="00930D54">
        <w:rPr>
          <w:szCs w:val="22"/>
        </w:rPr>
        <w:t>parameters were estimated, but recruitment</w:t>
      </w:r>
      <w:r>
        <w:rPr>
          <w:szCs w:val="22"/>
        </w:rPr>
        <w:t xml:space="preserve"> and</w:t>
      </w:r>
      <w:r w:rsidRPr="00930D54">
        <w:rPr>
          <w:szCs w:val="22"/>
        </w:rPr>
        <w:t xml:space="preserve"> fishing mortality deviations and initial size frequency determination paramet</w:t>
      </w:r>
      <w:r>
        <w:rPr>
          <w:szCs w:val="22"/>
        </w:rPr>
        <w:t>ers were omitted from this list.</w:t>
      </w:r>
    </w:p>
    <w:tbl>
      <w:tblPr>
        <w:tblStyle w:val="TableClassic1"/>
        <w:tblW w:w="5291" w:type="dxa"/>
        <w:tblLook w:val="04A0" w:firstRow="1" w:lastRow="0" w:firstColumn="1" w:lastColumn="0" w:noHBand="0" w:noVBand="1"/>
      </w:tblPr>
      <w:tblGrid>
        <w:gridCol w:w="1951"/>
        <w:gridCol w:w="972"/>
        <w:gridCol w:w="1051"/>
        <w:gridCol w:w="1317"/>
      </w:tblGrid>
      <w:tr w:rsidR="00B86BD8" w:rsidRPr="00872096" w:rsidTr="003D4F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rsidR="00B86BD8" w:rsidRPr="006F0B75" w:rsidRDefault="00B86BD8" w:rsidP="00A36AB3">
            <w:pPr>
              <w:spacing w:after="120"/>
              <w:jc w:val="center"/>
              <w:rPr>
                <w:color w:val="000000"/>
              </w:rPr>
            </w:pPr>
            <w:r w:rsidRPr="006F0B75">
              <w:rPr>
                <w:color w:val="000000"/>
              </w:rPr>
              <w:t>Parameter</w:t>
            </w:r>
          </w:p>
        </w:tc>
        <w:tc>
          <w:tcPr>
            <w:tcW w:w="972" w:type="dxa"/>
            <w:noWrap/>
            <w:hideMark/>
          </w:tcPr>
          <w:p w:rsidR="00B86BD8" w:rsidRPr="006F0B75" w:rsidRDefault="00B86BD8" w:rsidP="00A36AB3">
            <w:pPr>
              <w:spacing w:after="120"/>
              <w:jc w:val="center"/>
              <w:cnfStyle w:val="100000000000" w:firstRow="1" w:lastRow="0" w:firstColumn="0" w:lastColumn="0" w:oddVBand="0" w:evenVBand="0" w:oddHBand="0" w:evenHBand="0" w:firstRowFirstColumn="0" w:firstRowLastColumn="0" w:lastRowFirstColumn="0" w:lastRowLastColumn="0"/>
              <w:rPr>
                <w:color w:val="000000"/>
              </w:rPr>
            </w:pPr>
            <w:r w:rsidRPr="006F0B75">
              <w:rPr>
                <w:color w:val="000000"/>
              </w:rPr>
              <w:t>Estimate</w:t>
            </w:r>
          </w:p>
        </w:tc>
        <w:tc>
          <w:tcPr>
            <w:tcW w:w="1051" w:type="dxa"/>
            <w:noWrap/>
            <w:hideMark/>
          </w:tcPr>
          <w:p w:rsidR="00B86BD8" w:rsidRPr="006F0B75" w:rsidRDefault="00B86BD8" w:rsidP="00A36AB3">
            <w:pPr>
              <w:spacing w:after="120"/>
              <w:jc w:val="center"/>
              <w:cnfStyle w:val="100000000000" w:firstRow="1" w:lastRow="0" w:firstColumn="0" w:lastColumn="0" w:oddVBand="0" w:evenVBand="0" w:oddHBand="0" w:evenHBand="0" w:firstRowFirstColumn="0" w:firstRowLastColumn="0" w:lastRowFirstColumn="0" w:lastRowLastColumn="0"/>
              <w:rPr>
                <w:color w:val="000000"/>
              </w:rPr>
            </w:pPr>
            <w:r w:rsidRPr="006F0B75">
              <w:rPr>
                <w:color w:val="000000"/>
              </w:rPr>
              <w:t>Std Dev</w:t>
            </w:r>
          </w:p>
        </w:tc>
        <w:tc>
          <w:tcPr>
            <w:tcW w:w="1317" w:type="dxa"/>
            <w:noWrap/>
            <w:hideMark/>
          </w:tcPr>
          <w:p w:rsidR="00B86BD8" w:rsidRPr="006F0B75" w:rsidRDefault="00B86BD8" w:rsidP="00A36AB3">
            <w:pPr>
              <w:spacing w:after="12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Limits</w:t>
            </w:r>
          </w:p>
        </w:tc>
      </w:tr>
      <w:tr w:rsidR="00B86BD8" w:rsidRPr="00872096" w:rsidTr="00A36AB3">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log_a</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3.1139</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0.3239</w:t>
            </w:r>
          </w:p>
        </w:tc>
        <w:tc>
          <w:tcPr>
            <w:tcW w:w="1317" w:type="dxa"/>
            <w:noWrap/>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521C10">
              <w:t xml:space="preserve">      2.5, 3.5</w:t>
            </w:r>
          </w:p>
        </w:tc>
      </w:tr>
      <w:tr w:rsidR="00B86BD8" w:rsidRPr="00872096" w:rsidTr="00A36AB3">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G_b</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-0.0415</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0.0615</w:t>
            </w:r>
          </w:p>
        </w:tc>
        <w:tc>
          <w:tcPr>
            <w:tcW w:w="1317" w:type="dxa"/>
            <w:noWrap/>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-0.65,  0.18</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rsidR="00B86BD8" w:rsidRPr="00694349" w:rsidRDefault="00B86BD8" w:rsidP="006B4EDE">
            <w:pPr>
              <w:rPr>
                <w:color w:val="000000"/>
              </w:rPr>
            </w:pPr>
            <w:r w:rsidRPr="00694349">
              <w:rPr>
                <w:color w:val="000000"/>
              </w:rPr>
              <w:t>log_beta</w:t>
            </w:r>
          </w:p>
        </w:tc>
        <w:tc>
          <w:tcPr>
            <w:tcW w:w="972" w:type="dxa"/>
            <w:noWrap/>
            <w:hideMark/>
          </w:tcPr>
          <w:p w:rsidR="00B86BD8" w:rsidRPr="00521C10" w:rsidRDefault="00B86BD8" w:rsidP="006B4EDE">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-0.3</w:t>
            </w:r>
          </w:p>
        </w:tc>
        <w:tc>
          <w:tcPr>
            <w:tcW w:w="1051" w:type="dxa"/>
            <w:noWrap/>
            <w:hideMark/>
          </w:tcPr>
          <w:p w:rsidR="00B86BD8" w:rsidRPr="00521C10" w:rsidRDefault="00B86BD8" w:rsidP="006B4EDE">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317" w:type="dxa"/>
            <w:noWrap/>
            <w:vAlign w:val="bottom"/>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pPr>
          </w:p>
        </w:tc>
      </w:tr>
      <w:tr w:rsidR="00B86BD8" w:rsidRPr="00872096" w:rsidTr="00A36AB3">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B86BD8" w:rsidRPr="00694349" w:rsidRDefault="00B86BD8" w:rsidP="006B4EDE">
            <w:pPr>
              <w:rPr>
                <w:color w:val="000000"/>
              </w:rPr>
            </w:pPr>
            <w:r>
              <w:rPr>
                <w:color w:val="000000"/>
              </w:rPr>
              <w:t>log_aa</w:t>
            </w:r>
          </w:p>
        </w:tc>
        <w:tc>
          <w:tcPr>
            <w:tcW w:w="972" w:type="dxa"/>
            <w:noWrap/>
            <w:vAlign w:val="bottom"/>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-2.2980</w:t>
            </w:r>
          </w:p>
        </w:tc>
        <w:tc>
          <w:tcPr>
            <w:tcW w:w="1051" w:type="dxa"/>
            <w:noWrap/>
            <w:vAlign w:val="bottom"/>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0.2262</w:t>
            </w:r>
          </w:p>
        </w:tc>
        <w:tc>
          <w:tcPr>
            <w:tcW w:w="1317" w:type="dxa"/>
            <w:noWrap/>
            <w:vAlign w:val="bottom"/>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521C10">
              <w:t>-4.61, -1.39</w:t>
            </w:r>
          </w:p>
        </w:tc>
      </w:tr>
      <w:tr w:rsidR="00B86BD8" w:rsidRPr="00872096" w:rsidTr="00A36AB3">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B86BD8" w:rsidRPr="00694349" w:rsidRDefault="00B86BD8" w:rsidP="006B4EDE">
            <w:pPr>
              <w:rPr>
                <w:color w:val="000000"/>
              </w:rPr>
            </w:pPr>
            <w:r>
              <w:rPr>
                <w:color w:val="000000"/>
              </w:rPr>
              <w:t>log_b</w:t>
            </w:r>
          </w:p>
        </w:tc>
        <w:tc>
          <w:tcPr>
            <w:tcW w:w="972" w:type="dxa"/>
            <w:noWrap/>
            <w:vAlign w:val="bottom"/>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4.9672</w:t>
            </w:r>
          </w:p>
        </w:tc>
        <w:tc>
          <w:tcPr>
            <w:tcW w:w="1051" w:type="dxa"/>
            <w:noWrap/>
            <w:vAlign w:val="bottom"/>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0.0217</w:t>
            </w:r>
          </w:p>
        </w:tc>
        <w:tc>
          <w:tcPr>
            <w:tcW w:w="1317" w:type="dxa"/>
            <w:noWrap/>
            <w:vAlign w:val="bottom"/>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pPr>
            <w:r w:rsidRPr="00521C10">
              <w:t xml:space="preserve">   4.0, 5.0</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log_T04L50</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-2.2980</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0.2262</w:t>
            </w:r>
          </w:p>
        </w:tc>
        <w:tc>
          <w:tcPr>
            <w:tcW w:w="1317" w:type="dxa"/>
            <w:noWrap/>
            <w:hideMark/>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4.0,  5.0</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log_T04L95</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4.9672</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0.0217</w:t>
            </w:r>
          </w:p>
        </w:tc>
        <w:tc>
          <w:tcPr>
            <w:tcW w:w="1317" w:type="dxa"/>
            <w:noWrap/>
            <w:hideMark/>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4.4, 5.4</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log_T12L50</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4.7932</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0.0248</w:t>
            </w:r>
          </w:p>
        </w:tc>
        <w:tc>
          <w:tcPr>
            <w:tcW w:w="1317" w:type="dxa"/>
            <w:noWrap/>
            <w:hideMark/>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4.0, 5.0</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log_T12L95</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4.9940</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0.0526</w:t>
            </w:r>
          </w:p>
        </w:tc>
        <w:tc>
          <w:tcPr>
            <w:tcW w:w="1317" w:type="dxa"/>
            <w:noWrap/>
            <w:hideMark/>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4.4, 5.4</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log_R04L50</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4.8780</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0.0174</w:t>
            </w:r>
          </w:p>
        </w:tc>
        <w:tc>
          <w:tcPr>
            <w:tcW w:w="1317" w:type="dxa"/>
            <w:noWrap/>
            <w:hideMark/>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4.0, 5.0</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log_R04L95</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4.9786</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0.0423</w:t>
            </w:r>
          </w:p>
        </w:tc>
        <w:tc>
          <w:tcPr>
            <w:tcW w:w="1317" w:type="dxa"/>
            <w:noWrap/>
            <w:hideMark/>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4.65, 5.4</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log_R12L50</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4.9058</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0.0026</w:t>
            </w:r>
          </w:p>
        </w:tc>
        <w:tc>
          <w:tcPr>
            <w:tcW w:w="1317" w:type="dxa"/>
            <w:noWrap/>
            <w:hideMark/>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4.3, 5.2</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log_R12L95</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4.9461</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0.0061</w:t>
            </w:r>
          </w:p>
        </w:tc>
        <w:tc>
          <w:tcPr>
            <w:tcW w:w="1317" w:type="dxa"/>
            <w:noWrap/>
            <w:hideMark/>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4.65, 5.4</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log_betar</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-0.6885</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0.2519</w:t>
            </w:r>
          </w:p>
        </w:tc>
        <w:tc>
          <w:tcPr>
            <w:tcW w:w="1317" w:type="dxa"/>
            <w:noWrap/>
            <w:hideMark/>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-4.6, 6.0</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logq2</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-0.1402</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0.1698</w:t>
            </w:r>
          </w:p>
        </w:tc>
        <w:tc>
          <w:tcPr>
            <w:tcW w:w="1317" w:type="dxa"/>
            <w:noWrap/>
            <w:hideMark/>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-9.0, 2.01</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logq3</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-0.4877</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0.2117</w:t>
            </w:r>
          </w:p>
        </w:tc>
        <w:tc>
          <w:tcPr>
            <w:tcW w:w="1317" w:type="dxa"/>
            <w:noWrap/>
            <w:hideMark/>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-9.0, -0.01</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log_newsh1</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1.9823</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0.0875</w:t>
            </w:r>
          </w:p>
        </w:tc>
        <w:tc>
          <w:tcPr>
            <w:tcW w:w="1317" w:type="dxa"/>
            <w:noWrap/>
            <w:hideMark/>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0.01, 10.0</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log_mean_rec</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0.4631</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0.0688</w:t>
            </w:r>
          </w:p>
        </w:tc>
        <w:tc>
          <w:tcPr>
            <w:tcW w:w="1317" w:type="dxa"/>
            <w:noWrap/>
            <w:hideMark/>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0.01, 5.0</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log_mean_Fpot</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-0.4125</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0.1668</w:t>
            </w:r>
          </w:p>
        </w:tc>
        <w:tc>
          <w:tcPr>
            <w:tcW w:w="1317" w:type="dxa"/>
            <w:noWrap/>
            <w:hideMark/>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-15.0, 1.1</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694349" w:rsidRDefault="00B86BD8" w:rsidP="006B4EDE">
            <w:r w:rsidRPr="00694349">
              <w:t>log_mean_Fground</w:t>
            </w:r>
          </w:p>
        </w:tc>
        <w:tc>
          <w:tcPr>
            <w:tcW w:w="972"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-7.9208</w:t>
            </w:r>
          </w:p>
        </w:tc>
        <w:tc>
          <w:tcPr>
            <w:tcW w:w="1051" w:type="dxa"/>
            <w:noWrap/>
            <w:vAlign w:val="bottom"/>
            <w:hideMark/>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0.1572</w:t>
            </w:r>
          </w:p>
        </w:tc>
        <w:tc>
          <w:tcPr>
            <w:tcW w:w="1317" w:type="dxa"/>
            <w:noWrap/>
            <w:hideMark/>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-15.0, -1.6</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5A05ED" w:rsidRDefault="00B86BD8" w:rsidP="00A36AB3">
            <w:r w:rsidRPr="005A05ED">
              <w:t>prelegal_var</w:t>
            </w:r>
          </w:p>
        </w:tc>
        <w:tc>
          <w:tcPr>
            <w:tcW w:w="972" w:type="dxa"/>
            <w:noWrap/>
            <w:vAlign w:val="bottom"/>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0.0119</w:t>
            </w:r>
          </w:p>
        </w:tc>
        <w:tc>
          <w:tcPr>
            <w:tcW w:w="1051" w:type="dxa"/>
            <w:noWrap/>
            <w:vAlign w:val="bottom"/>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0.0056</w:t>
            </w:r>
          </w:p>
        </w:tc>
        <w:tc>
          <w:tcPr>
            <w:tcW w:w="1317" w:type="dxa"/>
            <w:noWrap/>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0.0, 0.15</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5A05ED" w:rsidRDefault="00B86BD8" w:rsidP="00A36AB3">
            <w:r w:rsidRPr="005A05ED">
              <w:t>Ftemp</w:t>
            </w:r>
          </w:p>
        </w:tc>
        <w:tc>
          <w:tcPr>
            <w:tcW w:w="972" w:type="dxa"/>
            <w:noWrap/>
            <w:vAlign w:val="bottom"/>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0.1800</w:t>
            </w:r>
          </w:p>
        </w:tc>
        <w:tc>
          <w:tcPr>
            <w:tcW w:w="1051" w:type="dxa"/>
            <w:noWrap/>
            <w:vAlign w:val="bottom"/>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0.7071</w:t>
            </w:r>
          </w:p>
        </w:tc>
        <w:tc>
          <w:tcPr>
            <w:tcW w:w="1317" w:type="dxa"/>
            <w:noWrap/>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r w:rsidRPr="00521C10">
              <w:rPr>
                <w:color w:val="000000"/>
              </w:rPr>
              <w:t>0.0, 0.75</w:t>
            </w:r>
          </w:p>
        </w:tc>
      </w:tr>
      <w:tr w:rsidR="00B86BD8" w:rsidRPr="00872096" w:rsidTr="003D4FD8">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5A05ED" w:rsidRDefault="00B86BD8" w:rsidP="00A36AB3">
            <w:r w:rsidRPr="005A05ED">
              <w:t>2013 MMB</w:t>
            </w:r>
          </w:p>
        </w:tc>
        <w:tc>
          <w:tcPr>
            <w:tcW w:w="972" w:type="dxa"/>
            <w:noWrap/>
            <w:vAlign w:val="bottom"/>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5327</w:t>
            </w:r>
          </w:p>
        </w:tc>
        <w:tc>
          <w:tcPr>
            <w:tcW w:w="1051" w:type="dxa"/>
            <w:noWrap/>
            <w:vAlign w:val="bottom"/>
          </w:tcPr>
          <w:p w:rsidR="00B86BD8" w:rsidRPr="00521C10" w:rsidRDefault="00B86BD8">
            <w:pPr>
              <w:jc w:val="right"/>
              <w:cnfStyle w:val="000000000000" w:firstRow="0" w:lastRow="0" w:firstColumn="0" w:lastColumn="0" w:oddVBand="0" w:evenVBand="0" w:oddHBand="0" w:evenHBand="0" w:firstRowFirstColumn="0" w:firstRowLastColumn="0" w:lastRowFirstColumn="0" w:lastRowLastColumn="0"/>
            </w:pPr>
            <w:r w:rsidRPr="00521C10">
              <w:t>2820</w:t>
            </w:r>
          </w:p>
        </w:tc>
        <w:tc>
          <w:tcPr>
            <w:tcW w:w="1317" w:type="dxa"/>
            <w:noWrap/>
          </w:tcPr>
          <w:p w:rsidR="00B86BD8" w:rsidRPr="00521C10" w:rsidRDefault="00B86BD8" w:rsidP="00A36AB3">
            <w:pPr>
              <w:jc w:val="right"/>
              <w:cnfStyle w:val="000000000000" w:firstRow="0" w:lastRow="0" w:firstColumn="0" w:lastColumn="0" w:oddVBand="0" w:evenVBand="0" w:oddHBand="0" w:evenHBand="0" w:firstRowFirstColumn="0" w:firstRowLastColumn="0" w:lastRowFirstColumn="0" w:lastRowLastColumn="0"/>
              <w:rPr>
                <w:color w:val="000000"/>
              </w:rPr>
            </w:pPr>
          </w:p>
        </w:tc>
      </w:tr>
    </w:tbl>
    <w:p w:rsidR="00B86BD8" w:rsidRDefault="00B86BD8" w:rsidP="006B4EDE"/>
    <w:p w:rsidR="00B86BD8" w:rsidRDefault="00B86BD8" w:rsidP="00F54F0F">
      <w:pPr>
        <w:spacing w:line="360" w:lineRule="auto"/>
        <w:sectPr w:rsidR="00B86BD8" w:rsidSect="002F1B0B">
          <w:footerReference w:type="even" r:id="rId30"/>
          <w:footerReference w:type="default" r:id="rId31"/>
          <w:footerReference w:type="first" r:id="rId32"/>
          <w:pgSz w:w="12240" w:h="15840" w:code="1"/>
          <w:pgMar w:top="1440" w:right="1800" w:bottom="1440" w:left="1800" w:header="720" w:footer="720" w:gutter="0"/>
          <w:cols w:space="720"/>
          <w:titlePg/>
          <w:docGrid w:linePitch="360"/>
        </w:sectPr>
      </w:pPr>
    </w:p>
    <w:p w:rsidR="00B86BD8" w:rsidRPr="00600E05" w:rsidRDefault="00B86BD8" w:rsidP="00F54F0F">
      <w:pPr>
        <w:spacing w:line="360" w:lineRule="auto"/>
        <w:rPr>
          <w:sz w:val="22"/>
          <w:szCs w:val="22"/>
        </w:rPr>
      </w:pPr>
      <w:r w:rsidRPr="00600E05">
        <w:rPr>
          <w:sz w:val="22"/>
          <w:szCs w:val="22"/>
        </w:rPr>
        <w:lastRenderedPageBreak/>
        <w:t xml:space="preserve">Table 6. Estimate of the size transition matrix for the scenario 1 model for the golden king crab data from the EAG. </w:t>
      </w:r>
    </w:p>
    <w:tbl>
      <w:tblPr>
        <w:tblW w:w="1090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80"/>
        <w:gridCol w:w="780"/>
        <w:gridCol w:w="740"/>
        <w:gridCol w:w="800"/>
        <w:gridCol w:w="800"/>
        <w:gridCol w:w="745"/>
        <w:gridCol w:w="815"/>
        <w:gridCol w:w="820"/>
        <w:gridCol w:w="760"/>
        <w:gridCol w:w="860"/>
        <w:gridCol w:w="700"/>
        <w:gridCol w:w="740"/>
        <w:gridCol w:w="740"/>
        <w:gridCol w:w="820"/>
      </w:tblGrid>
      <w:tr w:rsidR="00B86BD8" w:rsidRPr="00E93D60" w:rsidTr="00AE556B">
        <w:trPr>
          <w:trHeight w:val="264"/>
        </w:trPr>
        <w:tc>
          <w:tcPr>
            <w:tcW w:w="780" w:type="dxa"/>
            <w:shd w:val="clear" w:color="auto" w:fill="auto"/>
            <w:noWrap/>
            <w:tcMar>
              <w:top w:w="15" w:type="dxa"/>
              <w:left w:w="15" w:type="dxa"/>
              <w:bottom w:w="0" w:type="dxa"/>
              <w:right w:w="15" w:type="dxa"/>
            </w:tcMar>
            <w:vAlign w:val="bottom"/>
            <w:hideMark/>
          </w:tcPr>
          <w:p w:rsidR="00B86BD8" w:rsidRDefault="00B86BD8">
            <w:pPr>
              <w:jc w:val="right"/>
            </w:pPr>
            <w:r>
              <w:t>0.0000</w:t>
            </w:r>
          </w:p>
        </w:tc>
        <w:tc>
          <w:tcPr>
            <w:tcW w:w="780" w:type="dxa"/>
            <w:shd w:val="clear" w:color="auto" w:fill="auto"/>
            <w:noWrap/>
            <w:tcMar>
              <w:top w:w="15" w:type="dxa"/>
              <w:left w:w="15" w:type="dxa"/>
              <w:bottom w:w="0" w:type="dxa"/>
              <w:right w:w="15" w:type="dxa"/>
            </w:tcMar>
            <w:vAlign w:val="bottom"/>
            <w:hideMark/>
          </w:tcPr>
          <w:p w:rsidR="00B86BD8" w:rsidRDefault="00B86BD8">
            <w:pPr>
              <w:jc w:val="right"/>
            </w:pPr>
            <w:r>
              <w:t>0.0009</w:t>
            </w:r>
          </w:p>
        </w:tc>
        <w:tc>
          <w:tcPr>
            <w:tcW w:w="740" w:type="dxa"/>
            <w:shd w:val="clear" w:color="auto" w:fill="auto"/>
            <w:noWrap/>
            <w:tcMar>
              <w:top w:w="15" w:type="dxa"/>
              <w:left w:w="15" w:type="dxa"/>
              <w:bottom w:w="0" w:type="dxa"/>
              <w:right w:w="15" w:type="dxa"/>
            </w:tcMar>
            <w:vAlign w:val="bottom"/>
            <w:hideMark/>
          </w:tcPr>
          <w:p w:rsidR="00B86BD8" w:rsidRDefault="00B86BD8">
            <w:pPr>
              <w:jc w:val="right"/>
            </w:pPr>
            <w:r>
              <w:t>0.1173</w:t>
            </w:r>
          </w:p>
        </w:tc>
        <w:tc>
          <w:tcPr>
            <w:tcW w:w="800" w:type="dxa"/>
            <w:shd w:val="clear" w:color="auto" w:fill="auto"/>
            <w:noWrap/>
            <w:tcMar>
              <w:top w:w="15" w:type="dxa"/>
              <w:left w:w="15" w:type="dxa"/>
              <w:bottom w:w="0" w:type="dxa"/>
              <w:right w:w="15" w:type="dxa"/>
            </w:tcMar>
            <w:vAlign w:val="bottom"/>
            <w:hideMark/>
          </w:tcPr>
          <w:p w:rsidR="00B86BD8" w:rsidRDefault="00B86BD8">
            <w:pPr>
              <w:jc w:val="right"/>
            </w:pPr>
            <w:r>
              <w:t>0.5035</w:t>
            </w:r>
          </w:p>
        </w:tc>
        <w:tc>
          <w:tcPr>
            <w:tcW w:w="800" w:type="dxa"/>
            <w:shd w:val="clear" w:color="auto" w:fill="auto"/>
            <w:noWrap/>
            <w:tcMar>
              <w:top w:w="15" w:type="dxa"/>
              <w:left w:w="15" w:type="dxa"/>
              <w:bottom w:w="0" w:type="dxa"/>
              <w:right w:w="15" w:type="dxa"/>
            </w:tcMar>
            <w:vAlign w:val="bottom"/>
            <w:hideMark/>
          </w:tcPr>
          <w:p w:rsidR="00B86BD8" w:rsidRDefault="00B86BD8">
            <w:pPr>
              <w:jc w:val="right"/>
            </w:pPr>
            <w:r>
              <w:t>0.3181</w:t>
            </w:r>
          </w:p>
        </w:tc>
        <w:tc>
          <w:tcPr>
            <w:tcW w:w="745" w:type="dxa"/>
            <w:shd w:val="clear" w:color="auto" w:fill="auto"/>
            <w:noWrap/>
            <w:tcMar>
              <w:top w:w="15" w:type="dxa"/>
              <w:left w:w="15" w:type="dxa"/>
              <w:bottom w:w="0" w:type="dxa"/>
              <w:right w:w="15" w:type="dxa"/>
            </w:tcMar>
            <w:vAlign w:val="bottom"/>
            <w:hideMark/>
          </w:tcPr>
          <w:p w:rsidR="00B86BD8" w:rsidRDefault="00B86BD8">
            <w:pPr>
              <w:jc w:val="right"/>
            </w:pPr>
            <w:r>
              <w:t>0.0559</w:t>
            </w:r>
          </w:p>
        </w:tc>
        <w:tc>
          <w:tcPr>
            <w:tcW w:w="815" w:type="dxa"/>
            <w:shd w:val="clear" w:color="auto" w:fill="auto"/>
            <w:noWrap/>
            <w:tcMar>
              <w:top w:w="15" w:type="dxa"/>
              <w:left w:w="15" w:type="dxa"/>
              <w:bottom w:w="0" w:type="dxa"/>
              <w:right w:w="15" w:type="dxa"/>
            </w:tcMar>
            <w:vAlign w:val="bottom"/>
            <w:hideMark/>
          </w:tcPr>
          <w:p w:rsidR="00B86BD8" w:rsidRDefault="00B86BD8">
            <w:pPr>
              <w:jc w:val="right"/>
            </w:pPr>
            <w:r>
              <w:t>0.0041</w:t>
            </w:r>
          </w:p>
        </w:tc>
        <w:tc>
          <w:tcPr>
            <w:tcW w:w="820" w:type="dxa"/>
            <w:shd w:val="clear" w:color="auto" w:fill="auto"/>
            <w:noWrap/>
            <w:tcMar>
              <w:top w:w="15" w:type="dxa"/>
              <w:left w:w="15" w:type="dxa"/>
              <w:bottom w:w="0" w:type="dxa"/>
              <w:right w:w="15" w:type="dxa"/>
            </w:tcMar>
            <w:vAlign w:val="bottom"/>
            <w:hideMark/>
          </w:tcPr>
          <w:p w:rsidR="00B86BD8" w:rsidRDefault="00B86BD8">
            <w:pPr>
              <w:jc w:val="right"/>
            </w:pPr>
            <w:r>
              <w:t>0.0001</w:t>
            </w:r>
          </w:p>
        </w:tc>
        <w:tc>
          <w:tcPr>
            <w:tcW w:w="760" w:type="dxa"/>
            <w:shd w:val="clear" w:color="auto" w:fill="auto"/>
            <w:noWrap/>
            <w:tcMar>
              <w:top w:w="15" w:type="dxa"/>
              <w:left w:w="15" w:type="dxa"/>
              <w:bottom w:w="0" w:type="dxa"/>
              <w:right w:w="15" w:type="dxa"/>
            </w:tcMar>
            <w:vAlign w:val="bottom"/>
            <w:hideMark/>
          </w:tcPr>
          <w:p w:rsidR="00B86BD8" w:rsidRDefault="00B86BD8">
            <w:pPr>
              <w:jc w:val="right"/>
            </w:pPr>
            <w:r>
              <w:t>0.0000</w:t>
            </w:r>
          </w:p>
        </w:tc>
        <w:tc>
          <w:tcPr>
            <w:tcW w:w="860" w:type="dxa"/>
            <w:shd w:val="clear" w:color="auto" w:fill="auto"/>
            <w:noWrap/>
            <w:tcMar>
              <w:top w:w="15" w:type="dxa"/>
              <w:left w:w="15" w:type="dxa"/>
              <w:bottom w:w="0" w:type="dxa"/>
              <w:right w:w="15" w:type="dxa"/>
            </w:tcMar>
            <w:vAlign w:val="bottom"/>
            <w:hideMark/>
          </w:tcPr>
          <w:p w:rsidR="00B86BD8" w:rsidRDefault="00B86BD8">
            <w:pPr>
              <w:jc w:val="right"/>
            </w:pPr>
            <w:r>
              <w:t>0.0000</w:t>
            </w:r>
          </w:p>
        </w:tc>
        <w:tc>
          <w:tcPr>
            <w:tcW w:w="700" w:type="dxa"/>
            <w:shd w:val="clear" w:color="auto" w:fill="auto"/>
            <w:noWrap/>
            <w:tcMar>
              <w:top w:w="15" w:type="dxa"/>
              <w:left w:w="15" w:type="dxa"/>
              <w:bottom w:w="0" w:type="dxa"/>
              <w:right w:w="15" w:type="dxa"/>
            </w:tcMar>
            <w:vAlign w:val="bottom"/>
            <w:hideMark/>
          </w:tcPr>
          <w:p w:rsidR="00B86BD8" w:rsidRDefault="00B86BD8">
            <w:pPr>
              <w:jc w:val="right"/>
            </w:pPr>
            <w:r>
              <w:t>0.0000</w:t>
            </w:r>
          </w:p>
        </w:tc>
        <w:tc>
          <w:tcPr>
            <w:tcW w:w="740" w:type="dxa"/>
            <w:shd w:val="clear" w:color="auto" w:fill="auto"/>
            <w:noWrap/>
            <w:tcMar>
              <w:top w:w="15" w:type="dxa"/>
              <w:left w:w="15" w:type="dxa"/>
              <w:bottom w:w="0" w:type="dxa"/>
              <w:right w:w="15" w:type="dxa"/>
            </w:tcMar>
            <w:vAlign w:val="bottom"/>
            <w:hideMark/>
          </w:tcPr>
          <w:p w:rsidR="00B86BD8" w:rsidRDefault="00B86BD8">
            <w:pPr>
              <w:jc w:val="right"/>
            </w:pPr>
            <w:r>
              <w:t>0.0000</w:t>
            </w:r>
          </w:p>
        </w:tc>
        <w:tc>
          <w:tcPr>
            <w:tcW w:w="740" w:type="dxa"/>
            <w:shd w:val="clear" w:color="auto" w:fill="auto"/>
            <w:noWrap/>
            <w:tcMar>
              <w:top w:w="15" w:type="dxa"/>
              <w:left w:w="15" w:type="dxa"/>
              <w:bottom w:w="0" w:type="dxa"/>
              <w:right w:w="15" w:type="dxa"/>
            </w:tcMar>
            <w:vAlign w:val="bottom"/>
            <w:hideMark/>
          </w:tcPr>
          <w:p w:rsidR="00B86BD8" w:rsidRDefault="00B86BD8">
            <w:pPr>
              <w:jc w:val="right"/>
            </w:pPr>
            <w:r>
              <w:t>0.0000</w:t>
            </w:r>
          </w:p>
        </w:tc>
        <w:tc>
          <w:tcPr>
            <w:tcW w:w="820" w:type="dxa"/>
            <w:shd w:val="clear" w:color="auto" w:fill="auto"/>
            <w:noWrap/>
            <w:tcMar>
              <w:top w:w="15" w:type="dxa"/>
              <w:left w:w="15" w:type="dxa"/>
              <w:bottom w:w="0" w:type="dxa"/>
              <w:right w:w="15" w:type="dxa"/>
            </w:tcMar>
            <w:vAlign w:val="bottom"/>
            <w:hideMark/>
          </w:tcPr>
          <w:p w:rsidR="00B86BD8" w:rsidRDefault="00B86BD8">
            <w:pPr>
              <w:jc w:val="right"/>
            </w:pPr>
            <w:r>
              <w:t>0.0000</w:t>
            </w:r>
          </w:p>
        </w:tc>
      </w:tr>
      <w:tr w:rsidR="00B86BD8" w:rsidRPr="00E93D60" w:rsidTr="00AE556B">
        <w:trPr>
          <w:trHeight w:val="264"/>
        </w:trPr>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0.0025</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0.1835</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0.5355</w:t>
            </w:r>
          </w:p>
        </w:tc>
        <w:tc>
          <w:tcPr>
            <w:tcW w:w="745" w:type="dxa"/>
            <w:shd w:val="clear" w:color="auto" w:fill="auto"/>
            <w:noWrap/>
            <w:tcMar>
              <w:top w:w="15" w:type="dxa"/>
              <w:left w:w="15" w:type="dxa"/>
              <w:bottom w:w="0" w:type="dxa"/>
              <w:right w:w="15" w:type="dxa"/>
            </w:tcMar>
            <w:vAlign w:val="bottom"/>
            <w:hideMark/>
          </w:tcPr>
          <w:p w:rsidR="00B86BD8" w:rsidRDefault="00B86BD8">
            <w:pPr>
              <w:jc w:val="right"/>
            </w:pPr>
            <w:r>
              <w:t>0.2441</w:t>
            </w:r>
          </w:p>
        </w:tc>
        <w:tc>
          <w:tcPr>
            <w:tcW w:w="815" w:type="dxa"/>
            <w:shd w:val="clear" w:color="auto" w:fill="auto"/>
            <w:noWrap/>
            <w:tcMar>
              <w:top w:w="15" w:type="dxa"/>
              <w:left w:w="15" w:type="dxa"/>
              <w:bottom w:w="0" w:type="dxa"/>
              <w:right w:w="15" w:type="dxa"/>
            </w:tcMar>
            <w:vAlign w:val="bottom"/>
            <w:hideMark/>
          </w:tcPr>
          <w:p w:rsidR="00B86BD8" w:rsidRDefault="00B86BD8">
            <w:pPr>
              <w:jc w:val="right"/>
            </w:pPr>
            <w:r>
              <w:t>0.0325</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0.0019</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0.0001</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r>
      <w:tr w:rsidR="00B86BD8" w:rsidRPr="00E93D60" w:rsidTr="00AE556B">
        <w:trPr>
          <w:trHeight w:val="264"/>
        </w:trPr>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0.0063</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0.2695</w:t>
            </w:r>
          </w:p>
        </w:tc>
        <w:tc>
          <w:tcPr>
            <w:tcW w:w="745" w:type="dxa"/>
            <w:shd w:val="clear" w:color="auto" w:fill="auto"/>
            <w:noWrap/>
            <w:tcMar>
              <w:top w:w="15" w:type="dxa"/>
              <w:left w:w="15" w:type="dxa"/>
              <w:bottom w:w="0" w:type="dxa"/>
              <w:right w:w="15" w:type="dxa"/>
            </w:tcMar>
            <w:vAlign w:val="bottom"/>
            <w:hideMark/>
          </w:tcPr>
          <w:p w:rsidR="00B86BD8" w:rsidRDefault="00B86BD8">
            <w:pPr>
              <w:jc w:val="right"/>
            </w:pPr>
            <w:r>
              <w:t>0.5321</w:t>
            </w:r>
          </w:p>
        </w:tc>
        <w:tc>
          <w:tcPr>
            <w:tcW w:w="815" w:type="dxa"/>
            <w:shd w:val="clear" w:color="auto" w:fill="auto"/>
            <w:noWrap/>
            <w:tcMar>
              <w:top w:w="15" w:type="dxa"/>
              <w:left w:w="15" w:type="dxa"/>
              <w:bottom w:w="0" w:type="dxa"/>
              <w:right w:w="15" w:type="dxa"/>
            </w:tcMar>
            <w:vAlign w:val="bottom"/>
            <w:hideMark/>
          </w:tcPr>
          <w:p w:rsidR="00B86BD8" w:rsidRDefault="00B86BD8">
            <w:pPr>
              <w:jc w:val="right"/>
            </w:pPr>
            <w:r>
              <w:t>0.1739</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0.0174</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0.0008</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r>
      <w:tr w:rsidR="00B86BD8" w:rsidRPr="00E93D60" w:rsidTr="00AE556B">
        <w:trPr>
          <w:trHeight w:val="264"/>
        </w:trPr>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0.0151</w:t>
            </w:r>
          </w:p>
        </w:tc>
        <w:tc>
          <w:tcPr>
            <w:tcW w:w="745" w:type="dxa"/>
            <w:shd w:val="clear" w:color="auto" w:fill="auto"/>
            <w:noWrap/>
            <w:tcMar>
              <w:top w:w="15" w:type="dxa"/>
              <w:left w:w="15" w:type="dxa"/>
              <w:bottom w:w="0" w:type="dxa"/>
              <w:right w:w="15" w:type="dxa"/>
            </w:tcMar>
            <w:vAlign w:val="bottom"/>
            <w:hideMark/>
          </w:tcPr>
          <w:p w:rsidR="00B86BD8" w:rsidRDefault="00B86BD8">
            <w:pPr>
              <w:jc w:val="right"/>
            </w:pPr>
            <w:r>
              <w:t>0.3705</w:t>
            </w:r>
          </w:p>
        </w:tc>
        <w:tc>
          <w:tcPr>
            <w:tcW w:w="815" w:type="dxa"/>
            <w:shd w:val="clear" w:color="auto" w:fill="auto"/>
            <w:noWrap/>
            <w:tcMar>
              <w:top w:w="15" w:type="dxa"/>
              <w:left w:w="15" w:type="dxa"/>
              <w:bottom w:w="0" w:type="dxa"/>
              <w:right w:w="15" w:type="dxa"/>
            </w:tcMar>
            <w:vAlign w:val="bottom"/>
            <w:hideMark/>
          </w:tcPr>
          <w:p w:rsidR="00B86BD8" w:rsidRDefault="00B86BD8">
            <w:pPr>
              <w:jc w:val="right"/>
            </w:pPr>
            <w:r>
              <w:t>0.4913</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0.1142</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0.0086</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0.0003</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r>
      <w:tr w:rsidR="00B86BD8" w:rsidRPr="00E93D60" w:rsidTr="00AE556B">
        <w:trPr>
          <w:trHeight w:val="264"/>
        </w:trPr>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745" w:type="dxa"/>
            <w:shd w:val="clear" w:color="auto" w:fill="auto"/>
            <w:noWrap/>
            <w:tcMar>
              <w:top w:w="15" w:type="dxa"/>
              <w:left w:w="15" w:type="dxa"/>
              <w:bottom w:w="0" w:type="dxa"/>
              <w:right w:w="15" w:type="dxa"/>
            </w:tcMar>
            <w:vAlign w:val="bottom"/>
            <w:hideMark/>
          </w:tcPr>
          <w:p w:rsidR="00B86BD8" w:rsidRDefault="00B86BD8">
            <w:pPr>
              <w:jc w:val="right"/>
            </w:pPr>
            <w:r>
              <w:t>0.0334</w:t>
            </w:r>
          </w:p>
        </w:tc>
        <w:tc>
          <w:tcPr>
            <w:tcW w:w="815" w:type="dxa"/>
            <w:shd w:val="clear" w:color="auto" w:fill="auto"/>
            <w:noWrap/>
            <w:tcMar>
              <w:top w:w="15" w:type="dxa"/>
              <w:left w:w="15" w:type="dxa"/>
              <w:bottom w:w="0" w:type="dxa"/>
              <w:right w:w="15" w:type="dxa"/>
            </w:tcMar>
            <w:vAlign w:val="bottom"/>
            <w:hideMark/>
          </w:tcPr>
          <w:p w:rsidR="00B86BD8" w:rsidRDefault="00B86BD8">
            <w:pPr>
              <w:jc w:val="right"/>
            </w:pPr>
            <w:r>
              <w:t>0.4750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0.4189</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0.0687</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0.0039</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0.0001</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r>
      <w:tr w:rsidR="00B86BD8" w:rsidRPr="00E93D60" w:rsidTr="00AE556B">
        <w:trPr>
          <w:trHeight w:val="264"/>
        </w:trPr>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745" w:type="dxa"/>
            <w:shd w:val="clear" w:color="auto" w:fill="auto"/>
            <w:noWrap/>
            <w:tcMar>
              <w:top w:w="15" w:type="dxa"/>
              <w:left w:w="15" w:type="dxa"/>
              <w:bottom w:w="0" w:type="dxa"/>
              <w:right w:w="15" w:type="dxa"/>
            </w:tcMar>
            <w:vAlign w:val="bottom"/>
            <w:hideMark/>
          </w:tcPr>
          <w:p w:rsidR="00B86BD8" w:rsidRDefault="00B86BD8">
            <w:pPr>
              <w:jc w:val="right"/>
            </w:pPr>
            <w:r>
              <w:t>0.0000</w:t>
            </w:r>
          </w:p>
        </w:tc>
        <w:tc>
          <w:tcPr>
            <w:tcW w:w="815" w:type="dxa"/>
            <w:shd w:val="clear" w:color="auto" w:fill="auto"/>
            <w:noWrap/>
            <w:tcMar>
              <w:top w:w="15" w:type="dxa"/>
              <w:left w:w="15" w:type="dxa"/>
              <w:bottom w:w="0" w:type="dxa"/>
              <w:right w:w="15" w:type="dxa"/>
            </w:tcMar>
            <w:vAlign w:val="bottom"/>
            <w:hideMark/>
          </w:tcPr>
          <w:p w:rsidR="00B86BD8" w:rsidRDefault="00B86BD8">
            <w:pPr>
              <w:jc w:val="right"/>
            </w:pPr>
            <w:r>
              <w:t>0.0680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0.5654</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0.3273</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0.0376</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0.0016</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r>
      <w:tr w:rsidR="00B86BD8" w:rsidRPr="00E93D60" w:rsidTr="00AE556B">
        <w:trPr>
          <w:trHeight w:val="264"/>
        </w:trPr>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745" w:type="dxa"/>
            <w:shd w:val="clear" w:color="auto" w:fill="auto"/>
            <w:noWrap/>
            <w:tcMar>
              <w:top w:w="15" w:type="dxa"/>
              <w:left w:w="15" w:type="dxa"/>
              <w:bottom w:w="0" w:type="dxa"/>
              <w:right w:w="15" w:type="dxa"/>
            </w:tcMar>
            <w:vAlign w:val="bottom"/>
            <w:hideMark/>
          </w:tcPr>
          <w:p w:rsidR="00B86BD8" w:rsidRDefault="00B86BD8"/>
        </w:tc>
        <w:tc>
          <w:tcPr>
            <w:tcW w:w="815" w:type="dxa"/>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0.1276</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0.6210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0.2322</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0.0186</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0.0006</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r>
      <w:tr w:rsidR="00B86BD8" w:rsidRPr="00E93D60" w:rsidTr="00AE556B">
        <w:trPr>
          <w:trHeight w:val="264"/>
        </w:trPr>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745" w:type="dxa"/>
            <w:shd w:val="clear" w:color="auto" w:fill="auto"/>
            <w:noWrap/>
            <w:tcMar>
              <w:top w:w="15" w:type="dxa"/>
              <w:left w:w="15" w:type="dxa"/>
              <w:bottom w:w="0" w:type="dxa"/>
              <w:right w:w="15" w:type="dxa"/>
            </w:tcMar>
            <w:vAlign w:val="bottom"/>
            <w:hideMark/>
          </w:tcPr>
          <w:p w:rsidR="00B86BD8" w:rsidRDefault="00B86BD8"/>
        </w:tc>
        <w:tc>
          <w:tcPr>
            <w:tcW w:w="815" w:type="dxa"/>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0.0002</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0.2194</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0.6240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0.1480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0.0082</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0.0002</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0.0000</w:t>
            </w:r>
          </w:p>
        </w:tc>
      </w:tr>
      <w:tr w:rsidR="00B86BD8" w:rsidRPr="00E93D60" w:rsidTr="00AE556B">
        <w:trPr>
          <w:trHeight w:val="264"/>
        </w:trPr>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745" w:type="dxa"/>
            <w:shd w:val="clear" w:color="auto" w:fill="auto"/>
            <w:noWrap/>
            <w:tcMar>
              <w:top w:w="15" w:type="dxa"/>
              <w:left w:w="15" w:type="dxa"/>
              <w:bottom w:w="0" w:type="dxa"/>
              <w:right w:w="15" w:type="dxa"/>
            </w:tcMar>
            <w:vAlign w:val="bottom"/>
            <w:hideMark/>
          </w:tcPr>
          <w:p w:rsidR="00B86BD8" w:rsidRDefault="00B86BD8"/>
        </w:tc>
        <w:tc>
          <w:tcPr>
            <w:tcW w:w="815" w:type="dxa"/>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0.0009</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0.3450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0.5672</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0.0837</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0.0032</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0.0001</w:t>
            </w:r>
          </w:p>
        </w:tc>
      </w:tr>
      <w:tr w:rsidR="00B86BD8" w:rsidRPr="00E93D60" w:rsidTr="00AE556B">
        <w:trPr>
          <w:trHeight w:val="264"/>
        </w:trPr>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745" w:type="dxa"/>
            <w:shd w:val="clear" w:color="auto" w:fill="auto"/>
            <w:noWrap/>
            <w:tcMar>
              <w:top w:w="15" w:type="dxa"/>
              <w:left w:w="15" w:type="dxa"/>
              <w:bottom w:w="0" w:type="dxa"/>
              <w:right w:w="15" w:type="dxa"/>
            </w:tcMar>
            <w:vAlign w:val="bottom"/>
            <w:hideMark/>
          </w:tcPr>
          <w:p w:rsidR="00B86BD8" w:rsidRDefault="00B86BD8"/>
        </w:tc>
        <w:tc>
          <w:tcPr>
            <w:tcW w:w="815" w:type="dxa"/>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0.0038</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0.4944</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0.4595</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0.0413</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0.0011</w:t>
            </w:r>
          </w:p>
        </w:tc>
      </w:tr>
      <w:tr w:rsidR="00B86BD8" w:rsidRPr="00E93D60" w:rsidTr="00AE556B">
        <w:trPr>
          <w:trHeight w:val="264"/>
        </w:trPr>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745" w:type="dxa"/>
            <w:shd w:val="clear" w:color="auto" w:fill="auto"/>
            <w:noWrap/>
            <w:tcMar>
              <w:top w:w="15" w:type="dxa"/>
              <w:left w:w="15" w:type="dxa"/>
              <w:bottom w:w="0" w:type="dxa"/>
              <w:right w:w="15" w:type="dxa"/>
            </w:tcMar>
            <w:vAlign w:val="bottom"/>
            <w:hideMark/>
          </w:tcPr>
          <w:p w:rsidR="00B86BD8" w:rsidRDefault="00B86BD8"/>
        </w:tc>
        <w:tc>
          <w:tcPr>
            <w:tcW w:w="815" w:type="dxa"/>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pPr>
              <w:jc w:val="right"/>
            </w:pPr>
            <w:r>
              <w:t>0.0136</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0.6434</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0.3252</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0.0178</w:t>
            </w:r>
          </w:p>
        </w:tc>
      </w:tr>
      <w:tr w:rsidR="00B86BD8" w:rsidRPr="00E93D60" w:rsidTr="00AE556B">
        <w:trPr>
          <w:trHeight w:val="264"/>
        </w:trPr>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745" w:type="dxa"/>
            <w:shd w:val="clear" w:color="auto" w:fill="auto"/>
            <w:noWrap/>
            <w:tcMar>
              <w:top w:w="15" w:type="dxa"/>
              <w:left w:w="15" w:type="dxa"/>
              <w:bottom w:w="0" w:type="dxa"/>
              <w:right w:w="15" w:type="dxa"/>
            </w:tcMar>
            <w:vAlign w:val="bottom"/>
            <w:hideMark/>
          </w:tcPr>
          <w:p w:rsidR="00B86BD8" w:rsidRDefault="00B86BD8"/>
        </w:tc>
        <w:tc>
          <w:tcPr>
            <w:tcW w:w="815" w:type="dxa"/>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pPr>
              <w:jc w:val="right"/>
            </w:pPr>
            <w:r>
              <w:t>0.0420</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0.7557</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0.2023</w:t>
            </w:r>
          </w:p>
        </w:tc>
      </w:tr>
      <w:tr w:rsidR="00B86BD8" w:rsidRPr="00E93D60" w:rsidTr="00AE556B">
        <w:trPr>
          <w:trHeight w:val="264"/>
        </w:trPr>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745" w:type="dxa"/>
            <w:shd w:val="clear" w:color="auto" w:fill="auto"/>
            <w:noWrap/>
            <w:tcMar>
              <w:top w:w="15" w:type="dxa"/>
              <w:left w:w="15" w:type="dxa"/>
              <w:bottom w:w="0" w:type="dxa"/>
              <w:right w:w="15" w:type="dxa"/>
            </w:tcMar>
            <w:vAlign w:val="bottom"/>
            <w:hideMark/>
          </w:tcPr>
          <w:p w:rsidR="00B86BD8" w:rsidRDefault="00B86BD8"/>
        </w:tc>
        <w:tc>
          <w:tcPr>
            <w:tcW w:w="815" w:type="dxa"/>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pPr>
              <w:jc w:val="right"/>
            </w:pPr>
            <w:r>
              <w:t>0.1102</w:t>
            </w:r>
          </w:p>
        </w:tc>
        <w:tc>
          <w:tcPr>
            <w:tcW w:w="0" w:type="auto"/>
            <w:shd w:val="clear" w:color="auto" w:fill="auto"/>
            <w:noWrap/>
            <w:tcMar>
              <w:top w:w="15" w:type="dxa"/>
              <w:left w:w="15" w:type="dxa"/>
              <w:bottom w:w="0" w:type="dxa"/>
              <w:right w:w="15" w:type="dxa"/>
            </w:tcMar>
            <w:vAlign w:val="bottom"/>
            <w:hideMark/>
          </w:tcPr>
          <w:p w:rsidR="00B86BD8" w:rsidRDefault="00B86BD8">
            <w:pPr>
              <w:jc w:val="right"/>
            </w:pPr>
            <w:r>
              <w:t>0.8898</w:t>
            </w:r>
          </w:p>
        </w:tc>
      </w:tr>
      <w:tr w:rsidR="00B86BD8" w:rsidRPr="00E93D60" w:rsidTr="00AE556B">
        <w:trPr>
          <w:trHeight w:val="264"/>
        </w:trPr>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745" w:type="dxa"/>
            <w:shd w:val="clear" w:color="auto" w:fill="auto"/>
            <w:noWrap/>
            <w:tcMar>
              <w:top w:w="15" w:type="dxa"/>
              <w:left w:w="15" w:type="dxa"/>
              <w:bottom w:w="0" w:type="dxa"/>
              <w:right w:w="15" w:type="dxa"/>
            </w:tcMar>
            <w:vAlign w:val="bottom"/>
            <w:hideMark/>
          </w:tcPr>
          <w:p w:rsidR="00B86BD8" w:rsidRDefault="00B86BD8"/>
        </w:tc>
        <w:tc>
          <w:tcPr>
            <w:tcW w:w="815" w:type="dxa"/>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tc>
        <w:tc>
          <w:tcPr>
            <w:tcW w:w="0" w:type="auto"/>
            <w:shd w:val="clear" w:color="auto" w:fill="auto"/>
            <w:noWrap/>
            <w:tcMar>
              <w:top w:w="15" w:type="dxa"/>
              <w:left w:w="15" w:type="dxa"/>
              <w:bottom w:w="0" w:type="dxa"/>
              <w:right w:w="15" w:type="dxa"/>
            </w:tcMar>
            <w:vAlign w:val="bottom"/>
            <w:hideMark/>
          </w:tcPr>
          <w:p w:rsidR="00B86BD8" w:rsidRDefault="00B86BD8">
            <w:pPr>
              <w:jc w:val="right"/>
            </w:pPr>
            <w:r>
              <w:t>1.0000</w:t>
            </w:r>
          </w:p>
        </w:tc>
      </w:tr>
    </w:tbl>
    <w:p w:rsidR="00B86BD8" w:rsidRPr="00600E05" w:rsidRDefault="00B86BD8" w:rsidP="006B4EDE">
      <w:pPr>
        <w:spacing w:line="360" w:lineRule="auto"/>
        <w:rPr>
          <w:sz w:val="22"/>
          <w:szCs w:val="22"/>
        </w:rPr>
      </w:pPr>
      <w:r w:rsidRPr="00600E05">
        <w:rPr>
          <w:sz w:val="22"/>
          <w:szCs w:val="22"/>
        </w:rPr>
        <w:t xml:space="preserve">Table 7. Estimate of the size transition matrix for the scenario 2 model for the golden king crab data from the EAG. </w:t>
      </w:r>
    </w:p>
    <w:tbl>
      <w:tblPr>
        <w:tblW w:w="1090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66"/>
        <w:gridCol w:w="779"/>
        <w:gridCol w:w="766"/>
        <w:gridCol w:w="766"/>
        <w:gridCol w:w="808"/>
        <w:gridCol w:w="766"/>
        <w:gridCol w:w="766"/>
        <w:gridCol w:w="808"/>
        <w:gridCol w:w="792"/>
        <w:gridCol w:w="828"/>
        <w:gridCol w:w="766"/>
        <w:gridCol w:w="766"/>
        <w:gridCol w:w="766"/>
        <w:gridCol w:w="766"/>
      </w:tblGrid>
      <w:tr w:rsidR="00B86BD8" w:rsidRPr="00E93D60" w:rsidTr="006B4EDE">
        <w:trPr>
          <w:trHeight w:val="264"/>
        </w:trPr>
        <w:tc>
          <w:tcPr>
            <w:tcW w:w="766" w:type="dxa"/>
            <w:shd w:val="clear" w:color="auto" w:fill="auto"/>
            <w:noWrap/>
            <w:vAlign w:val="bottom"/>
            <w:hideMark/>
          </w:tcPr>
          <w:p w:rsidR="00B86BD8" w:rsidRDefault="00B86BD8">
            <w:pPr>
              <w:jc w:val="right"/>
            </w:pPr>
            <w:r>
              <w:t>0.0166</w:t>
            </w:r>
          </w:p>
        </w:tc>
        <w:tc>
          <w:tcPr>
            <w:tcW w:w="779" w:type="dxa"/>
            <w:shd w:val="clear" w:color="auto" w:fill="auto"/>
            <w:noWrap/>
            <w:vAlign w:val="bottom"/>
            <w:hideMark/>
          </w:tcPr>
          <w:p w:rsidR="00B86BD8" w:rsidRDefault="00B86BD8">
            <w:pPr>
              <w:jc w:val="right"/>
            </w:pPr>
            <w:r>
              <w:t>0.0003</w:t>
            </w:r>
          </w:p>
        </w:tc>
        <w:tc>
          <w:tcPr>
            <w:tcW w:w="766" w:type="dxa"/>
            <w:shd w:val="clear" w:color="auto" w:fill="auto"/>
            <w:noWrap/>
            <w:vAlign w:val="bottom"/>
            <w:hideMark/>
          </w:tcPr>
          <w:p w:rsidR="00B86BD8" w:rsidRDefault="00B86BD8">
            <w:pPr>
              <w:jc w:val="right"/>
            </w:pPr>
            <w:r>
              <w:t>0.0646</w:t>
            </w:r>
          </w:p>
        </w:tc>
        <w:tc>
          <w:tcPr>
            <w:tcW w:w="766" w:type="dxa"/>
            <w:shd w:val="clear" w:color="auto" w:fill="auto"/>
            <w:noWrap/>
            <w:vAlign w:val="bottom"/>
            <w:hideMark/>
          </w:tcPr>
          <w:p w:rsidR="00B86BD8" w:rsidRDefault="00B86BD8">
            <w:pPr>
              <w:jc w:val="right"/>
            </w:pPr>
            <w:r>
              <w:t>0.4280</w:t>
            </w:r>
          </w:p>
        </w:tc>
        <w:tc>
          <w:tcPr>
            <w:tcW w:w="808" w:type="dxa"/>
            <w:shd w:val="clear" w:color="auto" w:fill="auto"/>
            <w:noWrap/>
            <w:vAlign w:val="bottom"/>
            <w:hideMark/>
          </w:tcPr>
          <w:p w:rsidR="00B86BD8" w:rsidRDefault="00B86BD8">
            <w:pPr>
              <w:jc w:val="right"/>
            </w:pPr>
            <w:r>
              <w:t>0.3882</w:t>
            </w:r>
          </w:p>
        </w:tc>
        <w:tc>
          <w:tcPr>
            <w:tcW w:w="766" w:type="dxa"/>
            <w:shd w:val="clear" w:color="auto" w:fill="auto"/>
            <w:noWrap/>
            <w:vAlign w:val="bottom"/>
            <w:hideMark/>
          </w:tcPr>
          <w:p w:rsidR="00B86BD8" w:rsidRDefault="00B86BD8">
            <w:pPr>
              <w:jc w:val="right"/>
            </w:pPr>
            <w:r>
              <w:t>0.0931</w:t>
            </w:r>
          </w:p>
        </w:tc>
        <w:tc>
          <w:tcPr>
            <w:tcW w:w="766" w:type="dxa"/>
            <w:shd w:val="clear" w:color="auto" w:fill="auto"/>
            <w:noWrap/>
            <w:vAlign w:val="bottom"/>
            <w:hideMark/>
          </w:tcPr>
          <w:p w:rsidR="00B86BD8" w:rsidRDefault="00B86BD8">
            <w:pPr>
              <w:jc w:val="right"/>
            </w:pPr>
            <w:r>
              <w:t>0.0088</w:t>
            </w:r>
          </w:p>
        </w:tc>
        <w:tc>
          <w:tcPr>
            <w:tcW w:w="808" w:type="dxa"/>
            <w:shd w:val="clear" w:color="auto" w:fill="auto"/>
            <w:noWrap/>
            <w:vAlign w:val="bottom"/>
            <w:hideMark/>
          </w:tcPr>
          <w:p w:rsidR="00B86BD8" w:rsidRDefault="00B86BD8">
            <w:pPr>
              <w:jc w:val="right"/>
            </w:pPr>
            <w:r>
              <w:t>0.0004</w:t>
            </w:r>
          </w:p>
        </w:tc>
        <w:tc>
          <w:tcPr>
            <w:tcW w:w="792" w:type="dxa"/>
            <w:shd w:val="clear" w:color="auto" w:fill="auto"/>
            <w:noWrap/>
            <w:vAlign w:val="bottom"/>
            <w:hideMark/>
          </w:tcPr>
          <w:p w:rsidR="00B86BD8" w:rsidRDefault="00B86BD8">
            <w:pPr>
              <w:jc w:val="right"/>
            </w:pPr>
            <w:r>
              <w:t>0.0000</w:t>
            </w:r>
          </w:p>
        </w:tc>
        <w:tc>
          <w:tcPr>
            <w:tcW w:w="828" w:type="dxa"/>
            <w:shd w:val="clear" w:color="auto" w:fill="auto"/>
            <w:noWrap/>
            <w:vAlign w:val="bottom"/>
            <w:hideMark/>
          </w:tcPr>
          <w:p w:rsidR="00B86BD8" w:rsidRDefault="00B86BD8">
            <w:pPr>
              <w:jc w:val="right"/>
            </w:pPr>
            <w:r>
              <w:t>0.0000</w:t>
            </w:r>
          </w:p>
        </w:tc>
        <w:tc>
          <w:tcPr>
            <w:tcW w:w="766" w:type="dxa"/>
            <w:shd w:val="clear" w:color="auto" w:fill="auto"/>
            <w:noWrap/>
            <w:vAlign w:val="bottom"/>
            <w:hideMark/>
          </w:tcPr>
          <w:p w:rsidR="00B86BD8" w:rsidRDefault="00B86BD8">
            <w:pPr>
              <w:jc w:val="right"/>
            </w:pPr>
            <w:r>
              <w:t>0.0000</w:t>
            </w:r>
          </w:p>
        </w:tc>
        <w:tc>
          <w:tcPr>
            <w:tcW w:w="766" w:type="dxa"/>
            <w:shd w:val="clear" w:color="auto" w:fill="auto"/>
            <w:noWrap/>
            <w:vAlign w:val="bottom"/>
            <w:hideMark/>
          </w:tcPr>
          <w:p w:rsidR="00B86BD8" w:rsidRDefault="00B86BD8">
            <w:pPr>
              <w:jc w:val="right"/>
            </w:pPr>
            <w:r>
              <w:t>0.0000</w:t>
            </w:r>
          </w:p>
        </w:tc>
        <w:tc>
          <w:tcPr>
            <w:tcW w:w="766" w:type="dxa"/>
            <w:shd w:val="clear" w:color="auto" w:fill="auto"/>
            <w:noWrap/>
            <w:vAlign w:val="bottom"/>
            <w:hideMark/>
          </w:tcPr>
          <w:p w:rsidR="00B86BD8" w:rsidRDefault="00B86BD8">
            <w:pPr>
              <w:jc w:val="right"/>
            </w:pPr>
            <w:r>
              <w:t>0.0000</w:t>
            </w:r>
          </w:p>
        </w:tc>
        <w:tc>
          <w:tcPr>
            <w:tcW w:w="766" w:type="dxa"/>
            <w:shd w:val="clear" w:color="auto" w:fill="auto"/>
            <w:noWrap/>
            <w:vAlign w:val="bottom"/>
            <w:hideMark/>
          </w:tcPr>
          <w:p w:rsidR="00B86BD8" w:rsidRDefault="00B86BD8">
            <w:pPr>
              <w:jc w:val="right"/>
            </w:pPr>
            <w:r>
              <w:t>0.0000</w:t>
            </w:r>
          </w:p>
        </w:tc>
      </w:tr>
      <w:tr w:rsidR="00B86BD8" w:rsidRPr="00E93D60" w:rsidTr="006B4EDE">
        <w:trPr>
          <w:trHeight w:val="264"/>
        </w:trPr>
        <w:tc>
          <w:tcPr>
            <w:tcW w:w="766" w:type="dxa"/>
            <w:shd w:val="clear" w:color="auto" w:fill="auto"/>
            <w:noWrap/>
            <w:vAlign w:val="bottom"/>
            <w:hideMark/>
          </w:tcPr>
          <w:p w:rsidR="00B86BD8" w:rsidRDefault="00B86BD8"/>
        </w:tc>
        <w:tc>
          <w:tcPr>
            <w:tcW w:w="779" w:type="dxa"/>
            <w:shd w:val="clear" w:color="auto" w:fill="auto"/>
            <w:noWrap/>
            <w:vAlign w:val="bottom"/>
            <w:hideMark/>
          </w:tcPr>
          <w:p w:rsidR="00B86BD8" w:rsidRDefault="00B86BD8">
            <w:pPr>
              <w:jc w:val="right"/>
            </w:pPr>
            <w:r>
              <w:t>0.0271</w:t>
            </w:r>
          </w:p>
        </w:tc>
        <w:tc>
          <w:tcPr>
            <w:tcW w:w="766" w:type="dxa"/>
            <w:shd w:val="clear" w:color="auto" w:fill="auto"/>
            <w:noWrap/>
            <w:vAlign w:val="bottom"/>
            <w:hideMark/>
          </w:tcPr>
          <w:p w:rsidR="00B86BD8" w:rsidRDefault="00B86BD8">
            <w:pPr>
              <w:jc w:val="right"/>
            </w:pPr>
            <w:r>
              <w:t>0.0003</w:t>
            </w:r>
          </w:p>
        </w:tc>
        <w:tc>
          <w:tcPr>
            <w:tcW w:w="766" w:type="dxa"/>
            <w:shd w:val="clear" w:color="auto" w:fill="auto"/>
            <w:noWrap/>
            <w:vAlign w:val="bottom"/>
            <w:hideMark/>
          </w:tcPr>
          <w:p w:rsidR="00B86BD8" w:rsidRDefault="00B86BD8">
            <w:pPr>
              <w:jc w:val="right"/>
            </w:pPr>
            <w:r>
              <w:t>0.0716</w:t>
            </w:r>
          </w:p>
        </w:tc>
        <w:tc>
          <w:tcPr>
            <w:tcW w:w="808" w:type="dxa"/>
            <w:shd w:val="clear" w:color="auto" w:fill="auto"/>
            <w:noWrap/>
            <w:vAlign w:val="bottom"/>
            <w:hideMark/>
          </w:tcPr>
          <w:p w:rsidR="00B86BD8" w:rsidRDefault="00B86BD8">
            <w:pPr>
              <w:jc w:val="right"/>
            </w:pPr>
            <w:r>
              <w:t>0.4376</w:t>
            </w:r>
          </w:p>
        </w:tc>
        <w:tc>
          <w:tcPr>
            <w:tcW w:w="766" w:type="dxa"/>
            <w:shd w:val="clear" w:color="auto" w:fill="auto"/>
            <w:noWrap/>
            <w:vAlign w:val="bottom"/>
            <w:hideMark/>
          </w:tcPr>
          <w:p w:rsidR="00B86BD8" w:rsidRDefault="00B86BD8">
            <w:pPr>
              <w:jc w:val="right"/>
            </w:pPr>
            <w:r>
              <w:t>0.3713</w:t>
            </w:r>
          </w:p>
        </w:tc>
        <w:tc>
          <w:tcPr>
            <w:tcW w:w="766" w:type="dxa"/>
            <w:shd w:val="clear" w:color="auto" w:fill="auto"/>
            <w:noWrap/>
            <w:vAlign w:val="bottom"/>
            <w:hideMark/>
          </w:tcPr>
          <w:p w:rsidR="00B86BD8" w:rsidRDefault="00B86BD8">
            <w:pPr>
              <w:jc w:val="right"/>
            </w:pPr>
            <w:r>
              <w:t>0.0841</w:t>
            </w:r>
          </w:p>
        </w:tc>
        <w:tc>
          <w:tcPr>
            <w:tcW w:w="808" w:type="dxa"/>
            <w:shd w:val="clear" w:color="auto" w:fill="auto"/>
            <w:noWrap/>
            <w:vAlign w:val="bottom"/>
            <w:hideMark/>
          </w:tcPr>
          <w:p w:rsidR="00B86BD8" w:rsidRDefault="00B86BD8">
            <w:pPr>
              <w:jc w:val="right"/>
            </w:pPr>
            <w:r>
              <w:t>0.0076</w:t>
            </w:r>
          </w:p>
        </w:tc>
        <w:tc>
          <w:tcPr>
            <w:tcW w:w="792" w:type="dxa"/>
            <w:shd w:val="clear" w:color="auto" w:fill="auto"/>
            <w:noWrap/>
            <w:vAlign w:val="bottom"/>
            <w:hideMark/>
          </w:tcPr>
          <w:p w:rsidR="00B86BD8" w:rsidRDefault="00B86BD8">
            <w:pPr>
              <w:jc w:val="right"/>
            </w:pPr>
            <w:r>
              <w:t>0.0003</w:t>
            </w:r>
          </w:p>
        </w:tc>
        <w:tc>
          <w:tcPr>
            <w:tcW w:w="828" w:type="dxa"/>
            <w:shd w:val="clear" w:color="auto" w:fill="auto"/>
            <w:noWrap/>
            <w:vAlign w:val="bottom"/>
            <w:hideMark/>
          </w:tcPr>
          <w:p w:rsidR="00B86BD8" w:rsidRDefault="00B86BD8">
            <w:pPr>
              <w:jc w:val="right"/>
            </w:pPr>
            <w:r>
              <w:t>0.0000</w:t>
            </w:r>
          </w:p>
        </w:tc>
        <w:tc>
          <w:tcPr>
            <w:tcW w:w="766" w:type="dxa"/>
            <w:shd w:val="clear" w:color="auto" w:fill="auto"/>
            <w:noWrap/>
            <w:vAlign w:val="bottom"/>
            <w:hideMark/>
          </w:tcPr>
          <w:p w:rsidR="00B86BD8" w:rsidRDefault="00B86BD8">
            <w:pPr>
              <w:jc w:val="right"/>
            </w:pPr>
            <w:r>
              <w:t>0.0000</w:t>
            </w:r>
          </w:p>
        </w:tc>
        <w:tc>
          <w:tcPr>
            <w:tcW w:w="766" w:type="dxa"/>
            <w:shd w:val="clear" w:color="auto" w:fill="auto"/>
            <w:noWrap/>
            <w:vAlign w:val="bottom"/>
            <w:hideMark/>
          </w:tcPr>
          <w:p w:rsidR="00B86BD8" w:rsidRDefault="00B86BD8">
            <w:pPr>
              <w:jc w:val="right"/>
            </w:pPr>
            <w:r>
              <w:t>0.0000</w:t>
            </w:r>
          </w:p>
        </w:tc>
        <w:tc>
          <w:tcPr>
            <w:tcW w:w="766" w:type="dxa"/>
            <w:shd w:val="clear" w:color="auto" w:fill="auto"/>
            <w:noWrap/>
            <w:vAlign w:val="bottom"/>
            <w:hideMark/>
          </w:tcPr>
          <w:p w:rsidR="00B86BD8" w:rsidRDefault="00B86BD8">
            <w:pPr>
              <w:jc w:val="right"/>
            </w:pPr>
            <w:r>
              <w:t>0.0000</w:t>
            </w:r>
          </w:p>
        </w:tc>
        <w:tc>
          <w:tcPr>
            <w:tcW w:w="766" w:type="dxa"/>
            <w:shd w:val="clear" w:color="auto" w:fill="auto"/>
            <w:noWrap/>
            <w:vAlign w:val="bottom"/>
            <w:hideMark/>
          </w:tcPr>
          <w:p w:rsidR="00B86BD8" w:rsidRDefault="00B86BD8">
            <w:pPr>
              <w:jc w:val="right"/>
            </w:pPr>
            <w:r>
              <w:t>0.0000</w:t>
            </w:r>
          </w:p>
        </w:tc>
      </w:tr>
      <w:tr w:rsidR="00B86BD8" w:rsidRPr="00E93D60" w:rsidTr="006B4EDE">
        <w:trPr>
          <w:trHeight w:val="264"/>
        </w:trPr>
        <w:tc>
          <w:tcPr>
            <w:tcW w:w="766" w:type="dxa"/>
            <w:shd w:val="clear" w:color="auto" w:fill="auto"/>
            <w:noWrap/>
            <w:vAlign w:val="bottom"/>
            <w:hideMark/>
          </w:tcPr>
          <w:p w:rsidR="00B86BD8" w:rsidRDefault="00B86BD8"/>
        </w:tc>
        <w:tc>
          <w:tcPr>
            <w:tcW w:w="779"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pPr>
              <w:jc w:val="right"/>
            </w:pPr>
            <w:r>
              <w:t>0.0441</w:t>
            </w:r>
          </w:p>
        </w:tc>
        <w:tc>
          <w:tcPr>
            <w:tcW w:w="766" w:type="dxa"/>
            <w:shd w:val="clear" w:color="auto" w:fill="auto"/>
            <w:noWrap/>
            <w:vAlign w:val="bottom"/>
            <w:hideMark/>
          </w:tcPr>
          <w:p w:rsidR="00B86BD8" w:rsidRDefault="00B86BD8">
            <w:pPr>
              <w:jc w:val="right"/>
            </w:pPr>
            <w:r>
              <w:t>0.0004</w:t>
            </w:r>
          </w:p>
        </w:tc>
        <w:tc>
          <w:tcPr>
            <w:tcW w:w="808" w:type="dxa"/>
            <w:shd w:val="clear" w:color="auto" w:fill="auto"/>
            <w:noWrap/>
            <w:vAlign w:val="bottom"/>
            <w:hideMark/>
          </w:tcPr>
          <w:p w:rsidR="00B86BD8" w:rsidRDefault="00B86BD8">
            <w:pPr>
              <w:jc w:val="right"/>
            </w:pPr>
            <w:r>
              <w:t>0.0787</w:t>
            </w:r>
          </w:p>
        </w:tc>
        <w:tc>
          <w:tcPr>
            <w:tcW w:w="766" w:type="dxa"/>
            <w:shd w:val="clear" w:color="auto" w:fill="auto"/>
            <w:noWrap/>
            <w:vAlign w:val="bottom"/>
            <w:hideMark/>
          </w:tcPr>
          <w:p w:rsidR="00B86BD8" w:rsidRDefault="00B86BD8">
            <w:pPr>
              <w:jc w:val="right"/>
            </w:pPr>
            <w:r>
              <w:t>0.4433</w:t>
            </w:r>
          </w:p>
        </w:tc>
        <w:tc>
          <w:tcPr>
            <w:tcW w:w="766" w:type="dxa"/>
            <w:shd w:val="clear" w:color="auto" w:fill="auto"/>
            <w:noWrap/>
            <w:vAlign w:val="bottom"/>
            <w:hideMark/>
          </w:tcPr>
          <w:p w:rsidR="00B86BD8" w:rsidRDefault="00B86BD8">
            <w:pPr>
              <w:jc w:val="right"/>
            </w:pPr>
            <w:r>
              <w:t>0.3517</w:t>
            </w:r>
          </w:p>
        </w:tc>
        <w:tc>
          <w:tcPr>
            <w:tcW w:w="808" w:type="dxa"/>
            <w:shd w:val="clear" w:color="auto" w:fill="auto"/>
            <w:noWrap/>
            <w:vAlign w:val="bottom"/>
            <w:hideMark/>
          </w:tcPr>
          <w:p w:rsidR="00B86BD8" w:rsidRDefault="00B86BD8">
            <w:pPr>
              <w:jc w:val="right"/>
            </w:pPr>
            <w:r>
              <w:t>0.0752</w:t>
            </w:r>
          </w:p>
        </w:tc>
        <w:tc>
          <w:tcPr>
            <w:tcW w:w="792" w:type="dxa"/>
            <w:shd w:val="clear" w:color="auto" w:fill="auto"/>
            <w:noWrap/>
            <w:vAlign w:val="bottom"/>
            <w:hideMark/>
          </w:tcPr>
          <w:p w:rsidR="00B86BD8" w:rsidRDefault="00B86BD8">
            <w:pPr>
              <w:jc w:val="right"/>
            </w:pPr>
            <w:r>
              <w:t>0.0065</w:t>
            </w:r>
          </w:p>
        </w:tc>
        <w:tc>
          <w:tcPr>
            <w:tcW w:w="828" w:type="dxa"/>
            <w:shd w:val="clear" w:color="auto" w:fill="auto"/>
            <w:noWrap/>
            <w:vAlign w:val="bottom"/>
            <w:hideMark/>
          </w:tcPr>
          <w:p w:rsidR="00B86BD8" w:rsidRDefault="00B86BD8">
            <w:pPr>
              <w:jc w:val="right"/>
            </w:pPr>
            <w:r>
              <w:t>0.0002</w:t>
            </w:r>
          </w:p>
        </w:tc>
        <w:tc>
          <w:tcPr>
            <w:tcW w:w="766" w:type="dxa"/>
            <w:shd w:val="clear" w:color="auto" w:fill="auto"/>
            <w:noWrap/>
            <w:vAlign w:val="bottom"/>
            <w:hideMark/>
          </w:tcPr>
          <w:p w:rsidR="00B86BD8" w:rsidRDefault="00B86BD8">
            <w:pPr>
              <w:jc w:val="right"/>
            </w:pPr>
            <w:r>
              <w:t>0.0000</w:t>
            </w:r>
          </w:p>
        </w:tc>
        <w:tc>
          <w:tcPr>
            <w:tcW w:w="766" w:type="dxa"/>
            <w:shd w:val="clear" w:color="auto" w:fill="auto"/>
            <w:noWrap/>
            <w:vAlign w:val="bottom"/>
            <w:hideMark/>
          </w:tcPr>
          <w:p w:rsidR="00B86BD8" w:rsidRDefault="00B86BD8">
            <w:pPr>
              <w:jc w:val="right"/>
            </w:pPr>
            <w:r>
              <w:t>0.0000</w:t>
            </w:r>
          </w:p>
        </w:tc>
        <w:tc>
          <w:tcPr>
            <w:tcW w:w="766" w:type="dxa"/>
            <w:shd w:val="clear" w:color="auto" w:fill="auto"/>
            <w:noWrap/>
            <w:vAlign w:val="bottom"/>
            <w:hideMark/>
          </w:tcPr>
          <w:p w:rsidR="00B86BD8" w:rsidRDefault="00B86BD8">
            <w:pPr>
              <w:jc w:val="right"/>
            </w:pPr>
            <w:r>
              <w:t>0.0000</w:t>
            </w:r>
          </w:p>
        </w:tc>
        <w:tc>
          <w:tcPr>
            <w:tcW w:w="766" w:type="dxa"/>
            <w:shd w:val="clear" w:color="auto" w:fill="auto"/>
            <w:noWrap/>
            <w:vAlign w:val="bottom"/>
            <w:hideMark/>
          </w:tcPr>
          <w:p w:rsidR="00B86BD8" w:rsidRDefault="00B86BD8">
            <w:pPr>
              <w:jc w:val="right"/>
            </w:pPr>
            <w:r>
              <w:t>0.0000</w:t>
            </w:r>
          </w:p>
        </w:tc>
      </w:tr>
      <w:tr w:rsidR="00B86BD8" w:rsidRPr="00E93D60" w:rsidTr="006B4EDE">
        <w:trPr>
          <w:trHeight w:val="264"/>
        </w:trPr>
        <w:tc>
          <w:tcPr>
            <w:tcW w:w="766" w:type="dxa"/>
            <w:shd w:val="clear" w:color="auto" w:fill="auto"/>
            <w:noWrap/>
            <w:vAlign w:val="bottom"/>
            <w:hideMark/>
          </w:tcPr>
          <w:p w:rsidR="00B86BD8" w:rsidRDefault="00B86BD8"/>
        </w:tc>
        <w:tc>
          <w:tcPr>
            <w:tcW w:w="779"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pPr>
              <w:jc w:val="right"/>
            </w:pPr>
            <w:r>
              <w:t>0.0708</w:t>
            </w:r>
          </w:p>
        </w:tc>
        <w:tc>
          <w:tcPr>
            <w:tcW w:w="808" w:type="dxa"/>
            <w:shd w:val="clear" w:color="auto" w:fill="auto"/>
            <w:noWrap/>
            <w:vAlign w:val="bottom"/>
            <w:hideMark/>
          </w:tcPr>
          <w:p w:rsidR="00B86BD8" w:rsidRDefault="00B86BD8">
            <w:pPr>
              <w:jc w:val="right"/>
            </w:pPr>
            <w:r>
              <w:t>0.0005</w:t>
            </w:r>
          </w:p>
        </w:tc>
        <w:tc>
          <w:tcPr>
            <w:tcW w:w="766" w:type="dxa"/>
            <w:shd w:val="clear" w:color="auto" w:fill="auto"/>
            <w:noWrap/>
            <w:vAlign w:val="bottom"/>
            <w:hideMark/>
          </w:tcPr>
          <w:p w:rsidR="00B86BD8" w:rsidRDefault="00B86BD8">
            <w:pPr>
              <w:jc w:val="right"/>
            </w:pPr>
            <w:r>
              <w:t>0.0852</w:t>
            </w:r>
          </w:p>
        </w:tc>
        <w:tc>
          <w:tcPr>
            <w:tcW w:w="766" w:type="dxa"/>
            <w:shd w:val="clear" w:color="auto" w:fill="auto"/>
            <w:noWrap/>
            <w:vAlign w:val="bottom"/>
            <w:hideMark/>
          </w:tcPr>
          <w:p w:rsidR="00B86BD8" w:rsidRDefault="00B86BD8">
            <w:pPr>
              <w:jc w:val="right"/>
            </w:pPr>
            <w:r>
              <w:t>0.4430</w:t>
            </w:r>
          </w:p>
        </w:tc>
        <w:tc>
          <w:tcPr>
            <w:tcW w:w="808" w:type="dxa"/>
            <w:shd w:val="clear" w:color="auto" w:fill="auto"/>
            <w:noWrap/>
            <w:vAlign w:val="bottom"/>
            <w:hideMark/>
          </w:tcPr>
          <w:p w:rsidR="00B86BD8" w:rsidRDefault="00B86BD8">
            <w:pPr>
              <w:jc w:val="right"/>
            </w:pPr>
            <w:r>
              <w:t>0.3286</w:t>
            </w:r>
          </w:p>
        </w:tc>
        <w:tc>
          <w:tcPr>
            <w:tcW w:w="792" w:type="dxa"/>
            <w:shd w:val="clear" w:color="auto" w:fill="auto"/>
            <w:noWrap/>
            <w:vAlign w:val="bottom"/>
            <w:hideMark/>
          </w:tcPr>
          <w:p w:rsidR="00B86BD8" w:rsidRDefault="00B86BD8">
            <w:pPr>
              <w:jc w:val="right"/>
            </w:pPr>
            <w:r>
              <w:t>0.0663</w:t>
            </w:r>
          </w:p>
        </w:tc>
        <w:tc>
          <w:tcPr>
            <w:tcW w:w="828" w:type="dxa"/>
            <w:shd w:val="clear" w:color="auto" w:fill="auto"/>
            <w:noWrap/>
            <w:vAlign w:val="bottom"/>
            <w:hideMark/>
          </w:tcPr>
          <w:p w:rsidR="00B86BD8" w:rsidRDefault="00B86BD8">
            <w:pPr>
              <w:jc w:val="right"/>
            </w:pPr>
            <w:r>
              <w:t>0.0054</w:t>
            </w:r>
          </w:p>
        </w:tc>
        <w:tc>
          <w:tcPr>
            <w:tcW w:w="766" w:type="dxa"/>
            <w:shd w:val="clear" w:color="auto" w:fill="auto"/>
            <w:noWrap/>
            <w:vAlign w:val="bottom"/>
            <w:hideMark/>
          </w:tcPr>
          <w:p w:rsidR="00B86BD8" w:rsidRDefault="00B86BD8">
            <w:pPr>
              <w:jc w:val="right"/>
            </w:pPr>
            <w:r>
              <w:t>0.0002</w:t>
            </w:r>
          </w:p>
        </w:tc>
        <w:tc>
          <w:tcPr>
            <w:tcW w:w="766" w:type="dxa"/>
            <w:shd w:val="clear" w:color="auto" w:fill="auto"/>
            <w:noWrap/>
            <w:vAlign w:val="bottom"/>
            <w:hideMark/>
          </w:tcPr>
          <w:p w:rsidR="00B86BD8" w:rsidRDefault="00B86BD8">
            <w:pPr>
              <w:jc w:val="right"/>
            </w:pPr>
            <w:r>
              <w:t>0.0000</w:t>
            </w:r>
          </w:p>
        </w:tc>
        <w:tc>
          <w:tcPr>
            <w:tcW w:w="766" w:type="dxa"/>
            <w:shd w:val="clear" w:color="auto" w:fill="auto"/>
            <w:noWrap/>
            <w:vAlign w:val="bottom"/>
            <w:hideMark/>
          </w:tcPr>
          <w:p w:rsidR="00B86BD8" w:rsidRDefault="00B86BD8">
            <w:pPr>
              <w:jc w:val="right"/>
            </w:pPr>
            <w:r>
              <w:t>0.0000</w:t>
            </w:r>
          </w:p>
        </w:tc>
        <w:tc>
          <w:tcPr>
            <w:tcW w:w="766" w:type="dxa"/>
            <w:shd w:val="clear" w:color="auto" w:fill="auto"/>
            <w:noWrap/>
            <w:vAlign w:val="bottom"/>
            <w:hideMark/>
          </w:tcPr>
          <w:p w:rsidR="00B86BD8" w:rsidRDefault="00B86BD8">
            <w:pPr>
              <w:jc w:val="right"/>
            </w:pPr>
            <w:r>
              <w:t>0.0000</w:t>
            </w:r>
          </w:p>
        </w:tc>
      </w:tr>
      <w:tr w:rsidR="00B86BD8" w:rsidRPr="00E93D60" w:rsidTr="006B4EDE">
        <w:trPr>
          <w:trHeight w:val="264"/>
        </w:trPr>
        <w:tc>
          <w:tcPr>
            <w:tcW w:w="766" w:type="dxa"/>
            <w:shd w:val="clear" w:color="auto" w:fill="auto"/>
            <w:noWrap/>
            <w:vAlign w:val="bottom"/>
            <w:hideMark/>
          </w:tcPr>
          <w:p w:rsidR="00B86BD8" w:rsidRDefault="00B86BD8"/>
        </w:tc>
        <w:tc>
          <w:tcPr>
            <w:tcW w:w="779"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pPr>
              <w:jc w:val="right"/>
            </w:pPr>
            <w:r>
              <w:t>0.1118</w:t>
            </w:r>
          </w:p>
        </w:tc>
        <w:tc>
          <w:tcPr>
            <w:tcW w:w="766" w:type="dxa"/>
            <w:shd w:val="clear" w:color="auto" w:fill="auto"/>
            <w:noWrap/>
            <w:vAlign w:val="bottom"/>
            <w:hideMark/>
          </w:tcPr>
          <w:p w:rsidR="00B86BD8" w:rsidRDefault="00B86BD8">
            <w:pPr>
              <w:jc w:val="right"/>
            </w:pPr>
            <w:r>
              <w:t>0.0006</w:t>
            </w:r>
          </w:p>
        </w:tc>
        <w:tc>
          <w:tcPr>
            <w:tcW w:w="766" w:type="dxa"/>
            <w:shd w:val="clear" w:color="auto" w:fill="auto"/>
            <w:noWrap/>
            <w:vAlign w:val="bottom"/>
            <w:hideMark/>
          </w:tcPr>
          <w:p w:rsidR="00B86BD8" w:rsidRDefault="00B86BD8">
            <w:pPr>
              <w:jc w:val="right"/>
            </w:pPr>
            <w:r>
              <w:t>0.0905</w:t>
            </w:r>
          </w:p>
        </w:tc>
        <w:tc>
          <w:tcPr>
            <w:tcW w:w="808" w:type="dxa"/>
            <w:shd w:val="clear" w:color="auto" w:fill="auto"/>
            <w:noWrap/>
            <w:vAlign w:val="bottom"/>
            <w:hideMark/>
          </w:tcPr>
          <w:p w:rsidR="00B86BD8" w:rsidRDefault="00B86BD8">
            <w:pPr>
              <w:jc w:val="right"/>
            </w:pPr>
            <w:r>
              <w:t>0.4341</w:t>
            </w:r>
          </w:p>
        </w:tc>
        <w:tc>
          <w:tcPr>
            <w:tcW w:w="792" w:type="dxa"/>
            <w:shd w:val="clear" w:color="auto" w:fill="auto"/>
            <w:noWrap/>
            <w:vAlign w:val="bottom"/>
            <w:hideMark/>
          </w:tcPr>
          <w:p w:rsidR="00B86BD8" w:rsidRDefault="00B86BD8">
            <w:pPr>
              <w:jc w:val="right"/>
            </w:pPr>
            <w:r>
              <w:t>0.3010</w:t>
            </w:r>
          </w:p>
        </w:tc>
        <w:tc>
          <w:tcPr>
            <w:tcW w:w="828" w:type="dxa"/>
            <w:shd w:val="clear" w:color="auto" w:fill="auto"/>
            <w:noWrap/>
            <w:vAlign w:val="bottom"/>
            <w:hideMark/>
          </w:tcPr>
          <w:p w:rsidR="00B86BD8" w:rsidRDefault="00B86BD8">
            <w:pPr>
              <w:jc w:val="right"/>
            </w:pPr>
            <w:r>
              <w:t>0.0573</w:t>
            </w:r>
          </w:p>
        </w:tc>
        <w:tc>
          <w:tcPr>
            <w:tcW w:w="766" w:type="dxa"/>
            <w:shd w:val="clear" w:color="auto" w:fill="auto"/>
            <w:noWrap/>
            <w:vAlign w:val="bottom"/>
            <w:hideMark/>
          </w:tcPr>
          <w:p w:rsidR="00B86BD8" w:rsidRDefault="00B86BD8">
            <w:pPr>
              <w:jc w:val="right"/>
            </w:pPr>
            <w:r>
              <w:t>0.0045</w:t>
            </w:r>
          </w:p>
        </w:tc>
        <w:tc>
          <w:tcPr>
            <w:tcW w:w="766" w:type="dxa"/>
            <w:shd w:val="clear" w:color="auto" w:fill="auto"/>
            <w:noWrap/>
            <w:vAlign w:val="bottom"/>
            <w:hideMark/>
          </w:tcPr>
          <w:p w:rsidR="00B86BD8" w:rsidRDefault="00B86BD8">
            <w:pPr>
              <w:jc w:val="right"/>
            </w:pPr>
            <w:r>
              <w:t>0.0002</w:t>
            </w:r>
          </w:p>
        </w:tc>
        <w:tc>
          <w:tcPr>
            <w:tcW w:w="766" w:type="dxa"/>
            <w:shd w:val="clear" w:color="auto" w:fill="auto"/>
            <w:noWrap/>
            <w:vAlign w:val="bottom"/>
            <w:hideMark/>
          </w:tcPr>
          <w:p w:rsidR="00B86BD8" w:rsidRDefault="00B86BD8">
            <w:pPr>
              <w:jc w:val="right"/>
            </w:pPr>
            <w:r>
              <w:t>0.0000</w:t>
            </w:r>
          </w:p>
        </w:tc>
        <w:tc>
          <w:tcPr>
            <w:tcW w:w="766" w:type="dxa"/>
            <w:shd w:val="clear" w:color="auto" w:fill="auto"/>
            <w:noWrap/>
            <w:vAlign w:val="bottom"/>
            <w:hideMark/>
          </w:tcPr>
          <w:p w:rsidR="00B86BD8" w:rsidRDefault="00B86BD8">
            <w:pPr>
              <w:jc w:val="right"/>
            </w:pPr>
            <w:r>
              <w:t>0.0000</w:t>
            </w:r>
          </w:p>
        </w:tc>
      </w:tr>
      <w:tr w:rsidR="00B86BD8" w:rsidRPr="00E93D60" w:rsidTr="006B4EDE">
        <w:trPr>
          <w:trHeight w:val="264"/>
        </w:trPr>
        <w:tc>
          <w:tcPr>
            <w:tcW w:w="766" w:type="dxa"/>
            <w:shd w:val="clear" w:color="auto" w:fill="auto"/>
            <w:noWrap/>
            <w:vAlign w:val="bottom"/>
            <w:hideMark/>
          </w:tcPr>
          <w:p w:rsidR="00B86BD8" w:rsidRDefault="00B86BD8"/>
        </w:tc>
        <w:tc>
          <w:tcPr>
            <w:tcW w:w="779"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pPr>
              <w:jc w:val="right"/>
            </w:pPr>
            <w:r>
              <w:t>0.1722</w:t>
            </w:r>
          </w:p>
        </w:tc>
        <w:tc>
          <w:tcPr>
            <w:tcW w:w="766" w:type="dxa"/>
            <w:shd w:val="clear" w:color="auto" w:fill="auto"/>
            <w:noWrap/>
            <w:vAlign w:val="bottom"/>
            <w:hideMark/>
          </w:tcPr>
          <w:p w:rsidR="00B86BD8" w:rsidRDefault="00B86BD8">
            <w:pPr>
              <w:jc w:val="right"/>
            </w:pPr>
            <w:r>
              <w:t>0.0007</w:t>
            </w:r>
          </w:p>
        </w:tc>
        <w:tc>
          <w:tcPr>
            <w:tcW w:w="808" w:type="dxa"/>
            <w:shd w:val="clear" w:color="auto" w:fill="auto"/>
            <w:noWrap/>
            <w:vAlign w:val="bottom"/>
            <w:hideMark/>
          </w:tcPr>
          <w:p w:rsidR="00B86BD8" w:rsidRDefault="00B86BD8">
            <w:pPr>
              <w:jc w:val="right"/>
            </w:pPr>
            <w:r>
              <w:t>0.0936</w:t>
            </w:r>
          </w:p>
        </w:tc>
        <w:tc>
          <w:tcPr>
            <w:tcW w:w="792" w:type="dxa"/>
            <w:shd w:val="clear" w:color="auto" w:fill="auto"/>
            <w:noWrap/>
            <w:vAlign w:val="bottom"/>
            <w:hideMark/>
          </w:tcPr>
          <w:p w:rsidR="00B86BD8" w:rsidRDefault="00B86BD8">
            <w:pPr>
              <w:jc w:val="right"/>
            </w:pPr>
            <w:r>
              <w:t>0.4137</w:t>
            </w:r>
          </w:p>
        </w:tc>
        <w:tc>
          <w:tcPr>
            <w:tcW w:w="828" w:type="dxa"/>
            <w:shd w:val="clear" w:color="auto" w:fill="auto"/>
            <w:noWrap/>
            <w:vAlign w:val="bottom"/>
            <w:hideMark/>
          </w:tcPr>
          <w:p w:rsidR="00B86BD8" w:rsidRDefault="00B86BD8">
            <w:pPr>
              <w:jc w:val="right"/>
            </w:pPr>
            <w:r>
              <w:t>0.2681</w:t>
            </w:r>
          </w:p>
        </w:tc>
        <w:tc>
          <w:tcPr>
            <w:tcW w:w="766" w:type="dxa"/>
            <w:shd w:val="clear" w:color="auto" w:fill="auto"/>
            <w:noWrap/>
            <w:vAlign w:val="bottom"/>
            <w:hideMark/>
          </w:tcPr>
          <w:p w:rsidR="00B86BD8" w:rsidRDefault="00B86BD8">
            <w:pPr>
              <w:jc w:val="right"/>
            </w:pPr>
            <w:r>
              <w:t>0.0481</w:t>
            </w:r>
          </w:p>
        </w:tc>
        <w:tc>
          <w:tcPr>
            <w:tcW w:w="766" w:type="dxa"/>
            <w:shd w:val="clear" w:color="auto" w:fill="auto"/>
            <w:noWrap/>
            <w:vAlign w:val="bottom"/>
            <w:hideMark/>
          </w:tcPr>
          <w:p w:rsidR="00B86BD8" w:rsidRDefault="00B86BD8">
            <w:pPr>
              <w:jc w:val="right"/>
            </w:pPr>
            <w:r>
              <w:t>0.0036</w:t>
            </w:r>
          </w:p>
        </w:tc>
        <w:tc>
          <w:tcPr>
            <w:tcW w:w="766" w:type="dxa"/>
            <w:shd w:val="clear" w:color="auto" w:fill="auto"/>
            <w:noWrap/>
            <w:vAlign w:val="bottom"/>
            <w:hideMark/>
          </w:tcPr>
          <w:p w:rsidR="00B86BD8" w:rsidRDefault="00B86BD8">
            <w:pPr>
              <w:jc w:val="right"/>
            </w:pPr>
            <w:r>
              <w:t>0.0001</w:t>
            </w:r>
          </w:p>
        </w:tc>
        <w:tc>
          <w:tcPr>
            <w:tcW w:w="766" w:type="dxa"/>
            <w:shd w:val="clear" w:color="auto" w:fill="auto"/>
            <w:noWrap/>
            <w:vAlign w:val="bottom"/>
            <w:hideMark/>
          </w:tcPr>
          <w:p w:rsidR="00B86BD8" w:rsidRDefault="00B86BD8">
            <w:pPr>
              <w:jc w:val="right"/>
            </w:pPr>
            <w:r>
              <w:t>0.0000</w:t>
            </w:r>
          </w:p>
        </w:tc>
      </w:tr>
      <w:tr w:rsidR="00B86BD8" w:rsidRPr="00E93D60" w:rsidTr="006B4EDE">
        <w:trPr>
          <w:trHeight w:val="264"/>
        </w:trPr>
        <w:tc>
          <w:tcPr>
            <w:tcW w:w="766" w:type="dxa"/>
            <w:shd w:val="clear" w:color="auto" w:fill="auto"/>
            <w:noWrap/>
            <w:vAlign w:val="bottom"/>
            <w:hideMark/>
          </w:tcPr>
          <w:p w:rsidR="00B86BD8" w:rsidRDefault="00B86BD8"/>
        </w:tc>
        <w:tc>
          <w:tcPr>
            <w:tcW w:w="779"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pPr>
              <w:jc w:val="right"/>
            </w:pPr>
            <w:r>
              <w:t>0.2558</w:t>
            </w:r>
          </w:p>
        </w:tc>
        <w:tc>
          <w:tcPr>
            <w:tcW w:w="808" w:type="dxa"/>
            <w:shd w:val="clear" w:color="auto" w:fill="auto"/>
            <w:noWrap/>
            <w:vAlign w:val="bottom"/>
            <w:hideMark/>
          </w:tcPr>
          <w:p w:rsidR="00B86BD8" w:rsidRDefault="00B86BD8">
            <w:pPr>
              <w:jc w:val="right"/>
            </w:pPr>
            <w:r>
              <w:t>0.0008</w:t>
            </w:r>
          </w:p>
        </w:tc>
        <w:tc>
          <w:tcPr>
            <w:tcW w:w="792" w:type="dxa"/>
            <w:shd w:val="clear" w:color="auto" w:fill="auto"/>
            <w:noWrap/>
            <w:vAlign w:val="bottom"/>
            <w:hideMark/>
          </w:tcPr>
          <w:p w:rsidR="00B86BD8" w:rsidRDefault="00B86BD8">
            <w:pPr>
              <w:jc w:val="right"/>
            </w:pPr>
            <w:r>
              <w:t>0.0930</w:t>
            </w:r>
          </w:p>
        </w:tc>
        <w:tc>
          <w:tcPr>
            <w:tcW w:w="828" w:type="dxa"/>
            <w:shd w:val="clear" w:color="auto" w:fill="auto"/>
            <w:noWrap/>
            <w:vAlign w:val="bottom"/>
            <w:hideMark/>
          </w:tcPr>
          <w:p w:rsidR="00B86BD8" w:rsidRDefault="00B86BD8">
            <w:pPr>
              <w:jc w:val="right"/>
            </w:pPr>
            <w:r>
              <w:t>0.3792</w:t>
            </w:r>
          </w:p>
        </w:tc>
        <w:tc>
          <w:tcPr>
            <w:tcW w:w="766" w:type="dxa"/>
            <w:shd w:val="clear" w:color="auto" w:fill="auto"/>
            <w:noWrap/>
            <w:vAlign w:val="bottom"/>
            <w:hideMark/>
          </w:tcPr>
          <w:p w:rsidR="00B86BD8" w:rsidRDefault="00B86BD8">
            <w:pPr>
              <w:jc w:val="right"/>
            </w:pPr>
            <w:r>
              <w:t>0.2295</w:t>
            </w:r>
          </w:p>
        </w:tc>
        <w:tc>
          <w:tcPr>
            <w:tcW w:w="766" w:type="dxa"/>
            <w:shd w:val="clear" w:color="auto" w:fill="auto"/>
            <w:noWrap/>
            <w:vAlign w:val="bottom"/>
            <w:hideMark/>
          </w:tcPr>
          <w:p w:rsidR="00B86BD8" w:rsidRDefault="00B86BD8">
            <w:pPr>
              <w:jc w:val="right"/>
            </w:pPr>
            <w:r>
              <w:t>0.0389</w:t>
            </w:r>
          </w:p>
        </w:tc>
        <w:tc>
          <w:tcPr>
            <w:tcW w:w="766" w:type="dxa"/>
            <w:shd w:val="clear" w:color="auto" w:fill="auto"/>
            <w:noWrap/>
            <w:vAlign w:val="bottom"/>
            <w:hideMark/>
          </w:tcPr>
          <w:p w:rsidR="00B86BD8" w:rsidRDefault="00B86BD8">
            <w:pPr>
              <w:jc w:val="right"/>
            </w:pPr>
            <w:r>
              <w:t>0.0027</w:t>
            </w:r>
          </w:p>
        </w:tc>
        <w:tc>
          <w:tcPr>
            <w:tcW w:w="766" w:type="dxa"/>
            <w:shd w:val="clear" w:color="auto" w:fill="auto"/>
            <w:noWrap/>
            <w:vAlign w:val="bottom"/>
            <w:hideMark/>
          </w:tcPr>
          <w:p w:rsidR="00B86BD8" w:rsidRDefault="00B86BD8">
            <w:pPr>
              <w:jc w:val="right"/>
            </w:pPr>
            <w:r>
              <w:t>0.0001</w:t>
            </w:r>
          </w:p>
        </w:tc>
      </w:tr>
      <w:tr w:rsidR="00B86BD8" w:rsidRPr="00E93D60" w:rsidTr="006B4EDE">
        <w:trPr>
          <w:trHeight w:val="264"/>
        </w:trPr>
        <w:tc>
          <w:tcPr>
            <w:tcW w:w="766" w:type="dxa"/>
            <w:shd w:val="clear" w:color="auto" w:fill="auto"/>
            <w:noWrap/>
            <w:vAlign w:val="bottom"/>
            <w:hideMark/>
          </w:tcPr>
          <w:p w:rsidR="00B86BD8" w:rsidRDefault="00B86BD8"/>
        </w:tc>
        <w:tc>
          <w:tcPr>
            <w:tcW w:w="779"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pPr>
              <w:jc w:val="right"/>
            </w:pPr>
            <w:r>
              <w:t>0.3622</w:t>
            </w:r>
          </w:p>
        </w:tc>
        <w:tc>
          <w:tcPr>
            <w:tcW w:w="792" w:type="dxa"/>
            <w:shd w:val="clear" w:color="auto" w:fill="auto"/>
            <w:noWrap/>
            <w:vAlign w:val="bottom"/>
            <w:hideMark/>
          </w:tcPr>
          <w:p w:rsidR="00B86BD8" w:rsidRDefault="00B86BD8">
            <w:pPr>
              <w:jc w:val="right"/>
            </w:pPr>
            <w:r>
              <w:t>0.0008</w:t>
            </w:r>
          </w:p>
        </w:tc>
        <w:tc>
          <w:tcPr>
            <w:tcW w:w="828" w:type="dxa"/>
            <w:shd w:val="clear" w:color="auto" w:fill="auto"/>
            <w:noWrap/>
            <w:vAlign w:val="bottom"/>
            <w:hideMark/>
          </w:tcPr>
          <w:p w:rsidR="00B86BD8" w:rsidRDefault="00B86BD8">
            <w:pPr>
              <w:jc w:val="right"/>
            </w:pPr>
            <w:r>
              <w:t>0.0879</w:t>
            </w:r>
          </w:p>
        </w:tc>
        <w:tc>
          <w:tcPr>
            <w:tcW w:w="766" w:type="dxa"/>
            <w:shd w:val="clear" w:color="auto" w:fill="auto"/>
            <w:noWrap/>
            <w:vAlign w:val="bottom"/>
            <w:hideMark/>
          </w:tcPr>
          <w:p w:rsidR="00B86BD8" w:rsidRDefault="00B86BD8">
            <w:pPr>
              <w:jc w:val="right"/>
            </w:pPr>
            <w:r>
              <w:t>0.3304</w:t>
            </w:r>
          </w:p>
        </w:tc>
        <w:tc>
          <w:tcPr>
            <w:tcW w:w="766" w:type="dxa"/>
            <w:shd w:val="clear" w:color="auto" w:fill="auto"/>
            <w:noWrap/>
            <w:vAlign w:val="bottom"/>
            <w:hideMark/>
          </w:tcPr>
          <w:p w:rsidR="00B86BD8" w:rsidRDefault="00B86BD8">
            <w:pPr>
              <w:jc w:val="right"/>
            </w:pPr>
            <w:r>
              <w:t>0.1868</w:t>
            </w:r>
          </w:p>
        </w:tc>
        <w:tc>
          <w:tcPr>
            <w:tcW w:w="766" w:type="dxa"/>
            <w:shd w:val="clear" w:color="auto" w:fill="auto"/>
            <w:noWrap/>
            <w:vAlign w:val="bottom"/>
            <w:hideMark/>
          </w:tcPr>
          <w:p w:rsidR="00B86BD8" w:rsidRDefault="00B86BD8">
            <w:pPr>
              <w:jc w:val="right"/>
            </w:pPr>
            <w:r>
              <w:t>0.0298</w:t>
            </w:r>
          </w:p>
        </w:tc>
        <w:tc>
          <w:tcPr>
            <w:tcW w:w="766" w:type="dxa"/>
            <w:shd w:val="clear" w:color="auto" w:fill="auto"/>
            <w:noWrap/>
            <w:vAlign w:val="bottom"/>
            <w:hideMark/>
          </w:tcPr>
          <w:p w:rsidR="00B86BD8" w:rsidRDefault="00B86BD8">
            <w:pPr>
              <w:jc w:val="right"/>
            </w:pPr>
            <w:r>
              <w:t>0.0021</w:t>
            </w:r>
          </w:p>
        </w:tc>
      </w:tr>
      <w:tr w:rsidR="00B86BD8" w:rsidRPr="00E93D60" w:rsidTr="006B4EDE">
        <w:trPr>
          <w:trHeight w:val="264"/>
        </w:trPr>
        <w:tc>
          <w:tcPr>
            <w:tcW w:w="766" w:type="dxa"/>
            <w:shd w:val="clear" w:color="auto" w:fill="auto"/>
            <w:noWrap/>
            <w:vAlign w:val="bottom"/>
            <w:hideMark/>
          </w:tcPr>
          <w:p w:rsidR="00B86BD8" w:rsidRDefault="00B86BD8"/>
        </w:tc>
        <w:tc>
          <w:tcPr>
            <w:tcW w:w="779"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tc>
        <w:tc>
          <w:tcPr>
            <w:tcW w:w="792" w:type="dxa"/>
            <w:shd w:val="clear" w:color="auto" w:fill="auto"/>
            <w:noWrap/>
            <w:vAlign w:val="bottom"/>
            <w:hideMark/>
          </w:tcPr>
          <w:p w:rsidR="00B86BD8" w:rsidRDefault="00B86BD8">
            <w:pPr>
              <w:jc w:val="right"/>
            </w:pPr>
            <w:r>
              <w:t>0.4842</w:t>
            </w:r>
          </w:p>
        </w:tc>
        <w:tc>
          <w:tcPr>
            <w:tcW w:w="828" w:type="dxa"/>
            <w:shd w:val="clear" w:color="auto" w:fill="auto"/>
            <w:noWrap/>
            <w:vAlign w:val="bottom"/>
            <w:hideMark/>
          </w:tcPr>
          <w:p w:rsidR="00B86BD8" w:rsidRDefault="00B86BD8">
            <w:pPr>
              <w:jc w:val="right"/>
            </w:pPr>
            <w:r>
              <w:t>0.0008</w:t>
            </w:r>
          </w:p>
        </w:tc>
        <w:tc>
          <w:tcPr>
            <w:tcW w:w="766" w:type="dxa"/>
            <w:shd w:val="clear" w:color="auto" w:fill="auto"/>
            <w:noWrap/>
            <w:vAlign w:val="bottom"/>
            <w:hideMark/>
          </w:tcPr>
          <w:p w:rsidR="00B86BD8" w:rsidRDefault="00B86BD8">
            <w:pPr>
              <w:jc w:val="right"/>
            </w:pPr>
            <w:r>
              <w:t>0.0781</w:t>
            </w:r>
          </w:p>
        </w:tc>
        <w:tc>
          <w:tcPr>
            <w:tcW w:w="766" w:type="dxa"/>
            <w:shd w:val="clear" w:color="auto" w:fill="auto"/>
            <w:noWrap/>
            <w:vAlign w:val="bottom"/>
            <w:hideMark/>
          </w:tcPr>
          <w:p w:rsidR="00B86BD8" w:rsidRDefault="00B86BD8">
            <w:pPr>
              <w:jc w:val="right"/>
            </w:pPr>
            <w:r>
              <w:t>0.2709</w:t>
            </w:r>
          </w:p>
        </w:tc>
        <w:tc>
          <w:tcPr>
            <w:tcW w:w="766" w:type="dxa"/>
            <w:shd w:val="clear" w:color="auto" w:fill="auto"/>
            <w:noWrap/>
            <w:vAlign w:val="bottom"/>
            <w:hideMark/>
          </w:tcPr>
          <w:p w:rsidR="00B86BD8" w:rsidRDefault="00B86BD8">
            <w:pPr>
              <w:jc w:val="right"/>
            </w:pPr>
            <w:r>
              <w:t>0.1430</w:t>
            </w:r>
          </w:p>
        </w:tc>
        <w:tc>
          <w:tcPr>
            <w:tcW w:w="766" w:type="dxa"/>
            <w:shd w:val="clear" w:color="auto" w:fill="auto"/>
            <w:noWrap/>
            <w:vAlign w:val="bottom"/>
            <w:hideMark/>
          </w:tcPr>
          <w:p w:rsidR="00B86BD8" w:rsidRDefault="00B86BD8">
            <w:pPr>
              <w:jc w:val="right"/>
            </w:pPr>
            <w:r>
              <w:t>0.0230</w:t>
            </w:r>
          </w:p>
        </w:tc>
      </w:tr>
      <w:tr w:rsidR="00B86BD8" w:rsidRPr="00E93D60" w:rsidTr="006B4EDE">
        <w:trPr>
          <w:trHeight w:val="264"/>
        </w:trPr>
        <w:tc>
          <w:tcPr>
            <w:tcW w:w="766" w:type="dxa"/>
            <w:shd w:val="clear" w:color="auto" w:fill="auto"/>
            <w:noWrap/>
            <w:vAlign w:val="bottom"/>
            <w:hideMark/>
          </w:tcPr>
          <w:p w:rsidR="00B86BD8" w:rsidRDefault="00B86BD8"/>
        </w:tc>
        <w:tc>
          <w:tcPr>
            <w:tcW w:w="779"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tc>
        <w:tc>
          <w:tcPr>
            <w:tcW w:w="792" w:type="dxa"/>
            <w:shd w:val="clear" w:color="auto" w:fill="auto"/>
            <w:noWrap/>
            <w:vAlign w:val="bottom"/>
            <w:hideMark/>
          </w:tcPr>
          <w:p w:rsidR="00B86BD8" w:rsidRDefault="00B86BD8"/>
        </w:tc>
        <w:tc>
          <w:tcPr>
            <w:tcW w:w="828" w:type="dxa"/>
            <w:shd w:val="clear" w:color="auto" w:fill="auto"/>
            <w:noWrap/>
            <w:vAlign w:val="bottom"/>
            <w:hideMark/>
          </w:tcPr>
          <w:p w:rsidR="00B86BD8" w:rsidRDefault="00B86BD8">
            <w:pPr>
              <w:jc w:val="right"/>
            </w:pPr>
            <w:r>
              <w:t>0.6080</w:t>
            </w:r>
          </w:p>
        </w:tc>
        <w:tc>
          <w:tcPr>
            <w:tcW w:w="766" w:type="dxa"/>
            <w:shd w:val="clear" w:color="auto" w:fill="auto"/>
            <w:noWrap/>
            <w:vAlign w:val="bottom"/>
            <w:hideMark/>
          </w:tcPr>
          <w:p w:rsidR="00B86BD8" w:rsidRDefault="00B86BD8">
            <w:pPr>
              <w:jc w:val="right"/>
            </w:pPr>
            <w:r>
              <w:t>0.0008</w:t>
            </w:r>
          </w:p>
        </w:tc>
        <w:tc>
          <w:tcPr>
            <w:tcW w:w="766" w:type="dxa"/>
            <w:shd w:val="clear" w:color="auto" w:fill="auto"/>
            <w:noWrap/>
            <w:vAlign w:val="bottom"/>
            <w:hideMark/>
          </w:tcPr>
          <w:p w:rsidR="00B86BD8" w:rsidRDefault="00B86BD8">
            <w:pPr>
              <w:jc w:val="right"/>
            </w:pPr>
            <w:r>
              <w:t>0.0651</w:t>
            </w:r>
          </w:p>
        </w:tc>
        <w:tc>
          <w:tcPr>
            <w:tcW w:w="766" w:type="dxa"/>
            <w:shd w:val="clear" w:color="auto" w:fill="auto"/>
            <w:noWrap/>
            <w:vAlign w:val="bottom"/>
            <w:hideMark/>
          </w:tcPr>
          <w:p w:rsidR="00B86BD8" w:rsidRDefault="00B86BD8">
            <w:pPr>
              <w:jc w:val="right"/>
            </w:pPr>
            <w:r>
              <w:t>0.2081</w:t>
            </w:r>
          </w:p>
        </w:tc>
        <w:tc>
          <w:tcPr>
            <w:tcW w:w="766" w:type="dxa"/>
            <w:shd w:val="clear" w:color="auto" w:fill="auto"/>
            <w:noWrap/>
            <w:vAlign w:val="bottom"/>
            <w:hideMark/>
          </w:tcPr>
          <w:p w:rsidR="00B86BD8" w:rsidRDefault="00B86BD8">
            <w:pPr>
              <w:jc w:val="right"/>
            </w:pPr>
            <w:r>
              <w:t>0.1180</w:t>
            </w:r>
          </w:p>
        </w:tc>
      </w:tr>
      <w:tr w:rsidR="00B86BD8" w:rsidRPr="00E93D60" w:rsidTr="006B4EDE">
        <w:trPr>
          <w:trHeight w:val="264"/>
        </w:trPr>
        <w:tc>
          <w:tcPr>
            <w:tcW w:w="766" w:type="dxa"/>
            <w:shd w:val="clear" w:color="auto" w:fill="auto"/>
            <w:noWrap/>
            <w:vAlign w:val="bottom"/>
            <w:hideMark/>
          </w:tcPr>
          <w:p w:rsidR="00B86BD8" w:rsidRDefault="00B86BD8"/>
        </w:tc>
        <w:tc>
          <w:tcPr>
            <w:tcW w:w="779"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tc>
        <w:tc>
          <w:tcPr>
            <w:tcW w:w="792" w:type="dxa"/>
            <w:shd w:val="clear" w:color="auto" w:fill="auto"/>
            <w:noWrap/>
            <w:vAlign w:val="bottom"/>
            <w:hideMark/>
          </w:tcPr>
          <w:p w:rsidR="00B86BD8" w:rsidRDefault="00B86BD8"/>
        </w:tc>
        <w:tc>
          <w:tcPr>
            <w:tcW w:w="828"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pPr>
              <w:jc w:val="right"/>
            </w:pPr>
            <w:r>
              <w:t>0.7194</w:t>
            </w:r>
          </w:p>
        </w:tc>
        <w:tc>
          <w:tcPr>
            <w:tcW w:w="766" w:type="dxa"/>
            <w:shd w:val="clear" w:color="auto" w:fill="auto"/>
            <w:noWrap/>
            <w:vAlign w:val="bottom"/>
            <w:hideMark/>
          </w:tcPr>
          <w:p w:rsidR="00B86BD8" w:rsidRDefault="00B86BD8">
            <w:pPr>
              <w:jc w:val="right"/>
            </w:pPr>
            <w:r>
              <w:t>0.0007</w:t>
            </w:r>
          </w:p>
        </w:tc>
        <w:tc>
          <w:tcPr>
            <w:tcW w:w="766" w:type="dxa"/>
            <w:shd w:val="clear" w:color="auto" w:fill="auto"/>
            <w:noWrap/>
            <w:vAlign w:val="bottom"/>
            <w:hideMark/>
          </w:tcPr>
          <w:p w:rsidR="00B86BD8" w:rsidRDefault="00B86BD8">
            <w:pPr>
              <w:jc w:val="right"/>
            </w:pPr>
            <w:r>
              <w:t>0.0510</w:t>
            </w:r>
          </w:p>
        </w:tc>
        <w:tc>
          <w:tcPr>
            <w:tcW w:w="766" w:type="dxa"/>
            <w:shd w:val="clear" w:color="auto" w:fill="auto"/>
            <w:noWrap/>
            <w:vAlign w:val="bottom"/>
            <w:hideMark/>
          </w:tcPr>
          <w:p w:rsidR="00B86BD8" w:rsidRDefault="00B86BD8">
            <w:pPr>
              <w:jc w:val="right"/>
            </w:pPr>
            <w:r>
              <w:t>0.2290</w:t>
            </w:r>
          </w:p>
        </w:tc>
      </w:tr>
      <w:tr w:rsidR="00B86BD8" w:rsidRPr="00E93D60" w:rsidTr="006B4EDE">
        <w:trPr>
          <w:trHeight w:val="264"/>
        </w:trPr>
        <w:tc>
          <w:tcPr>
            <w:tcW w:w="766" w:type="dxa"/>
            <w:shd w:val="clear" w:color="auto" w:fill="auto"/>
            <w:noWrap/>
            <w:vAlign w:val="bottom"/>
            <w:hideMark/>
          </w:tcPr>
          <w:p w:rsidR="00B86BD8" w:rsidRDefault="00B86BD8"/>
        </w:tc>
        <w:tc>
          <w:tcPr>
            <w:tcW w:w="779"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tc>
        <w:tc>
          <w:tcPr>
            <w:tcW w:w="792" w:type="dxa"/>
            <w:shd w:val="clear" w:color="auto" w:fill="auto"/>
            <w:noWrap/>
            <w:vAlign w:val="bottom"/>
            <w:hideMark/>
          </w:tcPr>
          <w:p w:rsidR="00B86BD8" w:rsidRDefault="00B86BD8"/>
        </w:tc>
        <w:tc>
          <w:tcPr>
            <w:tcW w:w="828"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pPr>
              <w:jc w:val="right"/>
            </w:pPr>
            <w:r>
              <w:t>0.8090</w:t>
            </w:r>
          </w:p>
        </w:tc>
        <w:tc>
          <w:tcPr>
            <w:tcW w:w="766" w:type="dxa"/>
            <w:shd w:val="clear" w:color="auto" w:fill="auto"/>
            <w:noWrap/>
            <w:vAlign w:val="bottom"/>
            <w:hideMark/>
          </w:tcPr>
          <w:p w:rsidR="00B86BD8" w:rsidRDefault="00B86BD8">
            <w:pPr>
              <w:jc w:val="right"/>
            </w:pPr>
            <w:r>
              <w:t>0.0006</w:t>
            </w:r>
          </w:p>
        </w:tc>
        <w:tc>
          <w:tcPr>
            <w:tcW w:w="766" w:type="dxa"/>
            <w:shd w:val="clear" w:color="auto" w:fill="auto"/>
            <w:noWrap/>
            <w:vAlign w:val="bottom"/>
            <w:hideMark/>
          </w:tcPr>
          <w:p w:rsidR="00B86BD8" w:rsidRDefault="00B86BD8">
            <w:pPr>
              <w:jc w:val="right"/>
            </w:pPr>
            <w:r>
              <w:t>0.1904</w:t>
            </w:r>
          </w:p>
        </w:tc>
      </w:tr>
      <w:tr w:rsidR="00B86BD8" w:rsidRPr="00E93D60" w:rsidTr="006B4EDE">
        <w:trPr>
          <w:trHeight w:val="264"/>
        </w:trPr>
        <w:tc>
          <w:tcPr>
            <w:tcW w:w="766" w:type="dxa"/>
            <w:shd w:val="clear" w:color="auto" w:fill="auto"/>
            <w:noWrap/>
            <w:vAlign w:val="bottom"/>
            <w:hideMark/>
          </w:tcPr>
          <w:p w:rsidR="00B86BD8" w:rsidRDefault="00B86BD8"/>
        </w:tc>
        <w:tc>
          <w:tcPr>
            <w:tcW w:w="779"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tc>
        <w:tc>
          <w:tcPr>
            <w:tcW w:w="792" w:type="dxa"/>
            <w:shd w:val="clear" w:color="auto" w:fill="auto"/>
            <w:noWrap/>
            <w:vAlign w:val="bottom"/>
            <w:hideMark/>
          </w:tcPr>
          <w:p w:rsidR="00B86BD8" w:rsidRDefault="00B86BD8"/>
        </w:tc>
        <w:tc>
          <w:tcPr>
            <w:tcW w:w="828"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pPr>
              <w:jc w:val="right"/>
            </w:pPr>
            <w:r>
              <w:t>0.8750</w:t>
            </w:r>
          </w:p>
        </w:tc>
        <w:tc>
          <w:tcPr>
            <w:tcW w:w="766" w:type="dxa"/>
            <w:shd w:val="clear" w:color="auto" w:fill="auto"/>
            <w:noWrap/>
            <w:vAlign w:val="bottom"/>
            <w:hideMark/>
          </w:tcPr>
          <w:p w:rsidR="00B86BD8" w:rsidRDefault="00B86BD8">
            <w:pPr>
              <w:jc w:val="right"/>
            </w:pPr>
            <w:r>
              <w:t>0.1250</w:t>
            </w:r>
          </w:p>
        </w:tc>
      </w:tr>
      <w:tr w:rsidR="00B86BD8" w:rsidRPr="00E93D60" w:rsidTr="006B4EDE">
        <w:trPr>
          <w:trHeight w:val="264"/>
        </w:trPr>
        <w:tc>
          <w:tcPr>
            <w:tcW w:w="766" w:type="dxa"/>
            <w:shd w:val="clear" w:color="auto" w:fill="auto"/>
            <w:noWrap/>
            <w:vAlign w:val="bottom"/>
            <w:hideMark/>
          </w:tcPr>
          <w:p w:rsidR="00B86BD8" w:rsidRDefault="00B86BD8"/>
        </w:tc>
        <w:tc>
          <w:tcPr>
            <w:tcW w:w="779"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808" w:type="dxa"/>
            <w:shd w:val="clear" w:color="auto" w:fill="auto"/>
            <w:noWrap/>
            <w:vAlign w:val="bottom"/>
            <w:hideMark/>
          </w:tcPr>
          <w:p w:rsidR="00B86BD8" w:rsidRDefault="00B86BD8"/>
        </w:tc>
        <w:tc>
          <w:tcPr>
            <w:tcW w:w="792" w:type="dxa"/>
            <w:shd w:val="clear" w:color="auto" w:fill="auto"/>
            <w:noWrap/>
            <w:vAlign w:val="bottom"/>
            <w:hideMark/>
          </w:tcPr>
          <w:p w:rsidR="00B86BD8" w:rsidRDefault="00B86BD8"/>
        </w:tc>
        <w:tc>
          <w:tcPr>
            <w:tcW w:w="828"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tc>
        <w:tc>
          <w:tcPr>
            <w:tcW w:w="766" w:type="dxa"/>
            <w:shd w:val="clear" w:color="auto" w:fill="auto"/>
            <w:noWrap/>
            <w:vAlign w:val="bottom"/>
            <w:hideMark/>
          </w:tcPr>
          <w:p w:rsidR="00B86BD8" w:rsidRDefault="00B86BD8">
            <w:pPr>
              <w:jc w:val="right"/>
            </w:pPr>
            <w:r>
              <w:t>1.0000</w:t>
            </w:r>
          </w:p>
        </w:tc>
      </w:tr>
    </w:tbl>
    <w:p w:rsidR="00B86BD8" w:rsidRDefault="00B86BD8" w:rsidP="00F54F0F">
      <w:pPr>
        <w:spacing w:line="360" w:lineRule="auto"/>
      </w:pPr>
      <w:r>
        <w:br w:type="page"/>
      </w:r>
    </w:p>
    <w:p w:rsidR="00B86BD8" w:rsidRDefault="00B86BD8" w:rsidP="006F0B75">
      <w:pPr>
        <w:pStyle w:val="Caption"/>
        <w:sectPr w:rsidR="00B86BD8" w:rsidSect="006B4EDE">
          <w:pgSz w:w="15840" w:h="12240" w:orient="landscape" w:code="1"/>
          <w:pgMar w:top="1800" w:right="1440" w:bottom="1800" w:left="1440" w:header="720" w:footer="720" w:gutter="0"/>
          <w:cols w:space="720"/>
          <w:titlePg/>
          <w:docGrid w:linePitch="360"/>
        </w:sectPr>
      </w:pPr>
    </w:p>
    <w:p w:rsidR="00B86BD8" w:rsidRDefault="00B86BD8" w:rsidP="006B4EDE">
      <w:pPr>
        <w:spacing w:line="360" w:lineRule="auto"/>
      </w:pPr>
      <w:r>
        <w:lastRenderedPageBreak/>
        <w:t xml:space="preserve">Table 8.  Correlation matrix of molt probability [ln(aa) and ln(b)] and growth increment [ ln(a) and G_b] parameters for </w:t>
      </w:r>
      <w:r w:rsidRPr="00930D54">
        <w:rPr>
          <w:szCs w:val="22"/>
        </w:rPr>
        <w:t xml:space="preserve">the </w:t>
      </w:r>
      <w:r>
        <w:rPr>
          <w:szCs w:val="22"/>
        </w:rPr>
        <w:t xml:space="preserve">scenario 2 model </w:t>
      </w:r>
      <w:r w:rsidRPr="00930D54">
        <w:rPr>
          <w:szCs w:val="22"/>
        </w:rPr>
        <w:t>for the golden king crab data from the EAG</w:t>
      </w:r>
      <w:r>
        <w:rPr>
          <w:szCs w:val="22"/>
        </w:rPr>
        <w:t>.</w:t>
      </w:r>
      <w:r>
        <w:t xml:space="preserve"> The beta parameter of the Gamma distribution function was fixed at log (beta) = -0.3.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B86BD8" w:rsidTr="006B4EDE">
        <w:tc>
          <w:tcPr>
            <w:tcW w:w="1771" w:type="dxa"/>
            <w:tcBorders>
              <w:top w:val="single" w:sz="4" w:space="0" w:color="auto"/>
            </w:tcBorders>
          </w:tcPr>
          <w:p w:rsidR="00B86BD8" w:rsidRDefault="00B86BD8" w:rsidP="006B4EDE">
            <w:pPr>
              <w:spacing w:line="360" w:lineRule="auto"/>
            </w:pPr>
          </w:p>
        </w:tc>
        <w:tc>
          <w:tcPr>
            <w:tcW w:w="1771" w:type="dxa"/>
            <w:tcBorders>
              <w:top w:val="single" w:sz="4" w:space="0" w:color="auto"/>
            </w:tcBorders>
          </w:tcPr>
          <w:p w:rsidR="00B86BD8" w:rsidRDefault="00B86BD8" w:rsidP="006B4EDE">
            <w:pPr>
              <w:spacing w:line="360" w:lineRule="auto"/>
            </w:pPr>
            <w:r>
              <w:t>Ln(a)</w:t>
            </w:r>
          </w:p>
        </w:tc>
        <w:tc>
          <w:tcPr>
            <w:tcW w:w="1771" w:type="dxa"/>
            <w:tcBorders>
              <w:top w:val="single" w:sz="4" w:space="0" w:color="auto"/>
            </w:tcBorders>
          </w:tcPr>
          <w:p w:rsidR="00B86BD8" w:rsidRDefault="00B86BD8" w:rsidP="006B4EDE">
            <w:pPr>
              <w:spacing w:line="360" w:lineRule="auto"/>
            </w:pPr>
            <w:r>
              <w:t>G_b</w:t>
            </w:r>
          </w:p>
        </w:tc>
        <w:tc>
          <w:tcPr>
            <w:tcW w:w="1771" w:type="dxa"/>
            <w:tcBorders>
              <w:top w:val="single" w:sz="4" w:space="0" w:color="auto"/>
            </w:tcBorders>
          </w:tcPr>
          <w:p w:rsidR="00B86BD8" w:rsidRDefault="00B86BD8" w:rsidP="006B4EDE">
            <w:pPr>
              <w:spacing w:line="360" w:lineRule="auto"/>
            </w:pPr>
            <w:r>
              <w:t>Ln (aa)</w:t>
            </w:r>
          </w:p>
        </w:tc>
        <w:tc>
          <w:tcPr>
            <w:tcW w:w="1772" w:type="dxa"/>
            <w:tcBorders>
              <w:top w:val="single" w:sz="4" w:space="0" w:color="auto"/>
            </w:tcBorders>
          </w:tcPr>
          <w:p w:rsidR="00B86BD8" w:rsidRDefault="00B86BD8" w:rsidP="006B4EDE">
            <w:pPr>
              <w:spacing w:line="360" w:lineRule="auto"/>
            </w:pPr>
            <w:r>
              <w:t>Ln(b)</w:t>
            </w:r>
          </w:p>
        </w:tc>
      </w:tr>
      <w:tr w:rsidR="00B86BD8" w:rsidTr="006B4EDE">
        <w:tc>
          <w:tcPr>
            <w:tcW w:w="1771" w:type="dxa"/>
          </w:tcPr>
          <w:p w:rsidR="00B86BD8" w:rsidRDefault="00B86BD8" w:rsidP="006B4EDE">
            <w:pPr>
              <w:spacing w:line="360" w:lineRule="auto"/>
            </w:pPr>
            <w:r>
              <w:t>Ln(a)</w:t>
            </w:r>
          </w:p>
        </w:tc>
        <w:tc>
          <w:tcPr>
            <w:tcW w:w="1771" w:type="dxa"/>
          </w:tcPr>
          <w:p w:rsidR="00B86BD8" w:rsidRDefault="00B86BD8" w:rsidP="006B4EDE">
            <w:pPr>
              <w:spacing w:line="360" w:lineRule="auto"/>
            </w:pPr>
            <w:r>
              <w:t>1</w:t>
            </w:r>
          </w:p>
        </w:tc>
        <w:tc>
          <w:tcPr>
            <w:tcW w:w="1771" w:type="dxa"/>
          </w:tcPr>
          <w:p w:rsidR="00B86BD8" w:rsidRDefault="00B86BD8" w:rsidP="006B4EDE">
            <w:pPr>
              <w:spacing w:line="360" w:lineRule="auto"/>
            </w:pPr>
          </w:p>
        </w:tc>
        <w:tc>
          <w:tcPr>
            <w:tcW w:w="1771" w:type="dxa"/>
          </w:tcPr>
          <w:p w:rsidR="00B86BD8" w:rsidRDefault="00B86BD8" w:rsidP="006B4EDE">
            <w:pPr>
              <w:spacing w:line="360" w:lineRule="auto"/>
            </w:pPr>
          </w:p>
        </w:tc>
        <w:tc>
          <w:tcPr>
            <w:tcW w:w="1772" w:type="dxa"/>
          </w:tcPr>
          <w:p w:rsidR="00B86BD8" w:rsidRDefault="00B86BD8" w:rsidP="006B4EDE">
            <w:pPr>
              <w:spacing w:line="360" w:lineRule="auto"/>
            </w:pPr>
          </w:p>
        </w:tc>
      </w:tr>
      <w:tr w:rsidR="00B86BD8" w:rsidTr="006B4EDE">
        <w:trPr>
          <w:trHeight w:val="305"/>
        </w:trPr>
        <w:tc>
          <w:tcPr>
            <w:tcW w:w="1771" w:type="dxa"/>
          </w:tcPr>
          <w:p w:rsidR="00B86BD8" w:rsidRDefault="00B86BD8" w:rsidP="006B4EDE">
            <w:pPr>
              <w:spacing w:line="360" w:lineRule="auto"/>
            </w:pPr>
            <w:r>
              <w:t>G_b</w:t>
            </w:r>
          </w:p>
        </w:tc>
        <w:tc>
          <w:tcPr>
            <w:tcW w:w="1771" w:type="dxa"/>
          </w:tcPr>
          <w:p w:rsidR="00B86BD8" w:rsidRDefault="00B86BD8" w:rsidP="006B4EDE">
            <w:pPr>
              <w:spacing w:line="360" w:lineRule="auto"/>
            </w:pPr>
            <w:r>
              <w:t>-0.99</w:t>
            </w:r>
          </w:p>
        </w:tc>
        <w:tc>
          <w:tcPr>
            <w:tcW w:w="1771" w:type="dxa"/>
          </w:tcPr>
          <w:p w:rsidR="00B86BD8" w:rsidRDefault="00B86BD8" w:rsidP="006B4EDE">
            <w:pPr>
              <w:spacing w:line="360" w:lineRule="auto"/>
            </w:pPr>
            <w:r>
              <w:t>1</w:t>
            </w:r>
          </w:p>
        </w:tc>
        <w:tc>
          <w:tcPr>
            <w:tcW w:w="1771" w:type="dxa"/>
          </w:tcPr>
          <w:p w:rsidR="00B86BD8" w:rsidRDefault="00B86BD8" w:rsidP="006B4EDE">
            <w:pPr>
              <w:spacing w:line="360" w:lineRule="auto"/>
            </w:pPr>
          </w:p>
        </w:tc>
        <w:tc>
          <w:tcPr>
            <w:tcW w:w="1772" w:type="dxa"/>
          </w:tcPr>
          <w:p w:rsidR="00B86BD8" w:rsidRDefault="00B86BD8" w:rsidP="006B4EDE">
            <w:pPr>
              <w:spacing w:line="360" w:lineRule="auto"/>
            </w:pPr>
          </w:p>
        </w:tc>
      </w:tr>
      <w:tr w:rsidR="00B86BD8" w:rsidTr="006B4EDE">
        <w:tc>
          <w:tcPr>
            <w:tcW w:w="1771" w:type="dxa"/>
          </w:tcPr>
          <w:p w:rsidR="00B86BD8" w:rsidRDefault="00B86BD8" w:rsidP="006B4EDE">
            <w:pPr>
              <w:spacing w:line="360" w:lineRule="auto"/>
            </w:pPr>
            <w:r>
              <w:t>Ln (aa)</w:t>
            </w:r>
          </w:p>
        </w:tc>
        <w:tc>
          <w:tcPr>
            <w:tcW w:w="1771" w:type="dxa"/>
          </w:tcPr>
          <w:p w:rsidR="00B86BD8" w:rsidRDefault="00B86BD8" w:rsidP="006B4EDE">
            <w:pPr>
              <w:spacing w:line="360" w:lineRule="auto"/>
            </w:pPr>
            <w:r>
              <w:t>-0.69</w:t>
            </w:r>
          </w:p>
        </w:tc>
        <w:tc>
          <w:tcPr>
            <w:tcW w:w="1771" w:type="dxa"/>
          </w:tcPr>
          <w:p w:rsidR="00B86BD8" w:rsidRDefault="00B86BD8" w:rsidP="006B4EDE">
            <w:pPr>
              <w:spacing w:line="360" w:lineRule="auto"/>
            </w:pPr>
            <w:r>
              <w:t>0.71</w:t>
            </w:r>
          </w:p>
        </w:tc>
        <w:tc>
          <w:tcPr>
            <w:tcW w:w="1771" w:type="dxa"/>
          </w:tcPr>
          <w:p w:rsidR="00B86BD8" w:rsidRDefault="00B86BD8" w:rsidP="006B4EDE">
            <w:pPr>
              <w:spacing w:line="360" w:lineRule="auto"/>
            </w:pPr>
            <w:r>
              <w:t>1</w:t>
            </w:r>
          </w:p>
        </w:tc>
        <w:tc>
          <w:tcPr>
            <w:tcW w:w="1772" w:type="dxa"/>
          </w:tcPr>
          <w:p w:rsidR="00B86BD8" w:rsidRDefault="00B86BD8" w:rsidP="006B4EDE">
            <w:pPr>
              <w:spacing w:line="360" w:lineRule="auto"/>
            </w:pPr>
          </w:p>
        </w:tc>
      </w:tr>
      <w:tr w:rsidR="00B86BD8" w:rsidTr="006B4EDE">
        <w:tc>
          <w:tcPr>
            <w:tcW w:w="1771" w:type="dxa"/>
            <w:tcBorders>
              <w:bottom w:val="single" w:sz="4" w:space="0" w:color="auto"/>
            </w:tcBorders>
          </w:tcPr>
          <w:p w:rsidR="00B86BD8" w:rsidRDefault="00B86BD8" w:rsidP="006B4EDE">
            <w:pPr>
              <w:spacing w:line="360" w:lineRule="auto"/>
            </w:pPr>
            <w:r>
              <w:t>Ln(b)</w:t>
            </w:r>
          </w:p>
        </w:tc>
        <w:tc>
          <w:tcPr>
            <w:tcW w:w="1771" w:type="dxa"/>
            <w:tcBorders>
              <w:bottom w:val="single" w:sz="4" w:space="0" w:color="auto"/>
            </w:tcBorders>
          </w:tcPr>
          <w:p w:rsidR="00B86BD8" w:rsidRDefault="00B86BD8" w:rsidP="006B4EDE">
            <w:pPr>
              <w:spacing w:line="360" w:lineRule="auto"/>
            </w:pPr>
            <w:r>
              <w:t>0.53</w:t>
            </w:r>
          </w:p>
        </w:tc>
        <w:tc>
          <w:tcPr>
            <w:tcW w:w="1771" w:type="dxa"/>
            <w:tcBorders>
              <w:bottom w:val="single" w:sz="4" w:space="0" w:color="auto"/>
            </w:tcBorders>
          </w:tcPr>
          <w:p w:rsidR="00B86BD8" w:rsidRDefault="00B86BD8" w:rsidP="006B4EDE">
            <w:pPr>
              <w:spacing w:line="360" w:lineRule="auto"/>
            </w:pPr>
            <w:r>
              <w:t>-0.56</w:t>
            </w:r>
          </w:p>
        </w:tc>
        <w:tc>
          <w:tcPr>
            <w:tcW w:w="1771" w:type="dxa"/>
            <w:tcBorders>
              <w:bottom w:val="single" w:sz="4" w:space="0" w:color="auto"/>
            </w:tcBorders>
          </w:tcPr>
          <w:p w:rsidR="00B86BD8" w:rsidRDefault="00B86BD8" w:rsidP="006B4EDE">
            <w:pPr>
              <w:spacing w:line="360" w:lineRule="auto"/>
            </w:pPr>
            <w:r>
              <w:t>-0.21</w:t>
            </w:r>
          </w:p>
        </w:tc>
        <w:tc>
          <w:tcPr>
            <w:tcW w:w="1772" w:type="dxa"/>
            <w:tcBorders>
              <w:bottom w:val="single" w:sz="4" w:space="0" w:color="auto"/>
            </w:tcBorders>
          </w:tcPr>
          <w:p w:rsidR="00B86BD8" w:rsidRDefault="00B86BD8" w:rsidP="006B4EDE">
            <w:pPr>
              <w:spacing w:line="360" w:lineRule="auto"/>
            </w:pPr>
            <w:r>
              <w:t>1</w:t>
            </w:r>
          </w:p>
        </w:tc>
      </w:tr>
    </w:tbl>
    <w:p w:rsidR="00B86BD8" w:rsidRDefault="00B86BD8" w:rsidP="006B4EDE">
      <w:pPr>
        <w:spacing w:line="360" w:lineRule="auto"/>
      </w:pPr>
    </w:p>
    <w:p w:rsidR="00B86BD8" w:rsidRDefault="00B86BD8" w:rsidP="006F0B75">
      <w:pPr>
        <w:pStyle w:val="Caption"/>
        <w:rPr>
          <w:szCs w:val="22"/>
        </w:rPr>
      </w:pPr>
    </w:p>
    <w:p w:rsidR="00B86BD8" w:rsidRPr="00BF2E6D" w:rsidRDefault="00B86BD8" w:rsidP="006B4EDE">
      <w:pPr>
        <w:sectPr w:rsidR="00B86BD8" w:rsidRPr="00BF2E6D" w:rsidSect="006B4EDE">
          <w:pgSz w:w="12240" w:h="15840" w:code="1"/>
          <w:pgMar w:top="1440" w:right="1800" w:bottom="1440" w:left="1800" w:header="720" w:footer="720" w:gutter="0"/>
          <w:cols w:space="720"/>
          <w:titlePg/>
          <w:docGrid w:linePitch="360"/>
        </w:sectPr>
      </w:pPr>
    </w:p>
    <w:p w:rsidR="00B86BD8" w:rsidRPr="00107BC6" w:rsidRDefault="00B86BD8" w:rsidP="006F0B75">
      <w:pPr>
        <w:pStyle w:val="Caption"/>
        <w:rPr>
          <w:szCs w:val="22"/>
        </w:rPr>
      </w:pPr>
      <w:r w:rsidRPr="007A36B6">
        <w:rPr>
          <w:sz w:val="20"/>
          <w:szCs w:val="20"/>
        </w:rPr>
        <w:lastRenderedPageBreak/>
        <w:t>Table 9.   Annual abundance estimates of  model recruits (millions of crabs), legal male biomass</w:t>
      </w:r>
      <w:r>
        <w:rPr>
          <w:szCs w:val="22"/>
        </w:rPr>
        <w:t xml:space="preserve"> with standard deviation (t), and </w:t>
      </w:r>
      <w:r w:rsidRPr="00B147B6">
        <w:rPr>
          <w:szCs w:val="22"/>
        </w:rPr>
        <w:t xml:space="preserve">mature </w:t>
      </w:r>
      <w:r>
        <w:rPr>
          <w:szCs w:val="22"/>
        </w:rPr>
        <w:t xml:space="preserve">male </w:t>
      </w:r>
      <w:r w:rsidRPr="00B147B6">
        <w:rPr>
          <w:szCs w:val="22"/>
        </w:rPr>
        <w:t xml:space="preserve">biomass </w:t>
      </w:r>
      <w:r>
        <w:rPr>
          <w:szCs w:val="22"/>
        </w:rPr>
        <w:t xml:space="preserve">with standard deviation </w:t>
      </w:r>
      <w:r w:rsidRPr="00B147B6">
        <w:rPr>
          <w:szCs w:val="22"/>
        </w:rPr>
        <w:t>(t)</w:t>
      </w:r>
      <w:r w:rsidRPr="00DC4C99">
        <w:rPr>
          <w:szCs w:val="22"/>
        </w:rPr>
        <w:t xml:space="preserve"> </w:t>
      </w:r>
      <w:r>
        <w:rPr>
          <w:szCs w:val="22"/>
        </w:rPr>
        <w:t>for</w:t>
      </w:r>
      <w:r w:rsidRPr="00930D54">
        <w:rPr>
          <w:szCs w:val="22"/>
        </w:rPr>
        <w:t xml:space="preserve"> the </w:t>
      </w:r>
      <w:r>
        <w:rPr>
          <w:szCs w:val="22"/>
        </w:rPr>
        <w:t xml:space="preserve">scenario 1 model </w:t>
      </w:r>
      <w:r w:rsidRPr="00B147B6">
        <w:rPr>
          <w:szCs w:val="22"/>
        </w:rPr>
        <w:t>for golden king crab in the EAG. Legal male biomass was estimated at the survey time and mature male biomass for year y was estimated on February 15, year y+1 after the year y fishery total catch removal. NA = not available.</w:t>
      </w:r>
      <w:r w:rsidRPr="00B147B6">
        <w:rPr>
          <w:snapToGrid w:val="0"/>
          <w:szCs w:val="22"/>
          <w:lang w:eastAsia="fr-FR"/>
        </w:rPr>
        <w:t xml:space="preserve"> 1985</w:t>
      </w:r>
      <w:r>
        <w:rPr>
          <w:snapToGrid w:val="0"/>
          <w:szCs w:val="22"/>
          <w:lang w:eastAsia="fr-FR"/>
        </w:rPr>
        <w:t xml:space="preserve"> refers to the</w:t>
      </w:r>
      <w:r w:rsidRPr="00B147B6">
        <w:rPr>
          <w:snapToGrid w:val="0"/>
          <w:szCs w:val="22"/>
          <w:lang w:eastAsia="fr-FR"/>
        </w:rPr>
        <w:t xml:space="preserve"> 1985/86 fishery.</w:t>
      </w:r>
    </w:p>
    <w:tbl>
      <w:tblPr>
        <w:tblStyle w:val="TableClassic1"/>
        <w:tblW w:w="0" w:type="auto"/>
        <w:tblLook w:val="01E0" w:firstRow="1" w:lastRow="1" w:firstColumn="1" w:lastColumn="1" w:noHBand="0" w:noVBand="0"/>
      </w:tblPr>
      <w:tblGrid>
        <w:gridCol w:w="717"/>
        <w:gridCol w:w="1667"/>
        <w:gridCol w:w="1684"/>
        <w:gridCol w:w="1346"/>
        <w:gridCol w:w="1534"/>
        <w:gridCol w:w="1620"/>
      </w:tblGrid>
      <w:tr w:rsidR="00B86BD8" w:rsidRPr="00057FD7" w:rsidTr="003A290F">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7" w:type="dxa"/>
            <w:vAlign w:val="center"/>
          </w:tcPr>
          <w:p w:rsidR="00B86BD8" w:rsidRPr="00057FD7" w:rsidRDefault="00B86BD8" w:rsidP="003A290F">
            <w:pPr>
              <w:spacing w:after="120" w:line="276" w:lineRule="auto"/>
              <w:jc w:val="center"/>
              <w:rPr>
                <w:b w:val="0"/>
                <w:iCs w:val="0"/>
              </w:rPr>
            </w:pPr>
            <w:r w:rsidRPr="00057FD7">
              <w:t>Year</w:t>
            </w:r>
          </w:p>
        </w:tc>
        <w:tc>
          <w:tcPr>
            <w:tcW w:w="1667" w:type="dxa"/>
            <w:vAlign w:val="center"/>
          </w:tcPr>
          <w:p w:rsidR="00B86BD8" w:rsidRPr="00057FD7" w:rsidRDefault="00B86BD8" w:rsidP="003A290F">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057FD7">
              <w:t>Recruits to the Model ( ≥ 101 mm CL)</w:t>
            </w:r>
          </w:p>
        </w:tc>
        <w:tc>
          <w:tcPr>
            <w:tcW w:w="1684" w:type="dxa"/>
            <w:vAlign w:val="center"/>
          </w:tcPr>
          <w:p w:rsidR="00B86BD8" w:rsidRPr="00057FD7" w:rsidRDefault="00B86BD8" w:rsidP="003A290F">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057FD7">
              <w:t>Mature Male Biomass</w:t>
            </w:r>
          </w:p>
          <w:p w:rsidR="00B86BD8" w:rsidRPr="00057FD7" w:rsidRDefault="00B86BD8" w:rsidP="003A290F">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057FD7">
              <w:t>( ≥ 121 mm CL)</w:t>
            </w:r>
          </w:p>
        </w:tc>
        <w:tc>
          <w:tcPr>
            <w:tcW w:w="1346" w:type="dxa"/>
            <w:vAlign w:val="center"/>
          </w:tcPr>
          <w:p w:rsidR="00B86BD8" w:rsidRPr="00057FD7" w:rsidRDefault="00B86BD8" w:rsidP="003A290F">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057FD7">
              <w:t>Standard Deviation</w:t>
            </w:r>
          </w:p>
        </w:tc>
        <w:tc>
          <w:tcPr>
            <w:tcW w:w="1534" w:type="dxa"/>
            <w:vAlign w:val="center"/>
          </w:tcPr>
          <w:p w:rsidR="00B86BD8" w:rsidRPr="00057FD7" w:rsidRDefault="00B86BD8" w:rsidP="003A290F">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057FD7">
              <w:t>Legal Male Biomass ( ≥ 136 mm CL)</w:t>
            </w:r>
          </w:p>
        </w:tc>
        <w:tc>
          <w:tcPr>
            <w:cnfStyle w:val="000000001000" w:firstRow="0" w:lastRow="0" w:firstColumn="0" w:lastColumn="0" w:oddVBand="0" w:evenVBand="0" w:oddHBand="0" w:evenHBand="0" w:firstRowFirstColumn="0" w:firstRowLastColumn="1" w:lastRowFirstColumn="0" w:lastRowLastColumn="0"/>
            <w:tcW w:w="1620" w:type="dxa"/>
            <w:vAlign w:val="center"/>
          </w:tcPr>
          <w:p w:rsidR="00B86BD8" w:rsidRPr="00057FD7" w:rsidRDefault="00B86BD8" w:rsidP="003A290F">
            <w:pPr>
              <w:spacing w:after="120" w:line="276" w:lineRule="auto"/>
              <w:jc w:val="center"/>
              <w:rPr>
                <w:b w:val="0"/>
                <w:bCs w:val="0"/>
              </w:rPr>
            </w:pPr>
            <w:r w:rsidRPr="00057FD7">
              <w:t>Standard Deviation</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1985</w:t>
            </w:r>
          </w:p>
        </w:tc>
        <w:tc>
          <w:tcPr>
            <w:tcW w:w="1667" w:type="dxa"/>
          </w:tcPr>
          <w:p w:rsidR="00B86BD8" w:rsidRPr="007A36B6" w:rsidRDefault="00B86BD8" w:rsidP="004231B6">
            <w:pPr>
              <w:spacing w:line="360" w:lineRule="auto"/>
              <w:jc w:val="right"/>
              <w:cnfStyle w:val="000000000000" w:firstRow="0" w:lastRow="0" w:firstColumn="0" w:lastColumn="0" w:oddVBand="0" w:evenVBand="0" w:oddHBand="0" w:evenHBand="0" w:firstRowFirstColumn="0" w:firstRowLastColumn="0" w:lastRowFirstColumn="0" w:lastRowLastColumn="0"/>
            </w:pPr>
            <w:r w:rsidRPr="007A36B6">
              <w:t>NA</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5812</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777</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6852</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854</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1986</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1.21</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5046</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621</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6495</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680</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1987</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2.71</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4395</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511</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5401</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457</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1988</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2.28</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4108</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638</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4780</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351</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1989</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1.75</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3361</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537</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4399</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389</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1990</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1.79</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3468</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540</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3657</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378</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1991</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3.11</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3121</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536</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3806</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384</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1992</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1.92</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3320</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613</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3416</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370</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1993</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1.63</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3724</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532</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3578</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390</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1994</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1.87</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3359</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515</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4110</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385</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1995</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1.66</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2804</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477</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3687</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361</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1996</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1.63</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2720</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498</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3051</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330</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1997</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1.83</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2726</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529</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2976</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363</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1998</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1.75</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2900</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582</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2982</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395</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1999</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1.65</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3161</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640</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3164</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440</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2000</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1.86</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3363</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695</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3458</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506</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2001</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1.53</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3642</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759</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3681</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564</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2002</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2.09</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3950</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848</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3968</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627</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2003</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1.36</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4458</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896</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4322</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720</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2004</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1.42</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4622</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934</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4829</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760</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2005</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1.69</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4643</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989</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5039</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839</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2006</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1.58</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4756</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1048</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5026</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882</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2007</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1.66</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4869</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1095</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5126</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929</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2008</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1.92</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4984</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1175</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5262</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986</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2009</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1.91</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5257</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1270</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5380</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1056</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057FD7" w:rsidRDefault="00B86BD8" w:rsidP="006C499D">
            <w:pPr>
              <w:widowControl w:val="0"/>
              <w:spacing w:line="360" w:lineRule="auto"/>
              <w:jc w:val="both"/>
              <w:rPr>
                <w:snapToGrid w:val="0"/>
                <w:lang w:eastAsia="fr-FR"/>
              </w:rPr>
            </w:pPr>
            <w:r w:rsidRPr="00057FD7">
              <w:rPr>
                <w:snapToGrid w:val="0"/>
                <w:lang w:eastAsia="fr-FR"/>
              </w:rPr>
              <w:t>2010</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1.48</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5574</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1317</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5672</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1139</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7E6E5A" w:rsidRDefault="00B86BD8" w:rsidP="006C499D">
            <w:pPr>
              <w:widowControl w:val="0"/>
              <w:spacing w:line="360" w:lineRule="auto"/>
              <w:jc w:val="both"/>
              <w:rPr>
                <w:b/>
                <w:snapToGrid w:val="0"/>
                <w:lang w:eastAsia="fr-FR"/>
              </w:rPr>
            </w:pPr>
            <w:r w:rsidRPr="001926B1">
              <w:rPr>
                <w:snapToGrid w:val="0"/>
                <w:lang w:eastAsia="fr-FR"/>
              </w:rPr>
              <w:t>2011</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0.99</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5546</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1324</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6025</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1209</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1926B1" w:rsidRDefault="00B86BD8" w:rsidP="006C499D">
            <w:pPr>
              <w:widowControl w:val="0"/>
              <w:spacing w:line="360" w:lineRule="auto"/>
              <w:jc w:val="both"/>
              <w:rPr>
                <w:snapToGrid w:val="0"/>
                <w:lang w:eastAsia="fr-FR"/>
              </w:rPr>
            </w:pPr>
            <w:r>
              <w:rPr>
                <w:snapToGrid w:val="0"/>
                <w:lang w:eastAsia="fr-FR"/>
              </w:rPr>
              <w:t>2012</w:t>
            </w:r>
          </w:p>
        </w:tc>
        <w:tc>
          <w:tcPr>
            <w:tcW w:w="1667"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2.19</w:t>
            </w:r>
          </w:p>
        </w:tc>
        <w:tc>
          <w:tcPr>
            <w:tcW w:w="168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5140</w:t>
            </w:r>
          </w:p>
        </w:tc>
        <w:tc>
          <w:tcPr>
            <w:tcW w:w="1346"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1388</w:t>
            </w:r>
          </w:p>
        </w:tc>
        <w:tc>
          <w:tcPr>
            <w:tcW w:w="1534"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5999</w:t>
            </w:r>
          </w:p>
        </w:tc>
        <w:tc>
          <w:tcPr>
            <w:tcW w:w="1620" w:type="dxa"/>
            <w:vAlign w:val="bottom"/>
          </w:tcPr>
          <w:p w:rsidR="00B86BD8" w:rsidRPr="007A36B6" w:rsidRDefault="00B86BD8">
            <w:pPr>
              <w:jc w:val="right"/>
              <w:cnfStyle w:val="000000000000" w:firstRow="0" w:lastRow="0" w:firstColumn="0" w:lastColumn="0" w:oddVBand="0" w:evenVBand="0" w:oddHBand="0" w:evenHBand="0" w:firstRowFirstColumn="0" w:firstRowLastColumn="0" w:lastRowFirstColumn="0" w:lastRowLastColumn="0"/>
            </w:pPr>
            <w:r w:rsidRPr="007A36B6">
              <w:t>1266</w:t>
            </w:r>
          </w:p>
        </w:tc>
      </w:tr>
      <w:tr w:rsidR="00B86BD8" w:rsidRPr="00E731FB" w:rsidTr="006B4EDE">
        <w:trPr>
          <w:cnfStyle w:val="010000000000" w:firstRow="0" w:lastRow="1" w:firstColumn="0" w:lastColumn="0" w:oddVBand="0" w:evenVBand="0" w:oddHBand="0" w:evenHBand="0" w:firstRowFirstColumn="0" w:firstRowLastColumn="0" w:lastRowFirstColumn="0" w:lastRowLastColumn="0"/>
          <w:trHeight w:val="317"/>
        </w:trPr>
        <w:tc>
          <w:tcPr>
            <w:cnfStyle w:val="001000000001" w:firstRow="0" w:lastRow="0" w:firstColumn="1" w:lastColumn="0" w:oddVBand="0" w:evenVBand="0" w:oddHBand="0" w:evenHBand="0" w:firstRowFirstColumn="0" w:firstRowLastColumn="0" w:lastRowFirstColumn="1" w:lastRowLastColumn="0"/>
            <w:tcW w:w="717" w:type="dxa"/>
          </w:tcPr>
          <w:p w:rsidR="00B86BD8" w:rsidRPr="006F32B0" w:rsidRDefault="00B86BD8" w:rsidP="006C499D">
            <w:pPr>
              <w:widowControl w:val="0"/>
              <w:spacing w:line="360" w:lineRule="auto"/>
              <w:jc w:val="both"/>
              <w:rPr>
                <w:b w:val="0"/>
                <w:snapToGrid w:val="0"/>
                <w:lang w:eastAsia="fr-FR"/>
              </w:rPr>
            </w:pPr>
            <w:r w:rsidRPr="006F32B0">
              <w:rPr>
                <w:b w:val="0"/>
                <w:snapToGrid w:val="0"/>
                <w:lang w:eastAsia="fr-FR"/>
              </w:rPr>
              <w:t>2013</w:t>
            </w:r>
          </w:p>
        </w:tc>
        <w:tc>
          <w:tcPr>
            <w:tcW w:w="1667" w:type="dxa"/>
            <w:vAlign w:val="bottom"/>
          </w:tcPr>
          <w:p w:rsidR="00B86BD8" w:rsidRPr="007A36B6" w:rsidRDefault="00B86BD8">
            <w:pPr>
              <w:jc w:val="right"/>
              <w:cnfStyle w:val="010000000000" w:firstRow="0" w:lastRow="1" w:firstColumn="0" w:lastColumn="0" w:oddVBand="0" w:evenVBand="0" w:oddHBand="0" w:evenHBand="0" w:firstRowFirstColumn="0" w:firstRowLastColumn="0" w:lastRowFirstColumn="0" w:lastRowLastColumn="0"/>
            </w:pPr>
            <w:r w:rsidRPr="007A36B6">
              <w:t>1.75</w:t>
            </w:r>
          </w:p>
        </w:tc>
        <w:tc>
          <w:tcPr>
            <w:tcW w:w="1684" w:type="dxa"/>
            <w:vAlign w:val="bottom"/>
          </w:tcPr>
          <w:p w:rsidR="00B86BD8" w:rsidRPr="007A36B6" w:rsidRDefault="00B86BD8">
            <w:pPr>
              <w:jc w:val="right"/>
              <w:cnfStyle w:val="010000000000" w:firstRow="0" w:lastRow="1" w:firstColumn="0" w:lastColumn="0" w:oddVBand="0" w:evenVBand="0" w:oddHBand="0" w:evenHBand="0" w:firstRowFirstColumn="0" w:firstRowLastColumn="0" w:lastRowFirstColumn="0" w:lastRowLastColumn="0"/>
            </w:pPr>
            <w:r w:rsidRPr="007A36B6">
              <w:t>6058</w:t>
            </w:r>
          </w:p>
        </w:tc>
        <w:tc>
          <w:tcPr>
            <w:tcW w:w="1346" w:type="dxa"/>
            <w:vAlign w:val="bottom"/>
          </w:tcPr>
          <w:p w:rsidR="00B86BD8" w:rsidRPr="007A36B6" w:rsidRDefault="00B86BD8">
            <w:pPr>
              <w:jc w:val="right"/>
              <w:cnfStyle w:val="010000000000" w:firstRow="0" w:lastRow="1" w:firstColumn="0" w:lastColumn="0" w:oddVBand="0" w:evenVBand="0" w:oddHBand="0" w:evenHBand="0" w:firstRowFirstColumn="0" w:firstRowLastColumn="0" w:lastRowFirstColumn="0" w:lastRowLastColumn="0"/>
            </w:pPr>
            <w:r w:rsidRPr="007A36B6">
              <w:t>3184</w:t>
            </w:r>
          </w:p>
        </w:tc>
        <w:tc>
          <w:tcPr>
            <w:tcW w:w="1534" w:type="dxa"/>
            <w:vAlign w:val="bottom"/>
          </w:tcPr>
          <w:p w:rsidR="00B86BD8" w:rsidRPr="007A36B6" w:rsidRDefault="00B86BD8">
            <w:pPr>
              <w:jc w:val="right"/>
              <w:cnfStyle w:val="010000000000" w:firstRow="0" w:lastRow="1" w:firstColumn="0" w:lastColumn="0" w:oddVBand="0" w:evenVBand="0" w:oddHBand="0" w:evenHBand="0" w:firstRowFirstColumn="0" w:firstRowLastColumn="0" w:lastRowFirstColumn="0" w:lastRowLastColumn="0"/>
            </w:pPr>
            <w:r w:rsidRPr="007A36B6">
              <w:t>5553</w:t>
            </w:r>
          </w:p>
        </w:tc>
        <w:tc>
          <w:tcPr>
            <w:tcW w:w="1620" w:type="dxa"/>
            <w:vAlign w:val="bottom"/>
          </w:tcPr>
          <w:p w:rsidR="00B86BD8" w:rsidRPr="007A36B6" w:rsidRDefault="00B86BD8">
            <w:pPr>
              <w:jc w:val="right"/>
              <w:cnfStyle w:val="010000000000" w:firstRow="0" w:lastRow="1" w:firstColumn="0" w:lastColumn="0" w:oddVBand="0" w:evenVBand="0" w:oddHBand="0" w:evenHBand="0" w:firstRowFirstColumn="0" w:firstRowLastColumn="0" w:lastRowFirstColumn="0" w:lastRowLastColumn="0"/>
            </w:pPr>
            <w:r w:rsidRPr="007A36B6">
              <w:t>1347</w:t>
            </w:r>
          </w:p>
        </w:tc>
      </w:tr>
    </w:tbl>
    <w:p w:rsidR="00B86BD8" w:rsidRDefault="00B86BD8">
      <w:pPr>
        <w:rPr>
          <w:bCs/>
          <w:color w:val="000000" w:themeColor="text1"/>
          <w:sz w:val="22"/>
          <w:szCs w:val="18"/>
        </w:rPr>
      </w:pPr>
      <w:r>
        <w:br w:type="page"/>
      </w:r>
    </w:p>
    <w:p w:rsidR="00B86BD8" w:rsidRPr="00107BC6" w:rsidRDefault="00B86BD8" w:rsidP="006B4EDE">
      <w:pPr>
        <w:pStyle w:val="Caption"/>
        <w:rPr>
          <w:szCs w:val="22"/>
        </w:rPr>
      </w:pPr>
      <w:r>
        <w:lastRenderedPageBreak/>
        <w:t xml:space="preserve">Table 10.  </w:t>
      </w:r>
      <w:r w:rsidRPr="00B147B6">
        <w:rPr>
          <w:szCs w:val="22"/>
        </w:rPr>
        <w:t xml:space="preserve"> Annual abundance estimates of </w:t>
      </w:r>
      <w:r>
        <w:rPr>
          <w:szCs w:val="22"/>
        </w:rPr>
        <w:t xml:space="preserve"> model recruits (millions of crabs), </w:t>
      </w:r>
      <w:r w:rsidRPr="00B147B6">
        <w:rPr>
          <w:szCs w:val="22"/>
        </w:rPr>
        <w:t xml:space="preserve">legal </w:t>
      </w:r>
      <w:r>
        <w:rPr>
          <w:szCs w:val="22"/>
        </w:rPr>
        <w:t xml:space="preserve">male biomass with standard deviation (t), and </w:t>
      </w:r>
      <w:r w:rsidRPr="00B147B6">
        <w:rPr>
          <w:szCs w:val="22"/>
        </w:rPr>
        <w:t xml:space="preserve">mature </w:t>
      </w:r>
      <w:r>
        <w:rPr>
          <w:szCs w:val="22"/>
        </w:rPr>
        <w:t xml:space="preserve">male </w:t>
      </w:r>
      <w:r w:rsidRPr="00B147B6">
        <w:rPr>
          <w:szCs w:val="22"/>
        </w:rPr>
        <w:t xml:space="preserve">biomass </w:t>
      </w:r>
      <w:r>
        <w:rPr>
          <w:szCs w:val="22"/>
        </w:rPr>
        <w:t xml:space="preserve">with standard deviation </w:t>
      </w:r>
      <w:r w:rsidRPr="00B147B6">
        <w:rPr>
          <w:szCs w:val="22"/>
        </w:rPr>
        <w:t>(t)</w:t>
      </w:r>
      <w:r w:rsidRPr="00DC4C99">
        <w:rPr>
          <w:szCs w:val="22"/>
        </w:rPr>
        <w:t xml:space="preserve"> </w:t>
      </w:r>
      <w:r>
        <w:rPr>
          <w:szCs w:val="22"/>
        </w:rPr>
        <w:t>for</w:t>
      </w:r>
      <w:r w:rsidRPr="00930D54">
        <w:rPr>
          <w:szCs w:val="22"/>
        </w:rPr>
        <w:t xml:space="preserve"> the </w:t>
      </w:r>
      <w:r>
        <w:rPr>
          <w:szCs w:val="22"/>
        </w:rPr>
        <w:t xml:space="preserve">scenario 2 model </w:t>
      </w:r>
      <w:r w:rsidRPr="00B147B6">
        <w:rPr>
          <w:szCs w:val="22"/>
        </w:rPr>
        <w:t>for golden king crab in the EAG. Legal male biomass was estimated at the survey time and mature male biomass for year y was estimated on February 15, year y+1 after the year y fishery total catch removal. NA = not available.</w:t>
      </w:r>
      <w:r w:rsidRPr="00B147B6">
        <w:rPr>
          <w:snapToGrid w:val="0"/>
          <w:szCs w:val="22"/>
          <w:lang w:eastAsia="fr-FR"/>
        </w:rPr>
        <w:t xml:space="preserve"> 1985</w:t>
      </w:r>
      <w:r>
        <w:rPr>
          <w:snapToGrid w:val="0"/>
          <w:szCs w:val="22"/>
          <w:lang w:eastAsia="fr-FR"/>
        </w:rPr>
        <w:t xml:space="preserve"> refers to the</w:t>
      </w:r>
      <w:r w:rsidRPr="00B147B6">
        <w:rPr>
          <w:snapToGrid w:val="0"/>
          <w:szCs w:val="22"/>
          <w:lang w:eastAsia="fr-FR"/>
        </w:rPr>
        <w:t xml:space="preserve"> 1985/86 fishery.</w:t>
      </w:r>
    </w:p>
    <w:tbl>
      <w:tblPr>
        <w:tblStyle w:val="TableClassic1"/>
        <w:tblW w:w="0" w:type="auto"/>
        <w:tblLook w:val="01E0" w:firstRow="1" w:lastRow="1" w:firstColumn="1" w:lastColumn="1" w:noHBand="0" w:noVBand="0"/>
      </w:tblPr>
      <w:tblGrid>
        <w:gridCol w:w="717"/>
        <w:gridCol w:w="1667"/>
        <w:gridCol w:w="1684"/>
        <w:gridCol w:w="1346"/>
        <w:gridCol w:w="1534"/>
        <w:gridCol w:w="1620"/>
      </w:tblGrid>
      <w:tr w:rsidR="00B86BD8" w:rsidRPr="00057FD7" w:rsidTr="006B4EDE">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17" w:type="dxa"/>
            <w:vAlign w:val="bottom"/>
          </w:tcPr>
          <w:p w:rsidR="00B86BD8" w:rsidRPr="00057FD7" w:rsidRDefault="00B86BD8" w:rsidP="006B4EDE">
            <w:pPr>
              <w:spacing w:after="120" w:line="276" w:lineRule="auto"/>
              <w:jc w:val="center"/>
              <w:rPr>
                <w:b w:val="0"/>
                <w:iCs w:val="0"/>
              </w:rPr>
            </w:pPr>
            <w:r w:rsidRPr="00057FD7">
              <w:t>Year</w:t>
            </w:r>
          </w:p>
        </w:tc>
        <w:tc>
          <w:tcPr>
            <w:tcW w:w="1667" w:type="dxa"/>
            <w:vAlign w:val="bottom"/>
          </w:tcPr>
          <w:p w:rsidR="00B86BD8" w:rsidRPr="00057FD7" w:rsidRDefault="00B86BD8" w:rsidP="006B4EDE">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057FD7">
              <w:t>Recruits to the Model ( ≥ 101 mm CL)</w:t>
            </w:r>
          </w:p>
        </w:tc>
        <w:tc>
          <w:tcPr>
            <w:tcW w:w="1684" w:type="dxa"/>
            <w:vAlign w:val="bottom"/>
          </w:tcPr>
          <w:p w:rsidR="00B86BD8" w:rsidRPr="00057FD7" w:rsidRDefault="00B86BD8" w:rsidP="006B4EDE">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057FD7">
              <w:t>Mature Male Biomass</w:t>
            </w:r>
          </w:p>
          <w:p w:rsidR="00B86BD8" w:rsidRPr="00057FD7" w:rsidRDefault="00B86BD8" w:rsidP="006B4EDE">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057FD7">
              <w:t>( ≥ 121 mm CL)</w:t>
            </w:r>
          </w:p>
        </w:tc>
        <w:tc>
          <w:tcPr>
            <w:tcW w:w="1346" w:type="dxa"/>
            <w:vAlign w:val="bottom"/>
          </w:tcPr>
          <w:p w:rsidR="00B86BD8" w:rsidRPr="00057FD7" w:rsidRDefault="00B86BD8" w:rsidP="006B4EDE">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057FD7">
              <w:t>Standard Deviation</w:t>
            </w:r>
          </w:p>
        </w:tc>
        <w:tc>
          <w:tcPr>
            <w:tcW w:w="1534" w:type="dxa"/>
            <w:vAlign w:val="bottom"/>
          </w:tcPr>
          <w:p w:rsidR="00B86BD8" w:rsidRPr="00057FD7" w:rsidRDefault="00B86BD8" w:rsidP="006B4EDE">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057FD7">
              <w:t>Legal Male Biomass ( ≥ 136 mm CL)</w:t>
            </w:r>
          </w:p>
        </w:tc>
        <w:tc>
          <w:tcPr>
            <w:cnfStyle w:val="000000001000" w:firstRow="0" w:lastRow="0" w:firstColumn="0" w:lastColumn="0" w:oddVBand="0" w:evenVBand="0" w:oddHBand="0" w:evenHBand="0" w:firstRowFirstColumn="0" w:firstRowLastColumn="1" w:lastRowFirstColumn="0" w:lastRowLastColumn="0"/>
            <w:tcW w:w="1620" w:type="dxa"/>
            <w:vAlign w:val="bottom"/>
          </w:tcPr>
          <w:p w:rsidR="00B86BD8" w:rsidRPr="00057FD7" w:rsidRDefault="00B86BD8" w:rsidP="006B4EDE">
            <w:pPr>
              <w:spacing w:after="120" w:line="276" w:lineRule="auto"/>
              <w:jc w:val="center"/>
              <w:rPr>
                <w:b w:val="0"/>
                <w:bCs w:val="0"/>
              </w:rPr>
            </w:pPr>
            <w:r w:rsidRPr="00057FD7">
              <w:t>Standard Deviation</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1985</w:t>
            </w:r>
          </w:p>
        </w:tc>
        <w:tc>
          <w:tcPr>
            <w:tcW w:w="1667" w:type="dxa"/>
          </w:tcPr>
          <w:p w:rsidR="00B86BD8" w:rsidRPr="00FE7A18" w:rsidRDefault="00B86BD8" w:rsidP="006B4EDE">
            <w:pPr>
              <w:spacing w:line="360" w:lineRule="auto"/>
              <w:jc w:val="right"/>
              <w:cnfStyle w:val="000000000000" w:firstRow="0" w:lastRow="0" w:firstColumn="0" w:lastColumn="0" w:oddVBand="0" w:evenVBand="0" w:oddHBand="0" w:evenHBand="0" w:firstRowFirstColumn="0" w:firstRowLastColumn="0" w:lastRowFirstColumn="0" w:lastRowLastColumn="0"/>
            </w:pPr>
            <w:r w:rsidRPr="00FE7A18">
              <w:t>NA</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5196</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894</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7268</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1007</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1986</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1.03</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4589</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557</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5485</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782</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1987</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1.14</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3953</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407</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5058</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398</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1988</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3.40</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2878</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380</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4423</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305</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1989</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1.09</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2617</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451</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3542</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283</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1990</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1.78</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2560</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411</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3135</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325</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1991</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2.65</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2202</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385</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3075</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316</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1992</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2.60</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2293</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531</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2798</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313</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1993</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1.02</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3097</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467</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2938</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408</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1994</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2.04</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2575</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402</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3650</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339</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1995</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1.55</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2136</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372</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3104</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308</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1996</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1.52</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2084</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374</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2604</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277</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1997</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1.72</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2100</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389</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2535</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291</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1998</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1.58</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2271</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435</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2572</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313</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1999</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1.61</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2497</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484</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2752</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359</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2000</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1.71</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2731</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521</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2995</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408</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2001</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1.35</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2987</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575</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3255</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445</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2002</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2.11</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3249</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630</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3487</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504</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2003</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1.43</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3847</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717</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3835</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562</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2004</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1.14</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4114</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746</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4425</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632</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2005</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1.57</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4020</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772</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4626</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683</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2006</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1.48</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4064</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822</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4539</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720</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2007</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1.43</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4138</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860</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4595</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761</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2008</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1.61</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4135</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918</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4671</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804</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2009</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2.07</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4271</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994</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4688</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870</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2010</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1.45</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4750</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1021</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4908</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927</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b/>
                <w:snapToGrid w:val="0"/>
                <w:lang w:eastAsia="fr-FR"/>
              </w:rPr>
            </w:pPr>
            <w:r w:rsidRPr="006D4EA3">
              <w:rPr>
                <w:snapToGrid w:val="0"/>
                <w:lang w:eastAsia="fr-FR"/>
              </w:rPr>
              <w:t>2011</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0.95</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4815</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1022</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5376</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943</w:t>
            </w:r>
          </w:p>
        </w:tc>
      </w:tr>
      <w:tr w:rsidR="00B86BD8" w:rsidRPr="00E731FB" w:rsidTr="006B4EDE">
        <w:trPr>
          <w:trHeight w:val="317"/>
        </w:trPr>
        <w:tc>
          <w:tcPr>
            <w:cnfStyle w:val="001000000000" w:firstRow="0" w:lastRow="0" w:firstColumn="1" w:lastColumn="0" w:oddVBand="0" w:evenVBand="0" w:oddHBand="0" w:evenHBand="0" w:firstRowFirstColumn="0" w:firstRowLastColumn="0" w:lastRowFirstColumn="0" w:lastRowLastColumn="0"/>
            <w:tcW w:w="717" w:type="dxa"/>
          </w:tcPr>
          <w:p w:rsidR="00B86BD8" w:rsidRPr="006D4EA3" w:rsidRDefault="00B86BD8" w:rsidP="006B4EDE">
            <w:pPr>
              <w:widowControl w:val="0"/>
              <w:spacing w:line="360" w:lineRule="auto"/>
              <w:jc w:val="both"/>
              <w:rPr>
                <w:snapToGrid w:val="0"/>
                <w:lang w:eastAsia="fr-FR"/>
              </w:rPr>
            </w:pPr>
            <w:r w:rsidRPr="006D4EA3">
              <w:rPr>
                <w:snapToGrid w:val="0"/>
                <w:lang w:eastAsia="fr-FR"/>
              </w:rPr>
              <w:t>2012</w:t>
            </w:r>
          </w:p>
        </w:tc>
        <w:tc>
          <w:tcPr>
            <w:tcW w:w="1667"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1.94</w:t>
            </w:r>
          </w:p>
        </w:tc>
        <w:tc>
          <w:tcPr>
            <w:tcW w:w="168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4432</w:t>
            </w:r>
          </w:p>
        </w:tc>
        <w:tc>
          <w:tcPr>
            <w:tcW w:w="1346"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1074</w:t>
            </w:r>
          </w:p>
        </w:tc>
        <w:tc>
          <w:tcPr>
            <w:tcW w:w="1534"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5336</w:t>
            </w:r>
          </w:p>
        </w:tc>
        <w:tc>
          <w:tcPr>
            <w:tcW w:w="1620" w:type="dxa"/>
            <w:vAlign w:val="bottom"/>
          </w:tcPr>
          <w:p w:rsidR="00B86BD8" w:rsidRPr="00FE7A18" w:rsidRDefault="00B86BD8">
            <w:pPr>
              <w:jc w:val="right"/>
              <w:cnfStyle w:val="000000000000" w:firstRow="0" w:lastRow="0" w:firstColumn="0" w:lastColumn="0" w:oddVBand="0" w:evenVBand="0" w:oddHBand="0" w:evenHBand="0" w:firstRowFirstColumn="0" w:firstRowLastColumn="0" w:lastRowFirstColumn="0" w:lastRowLastColumn="0"/>
            </w:pPr>
            <w:r w:rsidRPr="00FE7A18">
              <w:t>979</w:t>
            </w:r>
          </w:p>
        </w:tc>
      </w:tr>
      <w:tr w:rsidR="00B86BD8" w:rsidRPr="00E731FB" w:rsidTr="006B4EDE">
        <w:trPr>
          <w:cnfStyle w:val="010000000000" w:firstRow="0" w:lastRow="1" w:firstColumn="0" w:lastColumn="0" w:oddVBand="0" w:evenVBand="0" w:oddHBand="0" w:evenHBand="0" w:firstRowFirstColumn="0" w:firstRowLastColumn="0" w:lastRowFirstColumn="0" w:lastRowLastColumn="0"/>
          <w:trHeight w:val="317"/>
        </w:trPr>
        <w:tc>
          <w:tcPr>
            <w:cnfStyle w:val="001000000001" w:firstRow="0" w:lastRow="0" w:firstColumn="1" w:lastColumn="0" w:oddVBand="0" w:evenVBand="0" w:oddHBand="0" w:evenHBand="0" w:firstRowFirstColumn="0" w:firstRowLastColumn="0" w:lastRowFirstColumn="1" w:lastRowLastColumn="0"/>
            <w:tcW w:w="717" w:type="dxa"/>
          </w:tcPr>
          <w:p w:rsidR="00B86BD8" w:rsidRPr="006D4EA3" w:rsidRDefault="00B86BD8" w:rsidP="006B4EDE">
            <w:pPr>
              <w:widowControl w:val="0"/>
              <w:spacing w:line="360" w:lineRule="auto"/>
              <w:jc w:val="both"/>
              <w:rPr>
                <w:b w:val="0"/>
                <w:snapToGrid w:val="0"/>
                <w:lang w:eastAsia="fr-FR"/>
              </w:rPr>
            </w:pPr>
            <w:r w:rsidRPr="006D4EA3">
              <w:rPr>
                <w:b w:val="0"/>
                <w:snapToGrid w:val="0"/>
                <w:lang w:eastAsia="fr-FR"/>
              </w:rPr>
              <w:t>2013</w:t>
            </w:r>
          </w:p>
        </w:tc>
        <w:tc>
          <w:tcPr>
            <w:tcW w:w="1667" w:type="dxa"/>
            <w:vAlign w:val="bottom"/>
          </w:tcPr>
          <w:p w:rsidR="00B86BD8" w:rsidRPr="00FE7A18" w:rsidRDefault="00B86BD8">
            <w:pPr>
              <w:jc w:val="right"/>
              <w:cnfStyle w:val="010000000000" w:firstRow="0" w:lastRow="1" w:firstColumn="0" w:lastColumn="0" w:oddVBand="0" w:evenVBand="0" w:oddHBand="0" w:evenHBand="0" w:firstRowFirstColumn="0" w:firstRowLastColumn="0" w:lastRowFirstColumn="0" w:lastRowLastColumn="0"/>
            </w:pPr>
            <w:r w:rsidRPr="00FE7A18">
              <w:t>1.59</w:t>
            </w:r>
          </w:p>
        </w:tc>
        <w:tc>
          <w:tcPr>
            <w:tcW w:w="1684" w:type="dxa"/>
            <w:vAlign w:val="bottom"/>
          </w:tcPr>
          <w:p w:rsidR="00B86BD8" w:rsidRPr="00FE7A18" w:rsidRDefault="00B86BD8">
            <w:pPr>
              <w:jc w:val="right"/>
              <w:cnfStyle w:val="010000000000" w:firstRow="0" w:lastRow="1" w:firstColumn="0" w:lastColumn="0" w:oddVBand="0" w:evenVBand="0" w:oddHBand="0" w:evenHBand="0" w:firstRowFirstColumn="0" w:firstRowLastColumn="0" w:lastRowFirstColumn="0" w:lastRowLastColumn="0"/>
            </w:pPr>
            <w:r w:rsidRPr="00FE7A18">
              <w:t>5327</w:t>
            </w:r>
          </w:p>
        </w:tc>
        <w:tc>
          <w:tcPr>
            <w:tcW w:w="1346" w:type="dxa"/>
            <w:vAlign w:val="bottom"/>
          </w:tcPr>
          <w:p w:rsidR="00B86BD8" w:rsidRPr="00FE7A18" w:rsidRDefault="00B86BD8">
            <w:pPr>
              <w:jc w:val="right"/>
              <w:cnfStyle w:val="010000000000" w:firstRow="0" w:lastRow="1" w:firstColumn="0" w:lastColumn="0" w:oddVBand="0" w:evenVBand="0" w:oddHBand="0" w:evenHBand="0" w:firstRowFirstColumn="0" w:firstRowLastColumn="0" w:lastRowFirstColumn="0" w:lastRowLastColumn="0"/>
            </w:pPr>
            <w:r w:rsidRPr="00FE7A18">
              <w:t>2820</w:t>
            </w:r>
          </w:p>
        </w:tc>
        <w:tc>
          <w:tcPr>
            <w:tcW w:w="1534" w:type="dxa"/>
            <w:vAlign w:val="bottom"/>
          </w:tcPr>
          <w:p w:rsidR="00B86BD8" w:rsidRPr="00FE7A18" w:rsidRDefault="00B86BD8">
            <w:pPr>
              <w:jc w:val="right"/>
              <w:cnfStyle w:val="010000000000" w:firstRow="0" w:lastRow="1" w:firstColumn="0" w:lastColumn="0" w:oddVBand="0" w:evenVBand="0" w:oddHBand="0" w:evenHBand="0" w:firstRowFirstColumn="0" w:firstRowLastColumn="0" w:lastRowFirstColumn="0" w:lastRowLastColumn="0"/>
            </w:pPr>
            <w:r w:rsidRPr="00FE7A18">
              <w:t>4990</w:t>
            </w:r>
          </w:p>
        </w:tc>
        <w:tc>
          <w:tcPr>
            <w:tcW w:w="1620" w:type="dxa"/>
            <w:vAlign w:val="bottom"/>
          </w:tcPr>
          <w:p w:rsidR="00B86BD8" w:rsidRPr="00FE7A18" w:rsidRDefault="00B86BD8">
            <w:pPr>
              <w:jc w:val="right"/>
              <w:cnfStyle w:val="010000000000" w:firstRow="0" w:lastRow="1" w:firstColumn="0" w:lastColumn="0" w:oddVBand="0" w:evenVBand="0" w:oddHBand="0" w:evenHBand="0" w:firstRowFirstColumn="0" w:firstRowLastColumn="0" w:lastRowFirstColumn="0" w:lastRowLastColumn="0"/>
            </w:pPr>
            <w:r w:rsidRPr="00FE7A18">
              <w:t>1092</w:t>
            </w:r>
          </w:p>
        </w:tc>
      </w:tr>
    </w:tbl>
    <w:p w:rsidR="00B86BD8" w:rsidRDefault="00B86BD8" w:rsidP="003477A0">
      <w:r>
        <w:br w:type="page"/>
      </w:r>
    </w:p>
    <w:p w:rsidR="00B86BD8" w:rsidRDefault="00B86BD8" w:rsidP="003477A0">
      <w:r>
        <w:lastRenderedPageBreak/>
        <w:t xml:space="preserve">Table 11. Likelihood values of the fits for scenarios 1 and 2 </w:t>
      </w:r>
      <w:r w:rsidRPr="00B147B6">
        <w:rPr>
          <w:szCs w:val="22"/>
        </w:rPr>
        <w:t>for golden king crab in the EAG</w:t>
      </w:r>
      <w:r>
        <w:t xml:space="preserve">. </w:t>
      </w:r>
    </w:p>
    <w:p w:rsidR="00B86BD8" w:rsidRPr="003477A0" w:rsidRDefault="00B86BD8" w:rsidP="003477A0">
      <w:pPr>
        <w:rPr>
          <w:bCs/>
          <w:color w:val="000000" w:themeColor="text1"/>
          <w:sz w:val="22"/>
          <w:szCs w:val="18"/>
        </w:rPr>
      </w:pPr>
    </w:p>
    <w:tbl>
      <w:tblPr>
        <w:tblStyle w:val="TableGrid"/>
        <w:tblW w:w="5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1725"/>
        <w:gridCol w:w="1724"/>
      </w:tblGrid>
      <w:tr w:rsidR="00B86BD8" w:rsidTr="00E5297D">
        <w:tc>
          <w:tcPr>
            <w:tcW w:w="1963" w:type="dxa"/>
            <w:tcBorders>
              <w:top w:val="single" w:sz="4" w:space="0" w:color="auto"/>
            </w:tcBorders>
          </w:tcPr>
          <w:p w:rsidR="00B86BD8" w:rsidRDefault="00B86BD8" w:rsidP="003A290F">
            <w:pPr>
              <w:pStyle w:val="Caption"/>
              <w:keepNext/>
            </w:pPr>
            <w:r>
              <w:t>Likelihood Component</w:t>
            </w:r>
          </w:p>
        </w:tc>
        <w:tc>
          <w:tcPr>
            <w:tcW w:w="1725" w:type="dxa"/>
            <w:tcBorders>
              <w:top w:val="single" w:sz="4" w:space="0" w:color="auto"/>
            </w:tcBorders>
          </w:tcPr>
          <w:p w:rsidR="00B86BD8" w:rsidRDefault="00B86BD8" w:rsidP="003A290F">
            <w:pPr>
              <w:pStyle w:val="Caption"/>
              <w:keepNext/>
              <w:jc w:val="right"/>
            </w:pPr>
            <w:r>
              <w:t>Scenario 1</w:t>
            </w:r>
          </w:p>
        </w:tc>
        <w:tc>
          <w:tcPr>
            <w:tcW w:w="1724" w:type="dxa"/>
            <w:tcBorders>
              <w:top w:val="single" w:sz="4" w:space="0" w:color="auto"/>
            </w:tcBorders>
          </w:tcPr>
          <w:p w:rsidR="00B86BD8" w:rsidRDefault="00B86BD8" w:rsidP="003A290F">
            <w:pPr>
              <w:pStyle w:val="Caption"/>
              <w:keepNext/>
              <w:jc w:val="right"/>
            </w:pPr>
            <w:r>
              <w:t>Scenario 2</w:t>
            </w:r>
          </w:p>
        </w:tc>
      </w:tr>
      <w:tr w:rsidR="00B86BD8" w:rsidRPr="005D1A7D" w:rsidTr="00E5297D">
        <w:tc>
          <w:tcPr>
            <w:tcW w:w="1963" w:type="dxa"/>
            <w:vAlign w:val="bottom"/>
          </w:tcPr>
          <w:p w:rsidR="00B86BD8" w:rsidRPr="005D1A7D" w:rsidRDefault="00B86BD8" w:rsidP="006B4EDE">
            <w:r w:rsidRPr="005D1A7D">
              <w:t>like_retlencomp</w:t>
            </w:r>
          </w:p>
        </w:tc>
        <w:tc>
          <w:tcPr>
            <w:tcW w:w="1725" w:type="dxa"/>
            <w:vAlign w:val="bottom"/>
          </w:tcPr>
          <w:p w:rsidR="00B86BD8" w:rsidRPr="004B7CDB" w:rsidRDefault="00B86BD8" w:rsidP="006B4EDE">
            <w:pPr>
              <w:jc w:val="right"/>
            </w:pPr>
            <w:r w:rsidRPr="00E5297D">
              <w:t>-564.70</w:t>
            </w:r>
          </w:p>
        </w:tc>
        <w:tc>
          <w:tcPr>
            <w:tcW w:w="1724" w:type="dxa"/>
            <w:vAlign w:val="bottom"/>
          </w:tcPr>
          <w:p w:rsidR="00B86BD8" w:rsidRPr="004B7CDB" w:rsidRDefault="00B86BD8" w:rsidP="006B4EDE">
            <w:pPr>
              <w:jc w:val="right"/>
            </w:pPr>
            <w:r w:rsidRPr="00E5297D">
              <w:t>-558.08</w:t>
            </w:r>
          </w:p>
        </w:tc>
      </w:tr>
      <w:tr w:rsidR="00B86BD8" w:rsidRPr="005D1A7D" w:rsidTr="00E5297D">
        <w:tc>
          <w:tcPr>
            <w:tcW w:w="1963" w:type="dxa"/>
            <w:vAlign w:val="bottom"/>
          </w:tcPr>
          <w:p w:rsidR="00B86BD8" w:rsidRPr="005D1A7D" w:rsidRDefault="00B86BD8" w:rsidP="006B4EDE">
            <w:r w:rsidRPr="005D1A7D">
              <w:t>like_totallencomp</w:t>
            </w:r>
          </w:p>
        </w:tc>
        <w:tc>
          <w:tcPr>
            <w:tcW w:w="1725" w:type="dxa"/>
            <w:vAlign w:val="bottom"/>
          </w:tcPr>
          <w:p w:rsidR="00B86BD8" w:rsidRPr="004B7CDB" w:rsidRDefault="00B86BD8" w:rsidP="006B4EDE">
            <w:pPr>
              <w:jc w:val="right"/>
            </w:pPr>
            <w:r w:rsidRPr="00E5297D">
              <w:t>-598.91</w:t>
            </w:r>
          </w:p>
        </w:tc>
        <w:tc>
          <w:tcPr>
            <w:tcW w:w="1724" w:type="dxa"/>
            <w:vAlign w:val="bottom"/>
          </w:tcPr>
          <w:p w:rsidR="00B86BD8" w:rsidRPr="004B7CDB" w:rsidRDefault="00B86BD8" w:rsidP="006B4EDE">
            <w:pPr>
              <w:jc w:val="right"/>
            </w:pPr>
            <w:r w:rsidRPr="00E5297D">
              <w:t>-599.77</w:t>
            </w:r>
          </w:p>
        </w:tc>
      </w:tr>
      <w:tr w:rsidR="00B86BD8" w:rsidRPr="005D1A7D" w:rsidTr="00E5297D">
        <w:tc>
          <w:tcPr>
            <w:tcW w:w="1963" w:type="dxa"/>
            <w:vAlign w:val="bottom"/>
          </w:tcPr>
          <w:p w:rsidR="00B86BD8" w:rsidRPr="005D1A7D" w:rsidRDefault="00B86BD8" w:rsidP="006B4EDE">
            <w:r w:rsidRPr="005D1A7D">
              <w:t>like_gdiscdlencomp</w:t>
            </w:r>
          </w:p>
        </w:tc>
        <w:tc>
          <w:tcPr>
            <w:tcW w:w="1725" w:type="dxa"/>
            <w:vAlign w:val="bottom"/>
          </w:tcPr>
          <w:p w:rsidR="00B86BD8" w:rsidRPr="004B7CDB" w:rsidRDefault="00B86BD8" w:rsidP="006B4EDE">
            <w:pPr>
              <w:jc w:val="right"/>
            </w:pPr>
            <w:r w:rsidRPr="00E5297D">
              <w:t>-311.26</w:t>
            </w:r>
          </w:p>
        </w:tc>
        <w:tc>
          <w:tcPr>
            <w:tcW w:w="1724" w:type="dxa"/>
            <w:vAlign w:val="bottom"/>
          </w:tcPr>
          <w:p w:rsidR="00B86BD8" w:rsidRPr="004B7CDB" w:rsidRDefault="00B86BD8" w:rsidP="006B4EDE">
            <w:pPr>
              <w:jc w:val="right"/>
            </w:pPr>
            <w:r w:rsidRPr="00E5297D">
              <w:t>-313.85</w:t>
            </w:r>
          </w:p>
        </w:tc>
      </w:tr>
      <w:tr w:rsidR="00B86BD8" w:rsidRPr="005D1A7D" w:rsidTr="00E5297D">
        <w:tc>
          <w:tcPr>
            <w:tcW w:w="1963" w:type="dxa"/>
            <w:vAlign w:val="bottom"/>
          </w:tcPr>
          <w:p w:rsidR="00B86BD8" w:rsidRPr="005D1A7D" w:rsidRDefault="00B86BD8" w:rsidP="006B4EDE">
            <w:r w:rsidRPr="005D1A7D">
              <w:t>like_retcpue</w:t>
            </w:r>
          </w:p>
        </w:tc>
        <w:tc>
          <w:tcPr>
            <w:tcW w:w="1725" w:type="dxa"/>
            <w:vAlign w:val="bottom"/>
          </w:tcPr>
          <w:p w:rsidR="00B86BD8" w:rsidRPr="004B7CDB" w:rsidRDefault="00B86BD8" w:rsidP="006B4EDE">
            <w:pPr>
              <w:jc w:val="right"/>
            </w:pPr>
            <w:r w:rsidRPr="00E5297D">
              <w:t>-11.19</w:t>
            </w:r>
          </w:p>
        </w:tc>
        <w:tc>
          <w:tcPr>
            <w:tcW w:w="1724" w:type="dxa"/>
            <w:vAlign w:val="bottom"/>
          </w:tcPr>
          <w:p w:rsidR="00B86BD8" w:rsidRPr="004B7CDB" w:rsidRDefault="00B86BD8" w:rsidP="006B4EDE">
            <w:pPr>
              <w:jc w:val="right"/>
            </w:pPr>
            <w:r w:rsidRPr="00E5297D">
              <w:t>-13.90</w:t>
            </w:r>
          </w:p>
        </w:tc>
      </w:tr>
      <w:tr w:rsidR="00B86BD8" w:rsidRPr="005D1A7D" w:rsidTr="00E5297D">
        <w:tc>
          <w:tcPr>
            <w:tcW w:w="1963" w:type="dxa"/>
            <w:vAlign w:val="bottom"/>
          </w:tcPr>
          <w:p w:rsidR="00B86BD8" w:rsidRPr="005D1A7D" w:rsidRDefault="00B86BD8" w:rsidP="006B4EDE">
            <w:r w:rsidRPr="005D1A7D">
              <w:t>like_retdcatchB</w:t>
            </w:r>
          </w:p>
        </w:tc>
        <w:tc>
          <w:tcPr>
            <w:tcW w:w="1725" w:type="dxa"/>
            <w:vAlign w:val="bottom"/>
          </w:tcPr>
          <w:p w:rsidR="00B86BD8" w:rsidRPr="004B7CDB" w:rsidRDefault="00B86BD8" w:rsidP="006B4EDE">
            <w:pPr>
              <w:jc w:val="right"/>
            </w:pPr>
            <w:r w:rsidRPr="00E5297D">
              <w:t>3.24</w:t>
            </w:r>
          </w:p>
        </w:tc>
        <w:tc>
          <w:tcPr>
            <w:tcW w:w="1724" w:type="dxa"/>
            <w:vAlign w:val="bottom"/>
          </w:tcPr>
          <w:p w:rsidR="00B86BD8" w:rsidRPr="004B7CDB" w:rsidRDefault="00B86BD8" w:rsidP="006B4EDE">
            <w:pPr>
              <w:jc w:val="right"/>
            </w:pPr>
            <w:r w:rsidRPr="00E5297D">
              <w:t>2.99</w:t>
            </w:r>
          </w:p>
        </w:tc>
      </w:tr>
      <w:tr w:rsidR="00B86BD8" w:rsidRPr="005D1A7D" w:rsidTr="00E5297D">
        <w:tc>
          <w:tcPr>
            <w:tcW w:w="1963" w:type="dxa"/>
            <w:vAlign w:val="bottom"/>
          </w:tcPr>
          <w:p w:rsidR="00B86BD8" w:rsidRPr="005D1A7D" w:rsidRDefault="00B86BD8" w:rsidP="006B4EDE">
            <w:r w:rsidRPr="005D1A7D">
              <w:t>like_totalcatchB</w:t>
            </w:r>
          </w:p>
        </w:tc>
        <w:tc>
          <w:tcPr>
            <w:tcW w:w="1725" w:type="dxa"/>
            <w:vAlign w:val="bottom"/>
          </w:tcPr>
          <w:p w:rsidR="00B86BD8" w:rsidRPr="004B7CDB" w:rsidRDefault="00B86BD8" w:rsidP="006B4EDE">
            <w:pPr>
              <w:jc w:val="right"/>
            </w:pPr>
            <w:r w:rsidRPr="00E5297D">
              <w:t>38.28</w:t>
            </w:r>
          </w:p>
        </w:tc>
        <w:tc>
          <w:tcPr>
            <w:tcW w:w="1724" w:type="dxa"/>
            <w:vAlign w:val="bottom"/>
          </w:tcPr>
          <w:p w:rsidR="00B86BD8" w:rsidRPr="004B7CDB" w:rsidRDefault="00B86BD8" w:rsidP="006B4EDE">
            <w:pPr>
              <w:jc w:val="right"/>
            </w:pPr>
            <w:r w:rsidRPr="00E5297D">
              <w:t>33.31</w:t>
            </w:r>
          </w:p>
        </w:tc>
      </w:tr>
      <w:tr w:rsidR="00B86BD8" w:rsidRPr="005D1A7D" w:rsidTr="00E5297D">
        <w:tc>
          <w:tcPr>
            <w:tcW w:w="1963" w:type="dxa"/>
            <w:vAlign w:val="bottom"/>
          </w:tcPr>
          <w:p w:rsidR="00B86BD8" w:rsidRPr="005D1A7D" w:rsidRDefault="00B86BD8" w:rsidP="006B4EDE">
            <w:r w:rsidRPr="005D1A7D">
              <w:t>like_gdiscdcatchB</w:t>
            </w:r>
          </w:p>
        </w:tc>
        <w:tc>
          <w:tcPr>
            <w:tcW w:w="1725" w:type="dxa"/>
            <w:vAlign w:val="bottom"/>
          </w:tcPr>
          <w:p w:rsidR="00B86BD8" w:rsidRPr="004B7CDB" w:rsidRDefault="00B86BD8" w:rsidP="006B4EDE">
            <w:pPr>
              <w:jc w:val="right"/>
            </w:pPr>
            <w:r w:rsidRPr="004B7CDB">
              <w:t>0.000019</w:t>
            </w:r>
          </w:p>
        </w:tc>
        <w:tc>
          <w:tcPr>
            <w:tcW w:w="1724" w:type="dxa"/>
            <w:vAlign w:val="bottom"/>
          </w:tcPr>
          <w:p w:rsidR="00B86BD8" w:rsidRPr="004B7CDB" w:rsidRDefault="00B86BD8" w:rsidP="006B4EDE">
            <w:pPr>
              <w:jc w:val="right"/>
            </w:pPr>
            <w:r w:rsidRPr="004B7CDB">
              <w:t>0.0000025</w:t>
            </w:r>
          </w:p>
        </w:tc>
      </w:tr>
      <w:tr w:rsidR="00B86BD8" w:rsidRPr="005D1A7D" w:rsidTr="00E5297D">
        <w:tc>
          <w:tcPr>
            <w:tcW w:w="1963" w:type="dxa"/>
            <w:vAlign w:val="bottom"/>
          </w:tcPr>
          <w:p w:rsidR="00B86BD8" w:rsidRPr="005D1A7D" w:rsidRDefault="00B86BD8" w:rsidP="006B4EDE">
            <w:r w:rsidRPr="005D1A7D">
              <w:t>like_rec_dev</w:t>
            </w:r>
          </w:p>
        </w:tc>
        <w:tc>
          <w:tcPr>
            <w:tcW w:w="1725" w:type="dxa"/>
            <w:vAlign w:val="bottom"/>
          </w:tcPr>
          <w:p w:rsidR="00B86BD8" w:rsidRPr="004B7CDB" w:rsidRDefault="00B86BD8" w:rsidP="006B4EDE">
            <w:pPr>
              <w:jc w:val="right"/>
            </w:pPr>
            <w:r w:rsidRPr="004B7CDB">
              <w:t>8.37</w:t>
            </w:r>
          </w:p>
        </w:tc>
        <w:tc>
          <w:tcPr>
            <w:tcW w:w="1724" w:type="dxa"/>
            <w:vAlign w:val="bottom"/>
          </w:tcPr>
          <w:p w:rsidR="00B86BD8" w:rsidRPr="004B7CDB" w:rsidRDefault="00B86BD8" w:rsidP="006B4EDE">
            <w:pPr>
              <w:jc w:val="right"/>
            </w:pPr>
            <w:r w:rsidRPr="004B7CDB">
              <w:t>3.64</w:t>
            </w:r>
          </w:p>
        </w:tc>
      </w:tr>
      <w:tr w:rsidR="00B86BD8" w:rsidRPr="005D1A7D" w:rsidTr="00E5297D">
        <w:tc>
          <w:tcPr>
            <w:tcW w:w="1963" w:type="dxa"/>
            <w:vAlign w:val="bottom"/>
          </w:tcPr>
          <w:p w:rsidR="00B86BD8" w:rsidRPr="005D1A7D" w:rsidRDefault="00B86BD8" w:rsidP="006B4EDE">
            <w:r w:rsidRPr="005D1A7D">
              <w:t>like_F</w:t>
            </w:r>
          </w:p>
        </w:tc>
        <w:tc>
          <w:tcPr>
            <w:tcW w:w="1725" w:type="dxa"/>
            <w:vAlign w:val="bottom"/>
          </w:tcPr>
          <w:p w:rsidR="00B86BD8" w:rsidRPr="004B7CDB" w:rsidRDefault="00B86BD8" w:rsidP="006B4EDE">
            <w:pPr>
              <w:jc w:val="right"/>
            </w:pPr>
            <w:r w:rsidRPr="004B7CDB">
              <w:t>0.000115</w:t>
            </w:r>
          </w:p>
        </w:tc>
        <w:tc>
          <w:tcPr>
            <w:tcW w:w="1724" w:type="dxa"/>
            <w:vAlign w:val="bottom"/>
          </w:tcPr>
          <w:p w:rsidR="00B86BD8" w:rsidRPr="004B7CDB" w:rsidRDefault="00B86BD8" w:rsidP="006B4EDE">
            <w:pPr>
              <w:jc w:val="right"/>
            </w:pPr>
            <w:r w:rsidRPr="004B7CDB">
              <w:t>0.000060</w:t>
            </w:r>
          </w:p>
        </w:tc>
      </w:tr>
      <w:tr w:rsidR="00B86BD8" w:rsidRPr="005D1A7D" w:rsidTr="00E5297D">
        <w:tc>
          <w:tcPr>
            <w:tcW w:w="1963" w:type="dxa"/>
            <w:vAlign w:val="bottom"/>
          </w:tcPr>
          <w:p w:rsidR="00B86BD8" w:rsidRPr="005D1A7D" w:rsidRDefault="00B86BD8" w:rsidP="006B4EDE">
            <w:r w:rsidRPr="005D1A7D">
              <w:t>like_gF</w:t>
            </w:r>
          </w:p>
        </w:tc>
        <w:tc>
          <w:tcPr>
            <w:tcW w:w="1725" w:type="dxa"/>
            <w:vAlign w:val="bottom"/>
          </w:tcPr>
          <w:p w:rsidR="00B86BD8" w:rsidRPr="004B7CDB" w:rsidRDefault="00B86BD8" w:rsidP="006B4EDE">
            <w:pPr>
              <w:jc w:val="right"/>
            </w:pPr>
            <w:r w:rsidRPr="004B7CDB">
              <w:t>0.01</w:t>
            </w:r>
          </w:p>
        </w:tc>
        <w:tc>
          <w:tcPr>
            <w:tcW w:w="1724" w:type="dxa"/>
            <w:vAlign w:val="bottom"/>
          </w:tcPr>
          <w:p w:rsidR="00B86BD8" w:rsidRPr="004B7CDB" w:rsidRDefault="00B86BD8" w:rsidP="006B4EDE">
            <w:pPr>
              <w:jc w:val="right"/>
            </w:pPr>
            <w:r w:rsidRPr="004B7CDB">
              <w:t>0.01</w:t>
            </w:r>
          </w:p>
        </w:tc>
      </w:tr>
      <w:tr w:rsidR="00B86BD8" w:rsidRPr="005D1A7D" w:rsidTr="00E5297D">
        <w:tc>
          <w:tcPr>
            <w:tcW w:w="1963" w:type="dxa"/>
            <w:vAlign w:val="bottom"/>
          </w:tcPr>
          <w:p w:rsidR="00B86BD8" w:rsidRPr="005D1A7D" w:rsidRDefault="00B86BD8" w:rsidP="006B4EDE">
            <w:r w:rsidRPr="005D1A7D">
              <w:t>like_LLyr</w:t>
            </w:r>
          </w:p>
        </w:tc>
        <w:tc>
          <w:tcPr>
            <w:tcW w:w="1725" w:type="dxa"/>
            <w:vAlign w:val="bottom"/>
          </w:tcPr>
          <w:p w:rsidR="00B86BD8" w:rsidRPr="004B7CDB" w:rsidRDefault="00B86BD8" w:rsidP="006B4EDE">
            <w:pPr>
              <w:jc w:val="right"/>
            </w:pPr>
            <w:r w:rsidRPr="004B7CDB">
              <w:t>4.27</w:t>
            </w:r>
          </w:p>
        </w:tc>
        <w:tc>
          <w:tcPr>
            <w:tcW w:w="1724" w:type="dxa"/>
            <w:vAlign w:val="bottom"/>
          </w:tcPr>
          <w:p w:rsidR="00B86BD8" w:rsidRPr="004B7CDB" w:rsidRDefault="00B86BD8" w:rsidP="006B4EDE">
            <w:pPr>
              <w:jc w:val="right"/>
            </w:pPr>
            <w:r w:rsidRPr="004B7CDB">
              <w:t>3.32</w:t>
            </w:r>
          </w:p>
        </w:tc>
      </w:tr>
      <w:tr w:rsidR="00B86BD8" w:rsidRPr="005D1A7D" w:rsidTr="00E5297D">
        <w:tc>
          <w:tcPr>
            <w:tcW w:w="1963" w:type="dxa"/>
            <w:vAlign w:val="bottom"/>
          </w:tcPr>
          <w:p w:rsidR="00B86BD8" w:rsidRPr="005D1A7D" w:rsidRDefault="00B86BD8" w:rsidP="006B4EDE">
            <w:r w:rsidRPr="005D1A7D">
              <w:t>like_meanFpot</w:t>
            </w:r>
          </w:p>
        </w:tc>
        <w:tc>
          <w:tcPr>
            <w:tcW w:w="1725" w:type="dxa"/>
            <w:vAlign w:val="bottom"/>
          </w:tcPr>
          <w:p w:rsidR="00B86BD8" w:rsidRPr="004B7CDB" w:rsidRDefault="00B86BD8" w:rsidP="006B4EDE">
            <w:pPr>
              <w:jc w:val="right"/>
            </w:pPr>
            <w:r w:rsidRPr="004B7CDB">
              <w:t>0.000006</w:t>
            </w:r>
          </w:p>
        </w:tc>
        <w:tc>
          <w:tcPr>
            <w:tcW w:w="1724" w:type="dxa"/>
            <w:vAlign w:val="bottom"/>
          </w:tcPr>
          <w:p w:rsidR="00B86BD8" w:rsidRPr="004B7CDB" w:rsidRDefault="00B86BD8" w:rsidP="006B4EDE">
            <w:pPr>
              <w:jc w:val="right"/>
            </w:pPr>
            <w:r w:rsidRPr="004B7CDB">
              <w:t>0.000008</w:t>
            </w:r>
          </w:p>
        </w:tc>
      </w:tr>
      <w:tr w:rsidR="00B86BD8" w:rsidRPr="005D1A7D" w:rsidTr="00E5297D">
        <w:tc>
          <w:tcPr>
            <w:tcW w:w="1963" w:type="dxa"/>
            <w:vAlign w:val="bottom"/>
          </w:tcPr>
          <w:p w:rsidR="00B86BD8" w:rsidRPr="005D1A7D" w:rsidRDefault="00B86BD8" w:rsidP="006B4EDE">
            <w:r w:rsidRPr="005D1A7D">
              <w:t>like_fpen</w:t>
            </w:r>
          </w:p>
        </w:tc>
        <w:tc>
          <w:tcPr>
            <w:tcW w:w="1725" w:type="dxa"/>
            <w:vAlign w:val="bottom"/>
          </w:tcPr>
          <w:p w:rsidR="00B86BD8" w:rsidRPr="004B7CDB" w:rsidRDefault="00B86BD8" w:rsidP="006B4EDE">
            <w:pPr>
              <w:jc w:val="right"/>
            </w:pPr>
            <w:r w:rsidRPr="004B7CDB">
              <w:t>0.000000</w:t>
            </w:r>
          </w:p>
        </w:tc>
        <w:tc>
          <w:tcPr>
            <w:tcW w:w="1724" w:type="dxa"/>
            <w:vAlign w:val="bottom"/>
          </w:tcPr>
          <w:p w:rsidR="00B86BD8" w:rsidRPr="004B7CDB" w:rsidRDefault="00B86BD8" w:rsidP="006B4EDE">
            <w:pPr>
              <w:jc w:val="right"/>
            </w:pPr>
            <w:r w:rsidRPr="004B7CDB">
              <w:t>0.000000</w:t>
            </w:r>
          </w:p>
        </w:tc>
      </w:tr>
      <w:tr w:rsidR="00B86BD8" w:rsidRPr="005D1A7D" w:rsidTr="00E5297D">
        <w:tc>
          <w:tcPr>
            <w:tcW w:w="1963" w:type="dxa"/>
            <w:vAlign w:val="bottom"/>
          </w:tcPr>
          <w:p w:rsidR="00B86BD8" w:rsidRPr="005D1A7D" w:rsidRDefault="00B86BD8" w:rsidP="006B4EDE">
            <w:r w:rsidRPr="005D1A7D">
              <w:t>like_finalF</w:t>
            </w:r>
          </w:p>
        </w:tc>
        <w:tc>
          <w:tcPr>
            <w:tcW w:w="1725" w:type="dxa"/>
            <w:vAlign w:val="bottom"/>
          </w:tcPr>
          <w:p w:rsidR="00B86BD8" w:rsidRPr="004B7CDB" w:rsidRDefault="00B86BD8" w:rsidP="006B4EDE">
            <w:pPr>
              <w:jc w:val="right"/>
            </w:pPr>
            <w:r w:rsidRPr="004B7CDB">
              <w:t>0.000000</w:t>
            </w:r>
          </w:p>
        </w:tc>
        <w:tc>
          <w:tcPr>
            <w:tcW w:w="1724" w:type="dxa"/>
            <w:vAlign w:val="bottom"/>
          </w:tcPr>
          <w:p w:rsidR="00B86BD8" w:rsidRPr="004B7CDB" w:rsidRDefault="00B86BD8" w:rsidP="006B4EDE">
            <w:pPr>
              <w:jc w:val="right"/>
            </w:pPr>
            <w:r w:rsidRPr="004B7CDB">
              <w:t>0.000000</w:t>
            </w:r>
          </w:p>
        </w:tc>
      </w:tr>
      <w:tr w:rsidR="00B86BD8" w:rsidRPr="005D1A7D" w:rsidTr="00E5297D">
        <w:trPr>
          <w:trHeight w:val="252"/>
        </w:trPr>
        <w:tc>
          <w:tcPr>
            <w:tcW w:w="1963" w:type="dxa"/>
            <w:tcBorders>
              <w:bottom w:val="single" w:sz="4" w:space="0" w:color="auto"/>
            </w:tcBorders>
            <w:vAlign w:val="bottom"/>
          </w:tcPr>
          <w:p w:rsidR="00B86BD8" w:rsidRPr="005D1A7D" w:rsidRDefault="00B86BD8" w:rsidP="006B4EDE">
            <w:r w:rsidRPr="005D1A7D">
              <w:t>Total</w:t>
            </w:r>
          </w:p>
        </w:tc>
        <w:tc>
          <w:tcPr>
            <w:tcW w:w="1725" w:type="dxa"/>
            <w:tcBorders>
              <w:bottom w:val="single" w:sz="4" w:space="0" w:color="auto"/>
            </w:tcBorders>
            <w:vAlign w:val="bottom"/>
          </w:tcPr>
          <w:p w:rsidR="00B86BD8" w:rsidRPr="004B7CDB" w:rsidRDefault="00B86BD8" w:rsidP="003A290F">
            <w:pPr>
              <w:jc w:val="right"/>
            </w:pPr>
            <w:r w:rsidRPr="004B7CDB">
              <w:t>-1437.87</w:t>
            </w:r>
          </w:p>
        </w:tc>
        <w:tc>
          <w:tcPr>
            <w:tcW w:w="1724" w:type="dxa"/>
            <w:tcBorders>
              <w:bottom w:val="single" w:sz="4" w:space="0" w:color="auto"/>
            </w:tcBorders>
            <w:vAlign w:val="bottom"/>
          </w:tcPr>
          <w:p w:rsidR="00B86BD8" w:rsidRPr="004B7CDB" w:rsidRDefault="00B86BD8">
            <w:pPr>
              <w:jc w:val="right"/>
            </w:pPr>
            <w:r w:rsidRPr="004B7CDB">
              <w:t>-1442.34</w:t>
            </w:r>
          </w:p>
        </w:tc>
      </w:tr>
    </w:tbl>
    <w:p w:rsidR="00B86BD8" w:rsidRPr="006F0B75" w:rsidRDefault="00B86BD8" w:rsidP="006B4EDE">
      <w:pPr>
        <w:pStyle w:val="Caption"/>
        <w:keepNext/>
        <w:jc w:val="both"/>
        <w:rPr>
          <w:sz w:val="18"/>
        </w:rPr>
      </w:pPr>
      <w:r>
        <w:br w:type="page"/>
      </w:r>
      <w:r>
        <w:lastRenderedPageBreak/>
        <w:t xml:space="preserve">Table 12. </w:t>
      </w:r>
      <w:r w:rsidRPr="004F22CA">
        <w:rPr>
          <w:snapToGrid w:val="0"/>
          <w:szCs w:val="22"/>
          <w:lang w:eastAsia="fr-FR"/>
        </w:rPr>
        <w:t xml:space="preserve">Time series of annual retained </w:t>
      </w:r>
      <w:r>
        <w:rPr>
          <w:snapToGrid w:val="0"/>
          <w:szCs w:val="22"/>
          <w:lang w:eastAsia="fr-FR"/>
        </w:rPr>
        <w:t xml:space="preserve">catch, total </w:t>
      </w:r>
      <w:r w:rsidRPr="004F22CA">
        <w:rPr>
          <w:snapToGrid w:val="0"/>
          <w:szCs w:val="22"/>
          <w:lang w:eastAsia="fr-FR"/>
        </w:rPr>
        <w:t>ca</w:t>
      </w:r>
      <w:r>
        <w:rPr>
          <w:snapToGrid w:val="0"/>
          <w:szCs w:val="22"/>
          <w:lang w:eastAsia="fr-FR"/>
        </w:rPr>
        <w:t xml:space="preserve">tch (number of crabs on the deck), pot fishery effort (number of pot lifts), and </w:t>
      </w:r>
      <w:r w:rsidRPr="004F22CA">
        <w:rPr>
          <w:snapToGrid w:val="0"/>
          <w:szCs w:val="22"/>
          <w:lang w:eastAsia="fr-FR"/>
        </w:rPr>
        <w:t>gr</w:t>
      </w:r>
      <w:r>
        <w:rPr>
          <w:snapToGrid w:val="0"/>
          <w:szCs w:val="22"/>
          <w:lang w:eastAsia="fr-FR"/>
        </w:rPr>
        <w:t>oundfish fishery discard mortality</w:t>
      </w:r>
      <w:r w:rsidRPr="004F22CA">
        <w:rPr>
          <w:snapToGrid w:val="0"/>
          <w:szCs w:val="22"/>
          <w:lang w:eastAsia="fr-FR"/>
        </w:rPr>
        <w:t xml:space="preserve"> (handling mortality </w:t>
      </w:r>
      <w:r>
        <w:rPr>
          <w:snapToGrid w:val="0"/>
          <w:szCs w:val="22"/>
          <w:lang w:eastAsia="fr-FR"/>
        </w:rPr>
        <w:t xml:space="preserve">rates </w:t>
      </w:r>
      <w:r w:rsidRPr="004F22CA">
        <w:rPr>
          <w:snapToGrid w:val="0"/>
          <w:szCs w:val="22"/>
          <w:lang w:eastAsia="fr-FR"/>
        </w:rPr>
        <w:t>of 50% for pot and 80% for trawl gear</w:t>
      </w:r>
      <w:r>
        <w:rPr>
          <w:snapToGrid w:val="0"/>
          <w:szCs w:val="22"/>
          <w:lang w:eastAsia="fr-FR"/>
        </w:rPr>
        <w:t xml:space="preserve"> were applied, only to the male portion) </w:t>
      </w:r>
      <w:r w:rsidRPr="004F22CA">
        <w:rPr>
          <w:snapToGrid w:val="0"/>
          <w:szCs w:val="22"/>
          <w:lang w:eastAsia="fr-FR"/>
        </w:rPr>
        <w:t xml:space="preserve">for the </w:t>
      </w:r>
      <w:r>
        <w:rPr>
          <w:snapToGrid w:val="0"/>
          <w:szCs w:val="22"/>
          <w:lang w:eastAsia="fr-FR"/>
        </w:rPr>
        <w:t>W</w:t>
      </w:r>
      <w:r w:rsidRPr="004F22CA">
        <w:rPr>
          <w:snapToGrid w:val="0"/>
          <w:szCs w:val="22"/>
          <w:lang w:eastAsia="fr-FR"/>
        </w:rPr>
        <w:t>AG</w:t>
      </w:r>
      <w:r w:rsidRPr="004F22CA">
        <w:rPr>
          <w:szCs w:val="22"/>
        </w:rPr>
        <w:t xml:space="preserve"> golden king crab stock</w:t>
      </w:r>
      <w:r w:rsidRPr="004F22CA">
        <w:rPr>
          <w:snapToGrid w:val="0"/>
          <w:szCs w:val="22"/>
          <w:lang w:eastAsia="fr-FR"/>
        </w:rPr>
        <w:t xml:space="preserve">. The </w:t>
      </w:r>
      <w:r>
        <w:rPr>
          <w:snapToGrid w:val="0"/>
          <w:szCs w:val="22"/>
          <w:lang w:eastAsia="fr-FR"/>
        </w:rPr>
        <w:t xml:space="preserve">crab numbers are </w:t>
      </w:r>
      <w:r w:rsidRPr="004F22CA">
        <w:rPr>
          <w:snapToGrid w:val="0"/>
          <w:szCs w:val="22"/>
          <w:lang w:eastAsia="fr-FR"/>
        </w:rPr>
        <w:t>for the size range 101</w:t>
      </w:r>
      <w:r>
        <w:rPr>
          <w:snapToGrid w:val="0"/>
          <w:szCs w:val="22"/>
          <w:lang w:eastAsia="fr-FR"/>
        </w:rPr>
        <w:t>–</w:t>
      </w:r>
      <w:r w:rsidRPr="004F22CA">
        <w:rPr>
          <w:snapToGrid w:val="0"/>
          <w:szCs w:val="22"/>
          <w:lang w:eastAsia="fr-FR"/>
        </w:rPr>
        <w:t xml:space="preserve">185 mm CL. </w:t>
      </w:r>
      <w:r w:rsidRPr="00664A9A">
        <w:rPr>
          <w:szCs w:val="22"/>
        </w:rPr>
        <w:t>1985</w:t>
      </w:r>
      <w:r w:rsidRPr="004F22CA">
        <w:rPr>
          <w:snapToGrid w:val="0"/>
          <w:szCs w:val="22"/>
          <w:lang w:eastAsia="fr-FR"/>
        </w:rPr>
        <w:t xml:space="preserve"> </w:t>
      </w:r>
      <w:r>
        <w:rPr>
          <w:snapToGrid w:val="0"/>
          <w:szCs w:val="22"/>
          <w:lang w:eastAsia="fr-FR"/>
        </w:rPr>
        <w:t xml:space="preserve">refers to the </w:t>
      </w:r>
      <w:r w:rsidRPr="004F22CA">
        <w:rPr>
          <w:snapToGrid w:val="0"/>
          <w:szCs w:val="22"/>
          <w:lang w:eastAsia="fr-FR"/>
        </w:rPr>
        <w:t>1985/86 fishery.</w:t>
      </w:r>
    </w:p>
    <w:tbl>
      <w:tblPr>
        <w:tblStyle w:val="TableClassic1"/>
        <w:tblW w:w="3572" w:type="pct"/>
        <w:tblLook w:val="01E0" w:firstRow="1" w:lastRow="1" w:firstColumn="1" w:lastColumn="1" w:noHBand="0" w:noVBand="0"/>
      </w:tblPr>
      <w:tblGrid>
        <w:gridCol w:w="923"/>
        <w:gridCol w:w="1482"/>
        <w:gridCol w:w="1310"/>
        <w:gridCol w:w="1306"/>
        <w:gridCol w:w="1306"/>
      </w:tblGrid>
      <w:tr w:rsidR="00B86BD8" w:rsidRPr="00926355" w:rsidTr="008161C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29" w:type="pct"/>
            <w:vAlign w:val="center"/>
          </w:tcPr>
          <w:p w:rsidR="00B86BD8" w:rsidRPr="00926355" w:rsidRDefault="00B86BD8" w:rsidP="003A290F">
            <w:pPr>
              <w:widowControl w:val="0"/>
              <w:spacing w:after="120" w:line="276" w:lineRule="auto"/>
              <w:jc w:val="center"/>
              <w:rPr>
                <w:snapToGrid w:val="0"/>
                <w:lang w:eastAsia="fr-FR"/>
              </w:rPr>
            </w:pPr>
            <w:r w:rsidRPr="00926355">
              <w:rPr>
                <w:snapToGrid w:val="0"/>
                <w:lang w:eastAsia="fr-FR"/>
              </w:rPr>
              <w:t>Year</w:t>
            </w:r>
          </w:p>
        </w:tc>
        <w:tc>
          <w:tcPr>
            <w:tcW w:w="1171" w:type="pct"/>
            <w:vAlign w:val="center"/>
          </w:tcPr>
          <w:p w:rsidR="00B86BD8" w:rsidRPr="00926355" w:rsidRDefault="00B86BD8" w:rsidP="003A290F">
            <w:pPr>
              <w:widowControl w:val="0"/>
              <w:spacing w:after="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sidRPr="00926355">
              <w:rPr>
                <w:snapToGrid w:val="0"/>
                <w:lang w:eastAsia="fr-FR"/>
              </w:rPr>
              <w:t>Retained Catch</w:t>
            </w:r>
          </w:p>
        </w:tc>
        <w:tc>
          <w:tcPr>
            <w:tcW w:w="1035" w:type="pct"/>
            <w:vAlign w:val="center"/>
          </w:tcPr>
          <w:p w:rsidR="00B86BD8" w:rsidRPr="00926355" w:rsidRDefault="00B86BD8" w:rsidP="003A290F">
            <w:pPr>
              <w:widowControl w:val="0"/>
              <w:spacing w:after="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sidRPr="00926355">
              <w:rPr>
                <w:snapToGrid w:val="0"/>
                <w:lang w:eastAsia="fr-FR"/>
              </w:rPr>
              <w:t>Total</w:t>
            </w:r>
          </w:p>
          <w:p w:rsidR="00B86BD8" w:rsidRPr="00926355" w:rsidRDefault="00B86BD8" w:rsidP="003A290F">
            <w:pPr>
              <w:widowControl w:val="0"/>
              <w:spacing w:after="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sidRPr="00926355">
              <w:rPr>
                <w:snapToGrid w:val="0"/>
                <w:lang w:eastAsia="fr-FR"/>
              </w:rPr>
              <w:t>Catch</w:t>
            </w:r>
          </w:p>
        </w:tc>
        <w:tc>
          <w:tcPr>
            <w:tcW w:w="1032" w:type="pct"/>
            <w:vAlign w:val="center"/>
          </w:tcPr>
          <w:p w:rsidR="00B86BD8" w:rsidRPr="00926355" w:rsidRDefault="00B86BD8" w:rsidP="003A290F">
            <w:pPr>
              <w:widowControl w:val="0"/>
              <w:spacing w:after="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Pr>
                <w:snapToGrid w:val="0"/>
                <w:lang w:eastAsia="fr-FR"/>
              </w:rPr>
              <w:t>Pot Fishery Effort</w:t>
            </w:r>
          </w:p>
        </w:tc>
        <w:tc>
          <w:tcPr>
            <w:cnfStyle w:val="000000001000" w:firstRow="0" w:lastRow="0" w:firstColumn="0" w:lastColumn="0" w:oddVBand="0" w:evenVBand="0" w:oddHBand="0" w:evenHBand="0" w:firstRowFirstColumn="0" w:firstRowLastColumn="1" w:lastRowFirstColumn="0" w:lastRowLastColumn="0"/>
            <w:tcW w:w="1032" w:type="pct"/>
            <w:vAlign w:val="center"/>
          </w:tcPr>
          <w:p w:rsidR="00B86BD8" w:rsidRPr="00926355" w:rsidRDefault="00B86BD8" w:rsidP="003A290F">
            <w:pPr>
              <w:widowControl w:val="0"/>
              <w:spacing w:after="120" w:line="276" w:lineRule="auto"/>
              <w:jc w:val="center"/>
              <w:rPr>
                <w:snapToGrid w:val="0"/>
                <w:lang w:eastAsia="fr-FR"/>
              </w:rPr>
            </w:pPr>
            <w:r w:rsidRPr="00926355">
              <w:rPr>
                <w:snapToGrid w:val="0"/>
                <w:lang w:eastAsia="fr-FR"/>
              </w:rPr>
              <w:t>Groundfish Discard Mortality</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1985</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981949</w:t>
            </w:r>
          </w:p>
        </w:tc>
        <w:tc>
          <w:tcPr>
            <w:tcW w:w="1035" w:type="pct"/>
          </w:tcPr>
          <w:p w:rsidR="00B86BD8" w:rsidRPr="00625E5C" w:rsidRDefault="00B86BD8" w:rsidP="006B4EDE">
            <w:pPr>
              <w:jc w:val="right"/>
              <w:cnfStyle w:val="000000000000" w:firstRow="0" w:lastRow="0" w:firstColumn="0" w:lastColumn="0" w:oddVBand="0" w:evenVBand="0" w:oddHBand="0" w:evenHBand="0" w:firstRowFirstColumn="0" w:firstRowLastColumn="0" w:lastRowFirstColumn="0" w:lastRowLastColumn="0"/>
              <w:rPr>
                <w:snapToGrid w:val="0"/>
                <w:lang w:eastAsia="fr-FR"/>
              </w:rPr>
            </w:pP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118563</w:t>
            </w:r>
          </w:p>
        </w:tc>
        <w:tc>
          <w:tcPr>
            <w:tcW w:w="1032" w:type="pct"/>
          </w:tcPr>
          <w:p w:rsidR="00B86BD8" w:rsidRPr="00625E5C" w:rsidRDefault="00B86BD8" w:rsidP="006B4EDE">
            <w:pPr>
              <w:jc w:val="right"/>
              <w:cnfStyle w:val="000000000000" w:firstRow="0" w:lastRow="0" w:firstColumn="0" w:lastColumn="0" w:oddVBand="0" w:evenVBand="0" w:oddHBand="0" w:evenHBand="0" w:firstRowFirstColumn="0" w:firstRowLastColumn="0" w:lastRowFirstColumn="0" w:lastRowLastColumn="0"/>
              <w:rPr>
                <w:snapToGrid w:val="0"/>
                <w:lang w:eastAsia="fr-FR"/>
              </w:rPr>
            </w:pP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1986</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2052652</w:t>
            </w:r>
          </w:p>
        </w:tc>
        <w:tc>
          <w:tcPr>
            <w:tcW w:w="1035" w:type="pct"/>
          </w:tcPr>
          <w:p w:rsidR="00B86BD8" w:rsidRPr="00625E5C" w:rsidRDefault="00B86BD8" w:rsidP="006B4EDE">
            <w:pPr>
              <w:jc w:val="right"/>
              <w:cnfStyle w:val="000000000000" w:firstRow="0" w:lastRow="0" w:firstColumn="0" w:lastColumn="0" w:oddVBand="0" w:evenVBand="0" w:oddHBand="0" w:evenHBand="0" w:firstRowFirstColumn="0" w:firstRowLastColumn="0" w:lastRowFirstColumn="0" w:lastRowLastColumn="0"/>
              <w:rPr>
                <w:snapToGrid w:val="0"/>
                <w:lang w:eastAsia="fr-FR"/>
              </w:rPr>
            </w:pP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277780</w:t>
            </w:r>
          </w:p>
        </w:tc>
        <w:tc>
          <w:tcPr>
            <w:tcW w:w="1032" w:type="pct"/>
          </w:tcPr>
          <w:p w:rsidR="00B86BD8" w:rsidRPr="00625E5C" w:rsidRDefault="00B86BD8" w:rsidP="006B4EDE">
            <w:pPr>
              <w:jc w:val="right"/>
              <w:cnfStyle w:val="000000000000" w:firstRow="0" w:lastRow="0" w:firstColumn="0" w:lastColumn="0" w:oddVBand="0" w:evenVBand="0" w:oddHBand="0" w:evenHBand="0" w:firstRowFirstColumn="0" w:firstRowLastColumn="0" w:lastRowFirstColumn="0" w:lastRowLastColumn="0"/>
              <w:rPr>
                <w:snapToGrid w:val="0"/>
                <w:lang w:eastAsia="fr-FR"/>
              </w:rPr>
            </w:pP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1987</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1248732</w:t>
            </w:r>
          </w:p>
        </w:tc>
        <w:tc>
          <w:tcPr>
            <w:tcW w:w="1035" w:type="pct"/>
          </w:tcPr>
          <w:p w:rsidR="00B86BD8" w:rsidRPr="00625E5C" w:rsidRDefault="00B86BD8" w:rsidP="006B4EDE">
            <w:pPr>
              <w:jc w:val="right"/>
              <w:cnfStyle w:val="000000000000" w:firstRow="0" w:lastRow="0" w:firstColumn="0" w:lastColumn="0" w:oddVBand="0" w:evenVBand="0" w:oddHBand="0" w:evenHBand="0" w:firstRowFirstColumn="0" w:firstRowLastColumn="0" w:lastRowFirstColumn="0" w:lastRowLastColumn="0"/>
              <w:rPr>
                <w:snapToGrid w:val="0"/>
                <w:lang w:eastAsia="fr-FR"/>
              </w:rPr>
            </w:pP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160229</w:t>
            </w:r>
          </w:p>
        </w:tc>
        <w:tc>
          <w:tcPr>
            <w:tcW w:w="1032" w:type="pct"/>
          </w:tcPr>
          <w:p w:rsidR="00B86BD8" w:rsidRPr="00625E5C" w:rsidRDefault="00B86BD8" w:rsidP="006B4EDE">
            <w:pPr>
              <w:jc w:val="right"/>
              <w:cnfStyle w:val="000000000000" w:firstRow="0" w:lastRow="0" w:firstColumn="0" w:lastColumn="0" w:oddVBand="0" w:evenVBand="0" w:oddHBand="0" w:evenHBand="0" w:firstRowFirstColumn="0" w:firstRowLastColumn="0" w:lastRowFirstColumn="0" w:lastRowLastColumn="0"/>
              <w:rPr>
                <w:snapToGrid w:val="0"/>
                <w:lang w:eastAsia="fr-FR"/>
              </w:rPr>
            </w:pP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1988</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1285914</w:t>
            </w:r>
          </w:p>
        </w:tc>
        <w:tc>
          <w:tcPr>
            <w:tcW w:w="1035" w:type="pct"/>
          </w:tcPr>
          <w:p w:rsidR="00B86BD8" w:rsidRPr="00625E5C" w:rsidRDefault="00B86BD8" w:rsidP="006B4EDE">
            <w:pPr>
              <w:jc w:val="right"/>
              <w:cnfStyle w:val="000000000000" w:firstRow="0" w:lastRow="0" w:firstColumn="0" w:lastColumn="0" w:oddVBand="0" w:evenVBand="0" w:oddHBand="0" w:evenHBand="0" w:firstRowFirstColumn="0" w:firstRowLastColumn="0" w:lastRowFirstColumn="0" w:lastRowLastColumn="0"/>
              <w:rPr>
                <w:snapToGrid w:val="0"/>
                <w:lang w:eastAsia="fr-FR"/>
              </w:rPr>
            </w:pP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166409</w:t>
            </w:r>
          </w:p>
        </w:tc>
        <w:tc>
          <w:tcPr>
            <w:tcW w:w="1032" w:type="pct"/>
          </w:tcPr>
          <w:p w:rsidR="00B86BD8" w:rsidRPr="00625E5C" w:rsidRDefault="00B86BD8" w:rsidP="006B4EDE">
            <w:pPr>
              <w:jc w:val="right"/>
              <w:cnfStyle w:val="000000000000" w:firstRow="0" w:lastRow="0" w:firstColumn="0" w:lastColumn="0" w:oddVBand="0" w:evenVBand="0" w:oddHBand="0" w:evenHBand="0" w:firstRowFirstColumn="0" w:firstRowLastColumn="0" w:lastRowFirstColumn="0" w:lastRowLastColumn="0"/>
              <w:rPr>
                <w:snapToGrid w:val="0"/>
                <w:lang w:eastAsia="fr-FR"/>
              </w:rPr>
            </w:pP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1989</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1610281</w:t>
            </w:r>
          </w:p>
        </w:tc>
        <w:tc>
          <w:tcPr>
            <w:tcW w:w="1035" w:type="pct"/>
          </w:tcPr>
          <w:p w:rsidR="00B86BD8" w:rsidRPr="00625E5C" w:rsidRDefault="00B86BD8" w:rsidP="006B4EDE">
            <w:pPr>
              <w:jc w:val="right"/>
              <w:cnfStyle w:val="000000000000" w:firstRow="0" w:lastRow="0" w:firstColumn="0" w:lastColumn="0" w:oddVBand="0" w:evenVBand="0" w:oddHBand="0" w:evenHBand="0" w:firstRowFirstColumn="0" w:firstRowLastColumn="0" w:lastRowFirstColumn="0" w:lastRowLastColumn="0"/>
              <w:rPr>
                <w:snapToGrid w:val="0"/>
                <w:lang w:eastAsia="fr-FR"/>
              </w:rPr>
            </w:pP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202541</w:t>
            </w:r>
          </w:p>
        </w:tc>
        <w:tc>
          <w:tcPr>
            <w:tcW w:w="1032" w:type="pct"/>
          </w:tcPr>
          <w:p w:rsidR="00B86BD8" w:rsidRPr="00625E5C" w:rsidRDefault="00B86BD8" w:rsidP="006B4EDE">
            <w:pPr>
              <w:jc w:val="right"/>
              <w:cnfStyle w:val="000000000000" w:firstRow="0" w:lastRow="0" w:firstColumn="0" w:lastColumn="0" w:oddVBand="0" w:evenVBand="0" w:oddHBand="0" w:evenHBand="0" w:firstRowFirstColumn="0" w:firstRowLastColumn="0" w:lastRowFirstColumn="0" w:lastRowLastColumn="0"/>
              <w:rPr>
                <w:snapToGrid w:val="0"/>
                <w:lang w:eastAsia="fr-FR"/>
              </w:rPr>
            </w:pP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1990</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889017</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957928</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108533</w:t>
            </w:r>
          </w:p>
        </w:tc>
        <w:tc>
          <w:tcPr>
            <w:tcW w:w="1032" w:type="pct"/>
          </w:tcPr>
          <w:p w:rsidR="00B86BD8" w:rsidRPr="00625E5C" w:rsidRDefault="00B86BD8" w:rsidP="006B4EDE">
            <w:pPr>
              <w:jc w:val="right"/>
              <w:cnfStyle w:val="000000000000" w:firstRow="0" w:lastRow="0" w:firstColumn="0" w:lastColumn="0" w:oddVBand="0" w:evenVBand="0" w:oddHBand="0" w:evenHBand="0" w:firstRowFirstColumn="0" w:firstRowLastColumn="0" w:lastRowFirstColumn="0" w:lastRowLastColumn="0"/>
              <w:rPr>
                <w:snapToGrid w:val="0"/>
                <w:lang w:eastAsia="fr-FR"/>
              </w:rPr>
            </w:pP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1991</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747852</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1571772</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101429</w:t>
            </w:r>
          </w:p>
        </w:tc>
        <w:tc>
          <w:tcPr>
            <w:tcW w:w="1032" w:type="pct"/>
          </w:tcPr>
          <w:p w:rsidR="00B86BD8" w:rsidRPr="00625E5C" w:rsidRDefault="00B86BD8" w:rsidP="006B4EDE">
            <w:pPr>
              <w:jc w:val="right"/>
              <w:cnfStyle w:val="000000000000" w:firstRow="0" w:lastRow="0" w:firstColumn="0" w:lastColumn="0" w:oddVBand="0" w:evenVBand="0" w:oddHBand="0" w:evenHBand="0" w:firstRowFirstColumn="0" w:firstRowLastColumn="0" w:lastRowFirstColumn="0" w:lastRowLastColumn="0"/>
              <w:rPr>
                <w:snapToGrid w:val="0"/>
                <w:lang w:eastAsia="fr-FR"/>
              </w:rPr>
            </w:pP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1992</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543541</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1085028</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69443</w:t>
            </w:r>
          </w:p>
        </w:tc>
        <w:tc>
          <w:tcPr>
            <w:tcW w:w="1032" w:type="pct"/>
          </w:tcPr>
          <w:p w:rsidR="00B86BD8" w:rsidRPr="00625E5C" w:rsidRDefault="00B86BD8" w:rsidP="006B4EDE">
            <w:pPr>
              <w:jc w:val="right"/>
              <w:cnfStyle w:val="000000000000" w:firstRow="0" w:lastRow="0" w:firstColumn="0" w:lastColumn="0" w:oddVBand="0" w:evenVBand="0" w:oddHBand="0" w:evenHBand="0" w:firstRowFirstColumn="0" w:firstRowLastColumn="0" w:lastRowFirstColumn="0" w:lastRowLastColumn="0"/>
              <w:rPr>
                <w:snapToGrid w:val="0"/>
                <w:lang w:eastAsia="fr-FR"/>
              </w:rPr>
            </w:pP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1993</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352339</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1872683</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127764</w:t>
            </w:r>
          </w:p>
        </w:tc>
        <w:tc>
          <w:tcPr>
            <w:tcW w:w="1032" w:type="pct"/>
          </w:tcPr>
          <w:p w:rsidR="00B86BD8" w:rsidRPr="00625E5C" w:rsidRDefault="00B86BD8" w:rsidP="006B4EDE">
            <w:pPr>
              <w:jc w:val="right"/>
              <w:cnfStyle w:val="000000000000" w:firstRow="0" w:lastRow="0" w:firstColumn="0" w:lastColumn="0" w:oddVBand="0" w:evenVBand="0" w:oddHBand="0" w:evenHBand="0" w:firstRowFirstColumn="0" w:firstRowLastColumn="0" w:lastRowFirstColumn="0" w:lastRowLastColumn="0"/>
              <w:rPr>
                <w:snapToGrid w:val="0"/>
                <w:lang w:eastAsia="fr-FR"/>
              </w:rPr>
            </w:pP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1994</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845058</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3671046</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195138</w:t>
            </w:r>
          </w:p>
        </w:tc>
        <w:tc>
          <w:tcPr>
            <w:tcW w:w="1032" w:type="pct"/>
          </w:tcPr>
          <w:p w:rsidR="00B86BD8" w:rsidRPr="00625E5C" w:rsidRDefault="00B86BD8" w:rsidP="006B4EDE">
            <w:pPr>
              <w:jc w:val="right"/>
              <w:cnfStyle w:val="000000000000" w:firstRow="0" w:lastRow="0" w:firstColumn="0" w:lastColumn="0" w:oddVBand="0" w:evenVBand="0" w:oddHBand="0" w:evenHBand="0" w:firstRowFirstColumn="0" w:firstRowLastColumn="0" w:lastRowFirstColumn="0" w:lastRowLastColumn="0"/>
              <w:rPr>
                <w:snapToGrid w:val="0"/>
                <w:lang w:eastAsia="fr-FR"/>
              </w:rPr>
            </w:pP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1995</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619636</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1511578</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115248</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331</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1996</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652801</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1245378</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99267</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398</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1997</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558446</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1221796</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86811</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136</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1998</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505407</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779312</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35975</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479</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1999</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658377</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1448795</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107040</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330</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2000</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723794</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1590954</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101239</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230</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2001</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686738</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1515487</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105512</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184</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2002</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664823</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1325375</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78979</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593</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2003</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676633</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1171076</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66236</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3087</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2004</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685465</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1237945</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56846</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559</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2005</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639368</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999309</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30116</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2145</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2006</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523701</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829068</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26870</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1488</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2007</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600595</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943143</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29950</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3794</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2008</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587661</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985735</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26200</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8953</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jc w:val="both"/>
              <w:rPr>
                <w:snapToGrid w:val="0"/>
                <w:lang w:eastAsia="fr-FR"/>
              </w:rPr>
            </w:pPr>
            <w:r w:rsidRPr="00926355">
              <w:rPr>
                <w:snapToGrid w:val="0"/>
                <w:lang w:eastAsia="fr-FR"/>
              </w:rPr>
              <w:t>2009</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628332</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885764</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26489</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2738</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spacing w:line="360" w:lineRule="auto"/>
              <w:jc w:val="both"/>
              <w:rPr>
                <w:b/>
                <w:snapToGrid w:val="0"/>
                <w:lang w:eastAsia="fr-FR"/>
              </w:rPr>
            </w:pPr>
            <w:r w:rsidRPr="00926355">
              <w:rPr>
                <w:snapToGrid w:val="0"/>
                <w:lang w:eastAsia="fr-FR"/>
              </w:rPr>
              <w:t>2010</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626246</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856981</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29994</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1112</w:t>
            </w:r>
          </w:p>
        </w:tc>
      </w:tr>
      <w:tr w:rsidR="00B86BD8" w:rsidRPr="00926355" w:rsidTr="006B4EDE">
        <w:trPr>
          <w:trHeight w:val="317"/>
        </w:trPr>
        <w:tc>
          <w:tcPr>
            <w:cnfStyle w:val="001000000000" w:firstRow="0" w:lastRow="0" w:firstColumn="1" w:lastColumn="0" w:oddVBand="0" w:evenVBand="0" w:oddHBand="0" w:evenHBand="0" w:firstRowFirstColumn="0" w:firstRowLastColumn="0" w:lastRowFirstColumn="0" w:lastRowLastColumn="0"/>
            <w:tcW w:w="729" w:type="pct"/>
          </w:tcPr>
          <w:p w:rsidR="00B86BD8" w:rsidRPr="00926355" w:rsidRDefault="00B86BD8" w:rsidP="006B4EDE">
            <w:pPr>
              <w:widowControl w:val="0"/>
              <w:spacing w:line="360" w:lineRule="auto"/>
              <w:jc w:val="both"/>
              <w:rPr>
                <w:snapToGrid w:val="0"/>
                <w:lang w:eastAsia="fr-FR"/>
              </w:rPr>
            </w:pPr>
            <w:r w:rsidRPr="00926355">
              <w:rPr>
                <w:snapToGrid w:val="0"/>
                <w:lang w:eastAsia="fr-FR"/>
              </w:rPr>
              <w:t>2011</w:t>
            </w:r>
          </w:p>
        </w:tc>
        <w:tc>
          <w:tcPr>
            <w:tcW w:w="1171"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616118</w:t>
            </w:r>
          </w:p>
        </w:tc>
        <w:tc>
          <w:tcPr>
            <w:tcW w:w="1035"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821257</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26326</w:t>
            </w:r>
          </w:p>
        </w:tc>
        <w:tc>
          <w:tcPr>
            <w:tcW w:w="1032" w:type="pct"/>
            <w:vAlign w:val="bottom"/>
          </w:tcPr>
          <w:p w:rsidR="00B86BD8" w:rsidRPr="00625E5C" w:rsidRDefault="00B86BD8">
            <w:pPr>
              <w:jc w:val="right"/>
              <w:cnfStyle w:val="000000000000" w:firstRow="0" w:lastRow="0"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2605</w:t>
            </w:r>
          </w:p>
        </w:tc>
      </w:tr>
      <w:tr w:rsidR="00B86BD8" w:rsidRPr="00926355" w:rsidTr="006B4EDE">
        <w:trPr>
          <w:cnfStyle w:val="010000000000" w:firstRow="0" w:lastRow="1" w:firstColumn="0" w:lastColumn="0" w:oddVBand="0" w:evenVBand="0" w:oddHBand="0" w:evenHBand="0" w:firstRowFirstColumn="0" w:firstRowLastColumn="0" w:lastRowFirstColumn="0" w:lastRowLastColumn="0"/>
          <w:trHeight w:val="317"/>
        </w:trPr>
        <w:tc>
          <w:tcPr>
            <w:cnfStyle w:val="001000000001" w:firstRow="0" w:lastRow="0" w:firstColumn="1" w:lastColumn="0" w:oddVBand="0" w:evenVBand="0" w:oddHBand="0" w:evenHBand="0" w:firstRowFirstColumn="0" w:firstRowLastColumn="0" w:lastRowFirstColumn="1" w:lastRowLastColumn="0"/>
            <w:tcW w:w="729" w:type="pct"/>
          </w:tcPr>
          <w:p w:rsidR="00B86BD8" w:rsidRPr="005F6104" w:rsidRDefault="00B86BD8" w:rsidP="006B4EDE">
            <w:pPr>
              <w:widowControl w:val="0"/>
              <w:spacing w:line="360" w:lineRule="auto"/>
              <w:jc w:val="both"/>
              <w:rPr>
                <w:b w:val="0"/>
                <w:snapToGrid w:val="0"/>
                <w:lang w:eastAsia="fr-FR"/>
              </w:rPr>
            </w:pPr>
            <w:r w:rsidRPr="005F6104">
              <w:rPr>
                <w:b w:val="0"/>
                <w:snapToGrid w:val="0"/>
                <w:lang w:eastAsia="fr-FR"/>
              </w:rPr>
              <w:t>2012</w:t>
            </w:r>
          </w:p>
        </w:tc>
        <w:tc>
          <w:tcPr>
            <w:tcW w:w="1171" w:type="pct"/>
            <w:vAlign w:val="bottom"/>
          </w:tcPr>
          <w:p w:rsidR="00B86BD8" w:rsidRPr="00625E5C" w:rsidRDefault="00B86BD8">
            <w:pPr>
              <w:jc w:val="right"/>
              <w:cnfStyle w:val="010000000000" w:firstRow="0" w:lastRow="1"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672916</w:t>
            </w:r>
          </w:p>
        </w:tc>
        <w:tc>
          <w:tcPr>
            <w:tcW w:w="1035" w:type="pct"/>
            <w:vAlign w:val="bottom"/>
          </w:tcPr>
          <w:p w:rsidR="00B86BD8" w:rsidRPr="00625E5C" w:rsidRDefault="00B86BD8">
            <w:pPr>
              <w:jc w:val="right"/>
              <w:cnfStyle w:val="010000000000" w:firstRow="0" w:lastRow="1"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971860</w:t>
            </w:r>
          </w:p>
        </w:tc>
        <w:tc>
          <w:tcPr>
            <w:tcW w:w="1032" w:type="pct"/>
            <w:vAlign w:val="bottom"/>
          </w:tcPr>
          <w:p w:rsidR="00B86BD8" w:rsidRPr="00625E5C" w:rsidRDefault="00B86BD8">
            <w:pPr>
              <w:jc w:val="right"/>
              <w:cnfStyle w:val="010000000000" w:firstRow="0" w:lastRow="1"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32716</w:t>
            </w:r>
          </w:p>
        </w:tc>
        <w:tc>
          <w:tcPr>
            <w:tcW w:w="1032" w:type="pct"/>
            <w:vAlign w:val="bottom"/>
          </w:tcPr>
          <w:p w:rsidR="00B86BD8" w:rsidRPr="00625E5C" w:rsidRDefault="00B86BD8">
            <w:pPr>
              <w:jc w:val="right"/>
              <w:cnfStyle w:val="010000000000" w:firstRow="0" w:lastRow="1" w:firstColumn="0" w:lastColumn="0" w:oddVBand="0" w:evenVBand="0" w:oddHBand="0" w:evenHBand="0" w:firstRowFirstColumn="0" w:firstRowLastColumn="0" w:lastRowFirstColumn="0" w:lastRowLastColumn="0"/>
              <w:rPr>
                <w:snapToGrid w:val="0"/>
                <w:lang w:eastAsia="fr-FR"/>
              </w:rPr>
            </w:pPr>
            <w:r w:rsidRPr="00625E5C">
              <w:rPr>
                <w:snapToGrid w:val="0"/>
                <w:lang w:eastAsia="fr-FR"/>
              </w:rPr>
              <w:t>2508</w:t>
            </w:r>
          </w:p>
        </w:tc>
      </w:tr>
    </w:tbl>
    <w:p w:rsidR="00B86BD8" w:rsidRDefault="00B86BD8" w:rsidP="006B4EDE"/>
    <w:p w:rsidR="00B86BD8" w:rsidRPr="00B307E1" w:rsidRDefault="00B86BD8" w:rsidP="006B4EDE">
      <w:pPr>
        <w:rPr>
          <w:snapToGrid w:val="0"/>
          <w:vanish/>
          <w:szCs w:val="22"/>
          <w:lang w:eastAsia="fr-FR"/>
          <w:specVanish/>
        </w:rPr>
      </w:pPr>
      <w:r>
        <w:br w:type="page"/>
      </w:r>
      <w:r>
        <w:lastRenderedPageBreak/>
        <w:t xml:space="preserve">Table 13. </w:t>
      </w:r>
      <w:r w:rsidRPr="004F22CA">
        <w:rPr>
          <w:snapToGrid w:val="0"/>
          <w:szCs w:val="22"/>
          <w:lang w:eastAsia="fr-FR"/>
        </w:rPr>
        <w:t>T</w:t>
      </w:r>
      <w:r>
        <w:rPr>
          <w:snapToGrid w:val="0"/>
          <w:szCs w:val="22"/>
          <w:lang w:eastAsia="fr-FR"/>
        </w:rPr>
        <w:t xml:space="preserve">ime series of nominal annual pot fishery retained, observer </w:t>
      </w:r>
      <w:r w:rsidRPr="004F22CA">
        <w:rPr>
          <w:snapToGrid w:val="0"/>
          <w:szCs w:val="22"/>
          <w:lang w:eastAsia="fr-FR"/>
        </w:rPr>
        <w:t>retained</w:t>
      </w:r>
      <w:r>
        <w:rPr>
          <w:snapToGrid w:val="0"/>
          <w:szCs w:val="22"/>
          <w:lang w:eastAsia="fr-FR"/>
        </w:rPr>
        <w:t xml:space="preserve">, and observer total </w:t>
      </w:r>
      <w:r w:rsidRPr="004F22CA">
        <w:rPr>
          <w:snapToGrid w:val="0"/>
          <w:szCs w:val="22"/>
          <w:lang w:eastAsia="fr-FR"/>
        </w:rPr>
        <w:t>catch-per-unit-effort (CPUE, number o</w:t>
      </w:r>
      <w:r>
        <w:rPr>
          <w:snapToGrid w:val="0"/>
          <w:szCs w:val="22"/>
          <w:lang w:eastAsia="fr-FR"/>
        </w:rPr>
        <w:t xml:space="preserve">f crabs per pot lift), observer sample size (number of sampled pots), GLM estimated CPUE Index, and nominal legal size crabs CPUE standardized by the CPUE index </w:t>
      </w:r>
      <w:r w:rsidRPr="004F22CA">
        <w:rPr>
          <w:snapToGrid w:val="0"/>
          <w:szCs w:val="22"/>
          <w:lang w:eastAsia="fr-FR"/>
        </w:rPr>
        <w:t xml:space="preserve">for the </w:t>
      </w:r>
      <w:r>
        <w:rPr>
          <w:snapToGrid w:val="0"/>
          <w:szCs w:val="22"/>
          <w:lang w:eastAsia="fr-FR"/>
        </w:rPr>
        <w:t>W</w:t>
      </w:r>
      <w:r w:rsidRPr="004F22CA">
        <w:rPr>
          <w:snapToGrid w:val="0"/>
          <w:szCs w:val="22"/>
          <w:lang w:eastAsia="fr-FR"/>
        </w:rPr>
        <w:t>AG</w:t>
      </w:r>
      <w:r w:rsidRPr="004F22CA">
        <w:rPr>
          <w:szCs w:val="22"/>
        </w:rPr>
        <w:t xml:space="preserve"> golden king crab stock</w:t>
      </w:r>
      <w:r w:rsidRPr="004F22CA">
        <w:rPr>
          <w:snapToGrid w:val="0"/>
          <w:szCs w:val="22"/>
          <w:lang w:eastAsia="fr-FR"/>
        </w:rPr>
        <w:t>. 19</w:t>
      </w:r>
      <w:r>
        <w:rPr>
          <w:snapToGrid w:val="0"/>
          <w:szCs w:val="22"/>
          <w:lang w:eastAsia="fr-FR"/>
        </w:rPr>
        <w:t>90</w:t>
      </w:r>
      <w:r w:rsidRPr="004F22CA">
        <w:rPr>
          <w:snapToGrid w:val="0"/>
          <w:szCs w:val="22"/>
          <w:lang w:eastAsia="fr-FR"/>
        </w:rPr>
        <w:t xml:space="preserve"> </w:t>
      </w:r>
      <w:r>
        <w:rPr>
          <w:snapToGrid w:val="0"/>
          <w:szCs w:val="22"/>
          <w:lang w:eastAsia="fr-FR"/>
        </w:rPr>
        <w:t>refers to the 1990/91</w:t>
      </w:r>
      <w:r w:rsidRPr="004F22CA">
        <w:rPr>
          <w:snapToGrid w:val="0"/>
          <w:szCs w:val="22"/>
          <w:lang w:eastAsia="fr-FR"/>
        </w:rPr>
        <w:t xml:space="preserve"> fishery.</w:t>
      </w:r>
    </w:p>
    <w:p w:rsidR="00B86BD8" w:rsidRDefault="00B86BD8" w:rsidP="006B4EDE"/>
    <w:tbl>
      <w:tblPr>
        <w:tblStyle w:val="TableClassic1"/>
        <w:tblpPr w:leftFromText="180" w:rightFromText="180" w:vertAnchor="text" w:tblpY="1"/>
        <w:tblOverlap w:val="never"/>
        <w:tblW w:w="3981" w:type="pct"/>
        <w:tblLayout w:type="fixed"/>
        <w:tblLook w:val="01E0" w:firstRow="1" w:lastRow="1" w:firstColumn="1" w:lastColumn="1" w:noHBand="0" w:noVBand="0"/>
      </w:tblPr>
      <w:tblGrid>
        <w:gridCol w:w="741"/>
        <w:gridCol w:w="1078"/>
        <w:gridCol w:w="1073"/>
        <w:gridCol w:w="997"/>
        <w:gridCol w:w="989"/>
        <w:gridCol w:w="770"/>
        <w:gridCol w:w="1403"/>
      </w:tblGrid>
      <w:tr w:rsidR="00B86BD8" w:rsidRPr="008E57FB" w:rsidTr="00E5297D">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25" w:type="pct"/>
            <w:vAlign w:val="bottom"/>
          </w:tcPr>
          <w:p w:rsidR="00B86BD8" w:rsidRPr="006F0B75" w:rsidRDefault="00B86BD8" w:rsidP="00703716">
            <w:pPr>
              <w:widowControl w:val="0"/>
              <w:spacing w:before="120" w:line="276" w:lineRule="auto"/>
              <w:jc w:val="center"/>
              <w:rPr>
                <w:snapToGrid w:val="0"/>
                <w:lang w:eastAsia="fr-FR"/>
              </w:rPr>
            </w:pPr>
          </w:p>
          <w:p w:rsidR="00B86BD8" w:rsidRPr="006F0B75" w:rsidRDefault="00B86BD8" w:rsidP="00703716">
            <w:pPr>
              <w:widowControl w:val="0"/>
              <w:spacing w:before="120" w:line="276" w:lineRule="auto"/>
              <w:jc w:val="center"/>
              <w:rPr>
                <w:snapToGrid w:val="0"/>
                <w:lang w:eastAsia="fr-FR"/>
              </w:rPr>
            </w:pPr>
          </w:p>
          <w:p w:rsidR="00B86BD8" w:rsidRPr="006F0B75" w:rsidRDefault="00B86BD8" w:rsidP="00703716">
            <w:pPr>
              <w:widowControl w:val="0"/>
              <w:spacing w:before="120" w:line="276" w:lineRule="auto"/>
              <w:jc w:val="center"/>
              <w:rPr>
                <w:snapToGrid w:val="0"/>
                <w:lang w:eastAsia="fr-FR"/>
              </w:rPr>
            </w:pPr>
            <w:r w:rsidRPr="006F0B75">
              <w:rPr>
                <w:snapToGrid w:val="0"/>
                <w:lang w:eastAsia="fr-FR"/>
              </w:rPr>
              <w:t>Year</w:t>
            </w:r>
          </w:p>
        </w:tc>
        <w:tc>
          <w:tcPr>
            <w:tcW w:w="764" w:type="pct"/>
          </w:tcPr>
          <w:p w:rsidR="00B86BD8" w:rsidRPr="006F0B75" w:rsidRDefault="00B86BD8" w:rsidP="00703716">
            <w:pPr>
              <w:widowControl w:val="0"/>
              <w:spacing w:before="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Pr>
                <w:snapToGrid w:val="0"/>
                <w:lang w:eastAsia="fr-FR"/>
              </w:rPr>
              <w:t>Pot Fishery Nominal Retained CPUE</w:t>
            </w:r>
          </w:p>
        </w:tc>
        <w:tc>
          <w:tcPr>
            <w:tcW w:w="761" w:type="pct"/>
            <w:vAlign w:val="bottom"/>
          </w:tcPr>
          <w:p w:rsidR="00B86BD8" w:rsidRPr="006F0B75" w:rsidRDefault="00B86BD8" w:rsidP="00703716">
            <w:pPr>
              <w:widowControl w:val="0"/>
              <w:spacing w:before="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sidRPr="006F0B75">
              <w:rPr>
                <w:snapToGrid w:val="0"/>
                <w:lang w:eastAsia="fr-FR"/>
              </w:rPr>
              <w:t xml:space="preserve">Obs. </w:t>
            </w:r>
            <w:r>
              <w:rPr>
                <w:snapToGrid w:val="0"/>
                <w:lang w:eastAsia="fr-FR"/>
              </w:rPr>
              <w:t>Nominal</w:t>
            </w:r>
            <w:r w:rsidRPr="006F0B75">
              <w:rPr>
                <w:snapToGrid w:val="0"/>
                <w:lang w:eastAsia="fr-FR"/>
              </w:rPr>
              <w:t xml:space="preserve"> Retained CPUE</w:t>
            </w:r>
          </w:p>
        </w:tc>
        <w:tc>
          <w:tcPr>
            <w:tcW w:w="707" w:type="pct"/>
          </w:tcPr>
          <w:p w:rsidR="00B86BD8" w:rsidRPr="006F0B75" w:rsidRDefault="00B86BD8" w:rsidP="00703716">
            <w:pPr>
              <w:widowControl w:val="0"/>
              <w:spacing w:before="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sidRPr="006F0B75">
              <w:rPr>
                <w:snapToGrid w:val="0"/>
                <w:lang w:eastAsia="fr-FR"/>
              </w:rPr>
              <w:t xml:space="preserve">Obs. </w:t>
            </w:r>
            <w:r>
              <w:rPr>
                <w:snapToGrid w:val="0"/>
                <w:lang w:eastAsia="fr-FR"/>
              </w:rPr>
              <w:t xml:space="preserve">Nominal  Total </w:t>
            </w:r>
            <w:r w:rsidRPr="006F0B75">
              <w:rPr>
                <w:snapToGrid w:val="0"/>
                <w:lang w:eastAsia="fr-FR"/>
              </w:rPr>
              <w:t>CPUE</w:t>
            </w:r>
          </w:p>
        </w:tc>
        <w:tc>
          <w:tcPr>
            <w:tcW w:w="701" w:type="pct"/>
            <w:vAlign w:val="bottom"/>
          </w:tcPr>
          <w:p w:rsidR="00B86BD8" w:rsidRPr="006F0B75" w:rsidRDefault="00B86BD8" w:rsidP="00703716">
            <w:pPr>
              <w:widowControl w:val="0"/>
              <w:spacing w:before="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sidRPr="006F0B75">
              <w:rPr>
                <w:snapToGrid w:val="0"/>
                <w:lang w:eastAsia="fr-FR"/>
              </w:rPr>
              <w:t>Sample Size (no.pot lifts)</w:t>
            </w:r>
          </w:p>
        </w:tc>
        <w:tc>
          <w:tcPr>
            <w:tcW w:w="546" w:type="pct"/>
          </w:tcPr>
          <w:p w:rsidR="00B86BD8" w:rsidRPr="006F0B75" w:rsidRDefault="00B86BD8" w:rsidP="00703716">
            <w:pPr>
              <w:widowControl w:val="0"/>
              <w:spacing w:before="120" w:line="276" w:lineRule="auto"/>
              <w:jc w:val="center"/>
              <w:cnfStyle w:val="100000000000" w:firstRow="1" w:lastRow="0" w:firstColumn="0" w:lastColumn="0" w:oddVBand="0" w:evenVBand="0" w:oddHBand="0" w:evenHBand="0" w:firstRowFirstColumn="0" w:firstRowLastColumn="0" w:lastRowFirstColumn="0" w:lastRowLastColumn="0"/>
              <w:rPr>
                <w:snapToGrid w:val="0"/>
                <w:lang w:eastAsia="fr-FR"/>
              </w:rPr>
            </w:pPr>
            <w:r>
              <w:rPr>
                <w:snapToGrid w:val="0"/>
                <w:lang w:eastAsia="fr-FR"/>
              </w:rPr>
              <w:t>CPUE Index</w:t>
            </w:r>
          </w:p>
        </w:tc>
        <w:tc>
          <w:tcPr>
            <w:cnfStyle w:val="000000001000" w:firstRow="0" w:lastRow="0" w:firstColumn="0" w:lastColumn="0" w:oddVBand="0" w:evenVBand="0" w:oddHBand="0" w:evenHBand="0" w:firstRowFirstColumn="0" w:firstRowLastColumn="1" w:lastRowFirstColumn="0" w:lastRowLastColumn="0"/>
            <w:tcW w:w="995" w:type="pct"/>
          </w:tcPr>
          <w:p w:rsidR="00B86BD8" w:rsidRPr="006F0B75" w:rsidRDefault="00B86BD8" w:rsidP="00703716">
            <w:pPr>
              <w:widowControl w:val="0"/>
              <w:spacing w:before="120" w:line="276" w:lineRule="auto"/>
              <w:jc w:val="center"/>
              <w:rPr>
                <w:snapToGrid w:val="0"/>
                <w:lang w:eastAsia="fr-FR"/>
              </w:rPr>
            </w:pPr>
            <w:r>
              <w:rPr>
                <w:snapToGrid w:val="0"/>
                <w:lang w:eastAsia="fr-FR"/>
              </w:rPr>
              <w:t>Nominal CPUE Standardized</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1990</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6.980</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9.277778</w:t>
            </w:r>
          </w:p>
        </w:tc>
        <w:tc>
          <w:tcPr>
            <w:tcW w:w="701" w:type="pct"/>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546" w:type="pct"/>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995" w:type="pct"/>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1991</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7.428</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16.49228</w:t>
            </w:r>
          </w:p>
        </w:tc>
        <w:tc>
          <w:tcPr>
            <w:tcW w:w="701" w:type="pct"/>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546" w:type="pct"/>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995" w:type="pct"/>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1992</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5.895</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16.40238</w:t>
            </w:r>
          </w:p>
        </w:tc>
        <w:tc>
          <w:tcPr>
            <w:tcW w:w="701" w:type="pct"/>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546" w:type="pct"/>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995" w:type="pct"/>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1993</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4.425</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16.12281</w:t>
            </w:r>
          </w:p>
        </w:tc>
        <w:tc>
          <w:tcPr>
            <w:tcW w:w="701" w:type="pct"/>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546" w:type="pct"/>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995" w:type="pct"/>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1994</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4.080</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19.42891</w:t>
            </w:r>
          </w:p>
        </w:tc>
        <w:tc>
          <w:tcPr>
            <w:tcW w:w="701" w:type="pct"/>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546" w:type="pct"/>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995" w:type="pct"/>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1995</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4.647</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4.813</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13.77329</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8274</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1.174</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8.350</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1996</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6.074</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5.320</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13.28176</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5669</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0.952</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6.769</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1997</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6.561</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6.499</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14.84698</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3910</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0.962</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6.839</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1998</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11.397</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9.494</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22.98983</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1351</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1.070</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7.610</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1999</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6.321</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6.116</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14.30363</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4573</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0.909</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6.463</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2000</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6.970</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6.646</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16.41675</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4687</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0.853</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6.067</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2001</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6.509</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6.389</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14.77008</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4453</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0.827</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5.877</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2002</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8.418</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7.766</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17.2464</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2505</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0.924</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6.571</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2003</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10.215</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9.361</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17.84277</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3324</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1.157</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8.229</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2004</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12.058</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11.067</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22.25029</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2617</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1.267</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9.005</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2005</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21.230</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21.511</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33.28132</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1365</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1.035</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23.506</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2006</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19.640</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21.362</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30.97375</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1183</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0.970</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22.011</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2007</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20.049</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20.389</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31.69694</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1082</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0.884</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20.078</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2008</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22.430</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24.322</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37.72495</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979</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1.045</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23.726</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sidRPr="006F0B75">
              <w:rPr>
                <w:snapToGrid w:val="0"/>
                <w:lang w:eastAsia="fr-FR"/>
              </w:rPr>
              <w:t>2009</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23.720</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26.229</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33.47924</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893</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1.059</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24.036</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b/>
                <w:snapToGrid w:val="0"/>
                <w:lang w:eastAsia="fr-FR"/>
              </w:rPr>
            </w:pPr>
            <w:r w:rsidRPr="006F0B75">
              <w:rPr>
                <w:snapToGrid w:val="0"/>
                <w:lang w:eastAsia="fr-FR"/>
              </w:rPr>
              <w:t>2010</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20.879</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21.920</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28.65665</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867</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0.943</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21.419</w:t>
            </w:r>
          </w:p>
        </w:tc>
      </w:tr>
      <w:tr w:rsidR="00B86BD8" w:rsidRPr="008E57FB" w:rsidTr="00E5297D">
        <w:trPr>
          <w:trHeight w:val="317"/>
        </w:trPr>
        <w:tc>
          <w:tcPr>
            <w:cnfStyle w:val="001000000000" w:firstRow="0" w:lastRow="0" w:firstColumn="1" w:lastColumn="0" w:oddVBand="0" w:evenVBand="0" w:oddHBand="0" w:evenHBand="0" w:firstRowFirstColumn="0" w:firstRowLastColumn="0" w:lastRowFirstColumn="0" w:lastRowLastColumn="0"/>
            <w:tcW w:w="525" w:type="pct"/>
          </w:tcPr>
          <w:p w:rsidR="00B86BD8" w:rsidRPr="006F0B75" w:rsidRDefault="00B86BD8" w:rsidP="00703716">
            <w:pPr>
              <w:widowControl w:val="0"/>
              <w:jc w:val="both"/>
              <w:rPr>
                <w:snapToGrid w:val="0"/>
                <w:lang w:eastAsia="fr-FR"/>
              </w:rPr>
            </w:pPr>
            <w:r>
              <w:rPr>
                <w:snapToGrid w:val="0"/>
                <w:lang w:eastAsia="fr-FR"/>
              </w:rPr>
              <w:t>2011</w:t>
            </w:r>
          </w:p>
        </w:tc>
        <w:tc>
          <w:tcPr>
            <w:tcW w:w="764"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23.403</w:t>
            </w:r>
          </w:p>
        </w:tc>
        <w:tc>
          <w:tcPr>
            <w:tcW w:w="76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24.126</w:t>
            </w:r>
          </w:p>
        </w:tc>
        <w:tc>
          <w:tcPr>
            <w:tcW w:w="707" w:type="pct"/>
            <w:vAlign w:val="bottom"/>
          </w:tcPr>
          <w:p w:rsidR="00B86BD8" w:rsidRPr="00E5297D"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E5297D">
              <w:rPr>
                <w:color w:val="000000"/>
              </w:rPr>
              <w:t>31.26291</w:t>
            </w:r>
          </w:p>
        </w:tc>
        <w:tc>
          <w:tcPr>
            <w:tcW w:w="701"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837</w:t>
            </w:r>
          </w:p>
        </w:tc>
        <w:tc>
          <w:tcPr>
            <w:tcW w:w="546"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1.014</w:t>
            </w:r>
          </w:p>
        </w:tc>
        <w:tc>
          <w:tcPr>
            <w:tcW w:w="995" w:type="pct"/>
            <w:vAlign w:val="bottom"/>
          </w:tcPr>
          <w:p w:rsidR="00B86BD8" w:rsidRPr="00CB6892"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CB6892">
              <w:rPr>
                <w:color w:val="000000"/>
              </w:rPr>
              <w:t>23.013</w:t>
            </w:r>
          </w:p>
        </w:tc>
      </w:tr>
      <w:tr w:rsidR="00B86BD8" w:rsidRPr="008E57FB" w:rsidTr="00E5297D">
        <w:trPr>
          <w:cnfStyle w:val="010000000000" w:firstRow="0" w:lastRow="1" w:firstColumn="0" w:lastColumn="0" w:oddVBand="0" w:evenVBand="0" w:oddHBand="0" w:evenHBand="0" w:firstRowFirstColumn="0" w:firstRowLastColumn="0" w:lastRowFirstColumn="0" w:lastRowLastColumn="0"/>
          <w:trHeight w:val="317"/>
        </w:trPr>
        <w:tc>
          <w:tcPr>
            <w:cnfStyle w:val="001000000001" w:firstRow="0" w:lastRow="0" w:firstColumn="1" w:lastColumn="0" w:oddVBand="0" w:evenVBand="0" w:oddHBand="0" w:evenHBand="0" w:firstRowFirstColumn="0" w:firstRowLastColumn="0" w:lastRowFirstColumn="1" w:lastRowLastColumn="0"/>
            <w:tcW w:w="525" w:type="pct"/>
          </w:tcPr>
          <w:p w:rsidR="00B86BD8" w:rsidRPr="007F4DE3" w:rsidRDefault="00B86BD8" w:rsidP="00703716">
            <w:pPr>
              <w:widowControl w:val="0"/>
              <w:jc w:val="both"/>
              <w:rPr>
                <w:b w:val="0"/>
                <w:snapToGrid w:val="0"/>
                <w:lang w:eastAsia="fr-FR"/>
              </w:rPr>
            </w:pPr>
            <w:r w:rsidRPr="007F4DE3">
              <w:rPr>
                <w:b w:val="0"/>
                <w:snapToGrid w:val="0"/>
                <w:lang w:eastAsia="fr-FR"/>
              </w:rPr>
              <w:t>2012</w:t>
            </w:r>
          </w:p>
        </w:tc>
        <w:tc>
          <w:tcPr>
            <w:tcW w:w="764" w:type="pct"/>
            <w:vAlign w:val="bottom"/>
          </w:tcPr>
          <w:p w:rsidR="00B86BD8" w:rsidRPr="00CB6892" w:rsidRDefault="00B86BD8" w:rsidP="00703716">
            <w:pPr>
              <w:jc w:val="right"/>
              <w:cnfStyle w:val="010000000000" w:firstRow="0" w:lastRow="1" w:firstColumn="0" w:lastColumn="0" w:oddVBand="0" w:evenVBand="0" w:oddHBand="0" w:evenHBand="0" w:firstRowFirstColumn="0" w:firstRowLastColumn="0" w:lastRowFirstColumn="0" w:lastRowLastColumn="0"/>
              <w:rPr>
                <w:color w:val="000000"/>
              </w:rPr>
            </w:pPr>
            <w:r w:rsidRPr="00CB6892">
              <w:rPr>
                <w:color w:val="000000"/>
              </w:rPr>
              <w:t>20.570</w:t>
            </w:r>
          </w:p>
        </w:tc>
        <w:tc>
          <w:tcPr>
            <w:tcW w:w="761" w:type="pct"/>
            <w:vAlign w:val="bottom"/>
          </w:tcPr>
          <w:p w:rsidR="00B86BD8" w:rsidRPr="00CB6892" w:rsidRDefault="00B86BD8" w:rsidP="00703716">
            <w:pPr>
              <w:jc w:val="right"/>
              <w:cnfStyle w:val="010000000000" w:firstRow="0" w:lastRow="1" w:firstColumn="0" w:lastColumn="0" w:oddVBand="0" w:evenVBand="0" w:oddHBand="0" w:evenHBand="0" w:firstRowFirstColumn="0" w:firstRowLastColumn="0" w:lastRowFirstColumn="0" w:lastRowLastColumn="0"/>
              <w:rPr>
                <w:color w:val="000000"/>
              </w:rPr>
            </w:pPr>
            <w:r w:rsidRPr="00CB6892">
              <w:rPr>
                <w:color w:val="000000"/>
              </w:rPr>
              <w:t>22.315</w:t>
            </w:r>
          </w:p>
        </w:tc>
        <w:tc>
          <w:tcPr>
            <w:tcW w:w="707" w:type="pct"/>
            <w:vAlign w:val="bottom"/>
          </w:tcPr>
          <w:p w:rsidR="00B86BD8" w:rsidRPr="00E5297D" w:rsidRDefault="00B86BD8" w:rsidP="00703716">
            <w:pPr>
              <w:jc w:val="right"/>
              <w:cnfStyle w:val="010000000000" w:firstRow="0" w:lastRow="1" w:firstColumn="0" w:lastColumn="0" w:oddVBand="0" w:evenVBand="0" w:oddHBand="0" w:evenHBand="0" w:firstRowFirstColumn="0" w:firstRowLastColumn="0" w:lastRowFirstColumn="0" w:lastRowLastColumn="0"/>
              <w:rPr>
                <w:color w:val="000000"/>
              </w:rPr>
            </w:pPr>
            <w:r w:rsidRPr="00E5297D">
              <w:rPr>
                <w:color w:val="000000"/>
              </w:rPr>
              <w:t>29.88538</w:t>
            </w:r>
          </w:p>
        </w:tc>
        <w:tc>
          <w:tcPr>
            <w:tcW w:w="701" w:type="pct"/>
            <w:vAlign w:val="bottom"/>
          </w:tcPr>
          <w:p w:rsidR="00B86BD8" w:rsidRPr="00CB6892" w:rsidRDefault="00B86BD8" w:rsidP="00703716">
            <w:pPr>
              <w:jc w:val="right"/>
              <w:cnfStyle w:val="010000000000" w:firstRow="0" w:lastRow="1" w:firstColumn="0" w:lastColumn="0" w:oddVBand="0" w:evenVBand="0" w:oddHBand="0" w:evenHBand="0" w:firstRowFirstColumn="0" w:firstRowLastColumn="0" w:lastRowFirstColumn="0" w:lastRowLastColumn="0"/>
              <w:rPr>
                <w:color w:val="000000"/>
              </w:rPr>
            </w:pPr>
            <w:r w:rsidRPr="00CB6892">
              <w:rPr>
                <w:color w:val="000000"/>
              </w:rPr>
              <w:t>1109</w:t>
            </w:r>
          </w:p>
        </w:tc>
        <w:tc>
          <w:tcPr>
            <w:tcW w:w="546" w:type="pct"/>
            <w:vAlign w:val="bottom"/>
          </w:tcPr>
          <w:p w:rsidR="00B86BD8" w:rsidRPr="00CB6892" w:rsidRDefault="00B86BD8" w:rsidP="00703716">
            <w:pPr>
              <w:jc w:val="right"/>
              <w:cnfStyle w:val="010000000000" w:firstRow="0" w:lastRow="1" w:firstColumn="0" w:lastColumn="0" w:oddVBand="0" w:evenVBand="0" w:oddHBand="0" w:evenHBand="0" w:firstRowFirstColumn="0" w:firstRowLastColumn="0" w:lastRowFirstColumn="0" w:lastRowLastColumn="0"/>
              <w:rPr>
                <w:color w:val="000000"/>
              </w:rPr>
            </w:pPr>
            <w:r w:rsidRPr="00CB6892">
              <w:rPr>
                <w:color w:val="000000"/>
              </w:rPr>
              <w:t>1.064</w:t>
            </w:r>
          </w:p>
        </w:tc>
        <w:tc>
          <w:tcPr>
            <w:tcW w:w="995" w:type="pct"/>
            <w:vAlign w:val="bottom"/>
          </w:tcPr>
          <w:p w:rsidR="00B86BD8" w:rsidRPr="00CB6892" w:rsidRDefault="00B86BD8" w:rsidP="00703716">
            <w:pPr>
              <w:jc w:val="right"/>
              <w:cnfStyle w:val="010000000000" w:firstRow="0" w:lastRow="1" w:firstColumn="0" w:lastColumn="0" w:oddVBand="0" w:evenVBand="0" w:oddHBand="0" w:evenHBand="0" w:firstRowFirstColumn="0" w:firstRowLastColumn="0" w:lastRowFirstColumn="0" w:lastRowLastColumn="0"/>
              <w:rPr>
                <w:color w:val="000000"/>
              </w:rPr>
            </w:pPr>
            <w:r w:rsidRPr="00CB6892">
              <w:rPr>
                <w:color w:val="000000"/>
              </w:rPr>
              <w:t>24.157</w:t>
            </w:r>
          </w:p>
        </w:tc>
      </w:tr>
    </w:tbl>
    <w:p w:rsidR="00B86BD8" w:rsidRDefault="00B86BD8" w:rsidP="006B4EDE">
      <w:r>
        <w:br w:type="textWrapping" w:clear="all"/>
      </w:r>
      <w:r>
        <w:br w:type="page"/>
      </w:r>
    </w:p>
    <w:p w:rsidR="00B86BD8" w:rsidRDefault="00B86BD8" w:rsidP="006B4EDE">
      <w:pPr>
        <w:pStyle w:val="Caption"/>
      </w:pPr>
      <w:r>
        <w:lastRenderedPageBreak/>
        <w:t xml:space="preserve">Table 14. Optimization scenarios considered for the stock assessment model for the western Aleutian Islands golden king crab (WAG) stock. </w:t>
      </w:r>
    </w:p>
    <w:tbl>
      <w:tblPr>
        <w:tblStyle w:val="TableClassic1"/>
        <w:tblW w:w="0" w:type="auto"/>
        <w:tblLook w:val="04A0" w:firstRow="1" w:lastRow="0" w:firstColumn="1" w:lastColumn="0" w:noHBand="0" w:noVBand="1"/>
      </w:tblPr>
      <w:tblGrid>
        <w:gridCol w:w="1215"/>
        <w:gridCol w:w="3149"/>
        <w:gridCol w:w="2432"/>
        <w:gridCol w:w="2060"/>
      </w:tblGrid>
      <w:tr w:rsidR="00B86BD8" w:rsidRPr="008E57FB" w:rsidTr="00703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dxa"/>
          </w:tcPr>
          <w:p w:rsidR="00B86BD8" w:rsidRPr="003B0123" w:rsidRDefault="00B86BD8" w:rsidP="00703716">
            <w:pPr>
              <w:spacing w:after="120"/>
              <w:rPr>
                <w:b w:val="0"/>
                <w:iCs w:val="0"/>
              </w:rPr>
            </w:pPr>
            <w:r w:rsidRPr="003B0123">
              <w:t>Scenario</w:t>
            </w:r>
          </w:p>
        </w:tc>
        <w:tc>
          <w:tcPr>
            <w:tcW w:w="3149" w:type="dxa"/>
          </w:tcPr>
          <w:p w:rsidR="00B86BD8" w:rsidRPr="003B0123" w:rsidRDefault="00B86BD8" w:rsidP="00703716">
            <w:pPr>
              <w:spacing w:after="120"/>
              <w:cnfStyle w:val="100000000000" w:firstRow="1" w:lastRow="0" w:firstColumn="0" w:lastColumn="0" w:oddVBand="0" w:evenVBand="0" w:oddHBand="0" w:evenHBand="0" w:firstRowFirstColumn="0" w:firstRowLastColumn="0" w:lastRowFirstColumn="0" w:lastRowLastColumn="0"/>
              <w:rPr>
                <w:b w:val="0"/>
                <w:iCs w:val="0"/>
              </w:rPr>
            </w:pPr>
          </w:p>
        </w:tc>
        <w:tc>
          <w:tcPr>
            <w:tcW w:w="2432" w:type="dxa"/>
          </w:tcPr>
          <w:p w:rsidR="00B86BD8" w:rsidRPr="003B0123" w:rsidRDefault="00B86BD8" w:rsidP="00703716">
            <w:pPr>
              <w:spacing w:after="120"/>
              <w:cnfStyle w:val="100000000000" w:firstRow="1" w:lastRow="0" w:firstColumn="0" w:lastColumn="0" w:oddVBand="0" w:evenVBand="0" w:oddHBand="0" w:evenHBand="0" w:firstRowFirstColumn="0" w:firstRowLastColumn="0" w:lastRowFirstColumn="0" w:lastRowLastColumn="0"/>
              <w:rPr>
                <w:b w:val="0"/>
                <w:iCs w:val="0"/>
              </w:rPr>
            </w:pPr>
            <w:r>
              <w:t>Likelihood/Penalty Weights</w:t>
            </w:r>
          </w:p>
        </w:tc>
        <w:tc>
          <w:tcPr>
            <w:tcW w:w="2060" w:type="dxa"/>
          </w:tcPr>
          <w:p w:rsidR="00B86BD8" w:rsidRDefault="00B86BD8" w:rsidP="00703716">
            <w:pPr>
              <w:spacing w:after="120"/>
              <w:cnfStyle w:val="100000000000" w:firstRow="1" w:lastRow="0" w:firstColumn="0" w:lastColumn="0" w:oddVBand="0" w:evenVBand="0" w:oddHBand="0" w:evenHBand="0" w:firstRowFirstColumn="0" w:firstRowLastColumn="0" w:lastRowFirstColumn="0" w:lastRowLastColumn="0"/>
            </w:pPr>
            <w:r>
              <w:t>Maximum Effective Sample Size</w:t>
            </w:r>
          </w:p>
        </w:tc>
      </w:tr>
      <w:tr w:rsidR="00B86BD8" w:rsidTr="00703716">
        <w:tc>
          <w:tcPr>
            <w:cnfStyle w:val="001000000000" w:firstRow="0" w:lastRow="0" w:firstColumn="1" w:lastColumn="0" w:oddVBand="0" w:evenVBand="0" w:oddHBand="0" w:evenHBand="0" w:firstRowFirstColumn="0" w:firstRowLastColumn="0" w:lastRowFirstColumn="0" w:lastRowLastColumn="0"/>
            <w:tcW w:w="1215" w:type="dxa"/>
          </w:tcPr>
          <w:p w:rsidR="00B86BD8" w:rsidRDefault="00B86BD8" w:rsidP="00703716">
            <w:pPr>
              <w:jc w:val="center"/>
            </w:pPr>
            <w:r>
              <w:t>1</w:t>
            </w:r>
          </w:p>
        </w:tc>
        <w:tc>
          <w:tcPr>
            <w:tcW w:w="3149" w:type="dxa"/>
          </w:tcPr>
          <w:p w:rsidR="00B86BD8" w:rsidRDefault="00B86BD8">
            <w:pPr>
              <w:cnfStyle w:val="000000000000" w:firstRow="0" w:lastRow="0" w:firstColumn="0" w:lastColumn="0" w:oddVBand="0" w:evenVBand="0" w:oddHBand="0" w:evenHBand="0" w:firstRowFirstColumn="0" w:firstRowLastColumn="0" w:lastRowFirstColumn="0" w:lastRowLastColumn="0"/>
            </w:pPr>
            <w:r>
              <w:t>Commercial fishery retained catch for 1985–2012, total fishery catch for 1990–2012, observer legal size crab CPUE index for 1995–2012, and groundfish bycatch for 1995–2012; M = 0.18, pot fishery handling mortality = 0.2, and ground fish bycatch handling mortality for trawl = 0.8 and for pot = 0.5.  EAG tag-release-recapture size data for 1991, 1997, 2000, 2003, and 2006 for size transition matrix estimation. Gamma distribution function considered for the size transition matrix fit. Groundfish fishery selectivity was set to 1.</w:t>
            </w:r>
          </w:p>
        </w:tc>
        <w:tc>
          <w:tcPr>
            <w:tcW w:w="2432" w:type="dxa"/>
          </w:tcPr>
          <w:p w:rsidR="00B86BD8" w:rsidRDefault="00B86BD8" w:rsidP="00703716">
            <w:pPr>
              <w:cnfStyle w:val="000000000000" w:firstRow="0" w:lastRow="0" w:firstColumn="0" w:lastColumn="0" w:oddVBand="0" w:evenVBand="0" w:oddHBand="0" w:evenHBand="0" w:firstRowFirstColumn="0" w:firstRowLastColumn="0" w:lastRowFirstColumn="0" w:lastRowLastColumn="0"/>
            </w:pPr>
            <w:r>
              <w:t>Retained catch = 500, total catch = 50, groundfish discard catch = 25, recruitment deviation = 1.5,  pot fishery F deviation (initial) = 1000 (later relaxed to 0.00001), penalty for regularizing the mean F to 0.3 (initial) = 1000 (later relaxed to 0.00001),</w:t>
            </w:r>
          </w:p>
          <w:p w:rsidR="00B86BD8" w:rsidRDefault="00B86BD8">
            <w:pPr>
              <w:cnfStyle w:val="000000000000" w:firstRow="0" w:lastRow="0" w:firstColumn="0" w:lastColumn="0" w:oddVBand="0" w:evenVBand="0" w:oddHBand="0" w:evenHBand="0" w:firstRowFirstColumn="0" w:firstRowLastColumn="0" w:lastRowFirstColumn="0" w:lastRowLastColumn="0"/>
            </w:pPr>
            <w:r>
              <w:t xml:space="preserve">groundfish bycatch fishery F deviation  = 2.0, tagging data = 0.001, and posfunction = 1000 </w:t>
            </w:r>
          </w:p>
        </w:tc>
        <w:tc>
          <w:tcPr>
            <w:tcW w:w="2060" w:type="dxa"/>
          </w:tcPr>
          <w:p w:rsidR="00B86BD8" w:rsidRDefault="00B86BD8">
            <w:pPr>
              <w:cnfStyle w:val="000000000000" w:firstRow="0" w:lastRow="0" w:firstColumn="0" w:lastColumn="0" w:oddVBand="0" w:evenVBand="0" w:oddHBand="0" w:evenHBand="0" w:firstRowFirstColumn="0" w:firstRowLastColumn="0" w:lastRowFirstColumn="0" w:lastRowLastColumn="0"/>
            </w:pPr>
            <w:r>
              <w:t>Retained = 200, total = 125, groundfish discard = 20</w:t>
            </w:r>
          </w:p>
        </w:tc>
      </w:tr>
      <w:tr w:rsidR="00B86BD8" w:rsidTr="00703716">
        <w:tc>
          <w:tcPr>
            <w:cnfStyle w:val="001000000000" w:firstRow="0" w:lastRow="0" w:firstColumn="1" w:lastColumn="0" w:oddVBand="0" w:evenVBand="0" w:oddHBand="0" w:evenHBand="0" w:firstRowFirstColumn="0" w:firstRowLastColumn="0" w:lastRowFirstColumn="0" w:lastRowLastColumn="0"/>
            <w:tcW w:w="1215" w:type="dxa"/>
          </w:tcPr>
          <w:p w:rsidR="00B86BD8" w:rsidRDefault="00B86BD8" w:rsidP="00703716">
            <w:pPr>
              <w:jc w:val="center"/>
            </w:pPr>
            <w:r>
              <w:t>2</w:t>
            </w:r>
          </w:p>
          <w:p w:rsidR="00B86BD8" w:rsidRDefault="00B86BD8" w:rsidP="00703716">
            <w:pPr>
              <w:jc w:val="center"/>
            </w:pPr>
          </w:p>
          <w:p w:rsidR="00B86BD8" w:rsidRDefault="00B86BD8" w:rsidP="00703716">
            <w:pPr>
              <w:jc w:val="center"/>
            </w:pPr>
          </w:p>
          <w:p w:rsidR="00B86BD8" w:rsidRDefault="00B86BD8" w:rsidP="00703716">
            <w:pPr>
              <w:jc w:val="center"/>
            </w:pPr>
          </w:p>
          <w:p w:rsidR="00B86BD8" w:rsidRDefault="00B86BD8" w:rsidP="00703716">
            <w:pPr>
              <w:jc w:val="center"/>
            </w:pPr>
          </w:p>
        </w:tc>
        <w:tc>
          <w:tcPr>
            <w:tcW w:w="3149" w:type="dxa"/>
          </w:tcPr>
          <w:p w:rsidR="00B86BD8" w:rsidRDefault="00B86BD8" w:rsidP="00703716">
            <w:pPr>
              <w:cnfStyle w:val="000000000000" w:firstRow="0" w:lastRow="0" w:firstColumn="0" w:lastColumn="0" w:oddVBand="0" w:evenVBand="0" w:oddHBand="0" w:evenHBand="0" w:firstRowFirstColumn="0" w:firstRowLastColumn="0" w:lastRowFirstColumn="0" w:lastRowLastColumn="0"/>
            </w:pPr>
            <w:r>
              <w:t>Same as scenario 1, but considered a composite Gamma and the logistic (molt probability) functions for the size transition matrix fit.</w:t>
            </w:r>
          </w:p>
        </w:tc>
        <w:tc>
          <w:tcPr>
            <w:tcW w:w="2432" w:type="dxa"/>
          </w:tcPr>
          <w:p w:rsidR="00B86BD8" w:rsidRDefault="00B86BD8" w:rsidP="00703716">
            <w:pPr>
              <w:cnfStyle w:val="000000000000" w:firstRow="0" w:lastRow="0" w:firstColumn="0" w:lastColumn="0" w:oddVBand="0" w:evenVBand="0" w:oddHBand="0" w:evenHBand="0" w:firstRowFirstColumn="0" w:firstRowLastColumn="0" w:lastRowFirstColumn="0" w:lastRowLastColumn="0"/>
            </w:pPr>
            <w:r>
              <w:t>Same as those in scenario 1.</w:t>
            </w:r>
          </w:p>
          <w:p w:rsidR="00B86BD8" w:rsidRDefault="00B86BD8" w:rsidP="00703716">
            <w:pPr>
              <w:cnfStyle w:val="000000000000" w:firstRow="0" w:lastRow="0" w:firstColumn="0" w:lastColumn="0" w:oddVBand="0" w:evenVBand="0" w:oddHBand="0" w:evenHBand="0" w:firstRowFirstColumn="0" w:firstRowLastColumn="0" w:lastRowFirstColumn="0" w:lastRowLastColumn="0"/>
            </w:pPr>
          </w:p>
        </w:tc>
        <w:tc>
          <w:tcPr>
            <w:tcW w:w="2060" w:type="dxa"/>
          </w:tcPr>
          <w:p w:rsidR="00B86BD8" w:rsidRDefault="00B86BD8" w:rsidP="00703716">
            <w:pPr>
              <w:cnfStyle w:val="000000000000" w:firstRow="0" w:lastRow="0" w:firstColumn="0" w:lastColumn="0" w:oddVBand="0" w:evenVBand="0" w:oddHBand="0" w:evenHBand="0" w:firstRowFirstColumn="0" w:firstRowLastColumn="0" w:lastRowFirstColumn="0" w:lastRowLastColumn="0"/>
            </w:pPr>
            <w:r>
              <w:t>Same as those in scenario 1.</w:t>
            </w:r>
          </w:p>
        </w:tc>
      </w:tr>
    </w:tbl>
    <w:p w:rsidR="00B86BD8" w:rsidRDefault="00B86BD8" w:rsidP="00E5297D"/>
    <w:p w:rsidR="00B86BD8" w:rsidRPr="00E5297D" w:rsidRDefault="00B86BD8" w:rsidP="00E5297D"/>
    <w:p w:rsidR="00B86BD8" w:rsidRDefault="00B86BD8"/>
    <w:p w:rsidR="00B86BD8" w:rsidRDefault="00B86BD8" w:rsidP="006B4EDE"/>
    <w:p w:rsidR="00B86BD8" w:rsidRDefault="00B86BD8"/>
    <w:p w:rsidR="00B86BD8" w:rsidRDefault="00B86BD8"/>
    <w:p w:rsidR="00B86BD8" w:rsidRDefault="00B86BD8" w:rsidP="00047F30"/>
    <w:p w:rsidR="00B86BD8" w:rsidRDefault="00B86BD8" w:rsidP="00047F30">
      <w:r>
        <w:br w:type="page"/>
      </w:r>
    </w:p>
    <w:p w:rsidR="00B86BD8" w:rsidRDefault="00B86BD8" w:rsidP="006B4EDE">
      <w:pPr>
        <w:pStyle w:val="Caption"/>
        <w:rPr>
          <w:szCs w:val="22"/>
        </w:rPr>
      </w:pPr>
      <w:r w:rsidRPr="00E5297D">
        <w:rPr>
          <w:sz w:val="20"/>
          <w:szCs w:val="20"/>
        </w:rPr>
        <w:lastRenderedPageBreak/>
        <w:t>Table 15. Parameter estimates and standard deviations with the 2013 (February 15) MMB for the</w:t>
      </w:r>
      <w:r w:rsidRPr="00930D54">
        <w:rPr>
          <w:szCs w:val="22"/>
        </w:rPr>
        <w:t xml:space="preserve"> </w:t>
      </w:r>
      <w:r>
        <w:rPr>
          <w:szCs w:val="22"/>
        </w:rPr>
        <w:t xml:space="preserve">scenario 1 model </w:t>
      </w:r>
      <w:r w:rsidRPr="00930D54">
        <w:rPr>
          <w:szCs w:val="22"/>
        </w:rPr>
        <w:t xml:space="preserve">for the golden king crab data from the </w:t>
      </w:r>
      <w:r>
        <w:rPr>
          <w:szCs w:val="22"/>
        </w:rPr>
        <w:t>W</w:t>
      </w:r>
      <w:r w:rsidRPr="00930D54">
        <w:rPr>
          <w:szCs w:val="22"/>
        </w:rPr>
        <w:t>AG, 1985/86</w:t>
      </w:r>
      <w:r>
        <w:rPr>
          <w:szCs w:val="22"/>
        </w:rPr>
        <w:t>–</w:t>
      </w:r>
      <w:r w:rsidRPr="00930D54">
        <w:rPr>
          <w:szCs w:val="22"/>
        </w:rPr>
        <w:t>201</w:t>
      </w:r>
      <w:r>
        <w:rPr>
          <w:szCs w:val="22"/>
        </w:rPr>
        <w:t>2</w:t>
      </w:r>
      <w:r w:rsidRPr="00930D54">
        <w:rPr>
          <w:szCs w:val="22"/>
        </w:rPr>
        <w:t>/1</w:t>
      </w:r>
      <w:r>
        <w:rPr>
          <w:szCs w:val="22"/>
        </w:rPr>
        <w:t>3</w:t>
      </w:r>
      <w:r w:rsidRPr="00930D54">
        <w:rPr>
          <w:szCs w:val="22"/>
        </w:rPr>
        <w:t xml:space="preserve">. </w:t>
      </w:r>
      <w:r>
        <w:rPr>
          <w:szCs w:val="22"/>
        </w:rPr>
        <w:t xml:space="preserve">A total of </w:t>
      </w:r>
      <w:r w:rsidRPr="00930D54">
        <w:rPr>
          <w:szCs w:val="22"/>
        </w:rPr>
        <w:t>1</w:t>
      </w:r>
      <w:r>
        <w:rPr>
          <w:szCs w:val="22"/>
        </w:rPr>
        <w:t xml:space="preserve">06 </w:t>
      </w:r>
      <w:r w:rsidRPr="00930D54">
        <w:rPr>
          <w:szCs w:val="22"/>
        </w:rPr>
        <w:t>parameters were estimated, but recruitment</w:t>
      </w:r>
      <w:r>
        <w:rPr>
          <w:szCs w:val="22"/>
        </w:rPr>
        <w:t xml:space="preserve"> and</w:t>
      </w:r>
      <w:r w:rsidRPr="00930D54">
        <w:rPr>
          <w:szCs w:val="22"/>
        </w:rPr>
        <w:t xml:space="preserve"> fishing mortality deviations and initial size frequency determination paramet</w:t>
      </w:r>
      <w:r>
        <w:rPr>
          <w:szCs w:val="22"/>
        </w:rPr>
        <w:t>ers were omitted from this list.</w:t>
      </w:r>
    </w:p>
    <w:p w:rsidR="00B86BD8" w:rsidRDefault="00B86BD8" w:rsidP="00047F30"/>
    <w:p w:rsidR="00B86BD8" w:rsidRDefault="00B86BD8" w:rsidP="00047F30">
      <w:pPr>
        <w:rPr>
          <w:sz w:val="22"/>
          <w:szCs w:val="22"/>
        </w:rPr>
      </w:pPr>
    </w:p>
    <w:tbl>
      <w:tblPr>
        <w:tblStyle w:val="TableClassic1"/>
        <w:tblW w:w="6590" w:type="dxa"/>
        <w:tblLook w:val="04A0" w:firstRow="1" w:lastRow="0" w:firstColumn="1" w:lastColumn="0" w:noHBand="0" w:noVBand="1"/>
      </w:tblPr>
      <w:tblGrid>
        <w:gridCol w:w="1951"/>
        <w:gridCol w:w="1378"/>
        <w:gridCol w:w="1578"/>
        <w:gridCol w:w="1683"/>
      </w:tblGrid>
      <w:tr w:rsidR="00B86BD8" w:rsidRPr="00872096" w:rsidTr="004E0D4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rsidR="00B86BD8" w:rsidRPr="006F0B75" w:rsidRDefault="00B86BD8" w:rsidP="004E0D46">
            <w:pPr>
              <w:spacing w:after="120"/>
              <w:rPr>
                <w:color w:val="000000"/>
              </w:rPr>
            </w:pPr>
            <w:r w:rsidRPr="006F0B75">
              <w:rPr>
                <w:color w:val="000000"/>
              </w:rPr>
              <w:t>Parameter</w:t>
            </w:r>
          </w:p>
        </w:tc>
        <w:tc>
          <w:tcPr>
            <w:tcW w:w="1378" w:type="dxa"/>
            <w:noWrap/>
            <w:hideMark/>
          </w:tcPr>
          <w:p w:rsidR="00B86BD8" w:rsidRPr="006F0B75" w:rsidRDefault="00B86BD8" w:rsidP="004E0D46">
            <w:pPr>
              <w:spacing w:after="120"/>
              <w:cnfStyle w:val="100000000000" w:firstRow="1" w:lastRow="0" w:firstColumn="0" w:lastColumn="0" w:oddVBand="0" w:evenVBand="0" w:oddHBand="0" w:evenHBand="0" w:firstRowFirstColumn="0" w:firstRowLastColumn="0" w:lastRowFirstColumn="0" w:lastRowLastColumn="0"/>
              <w:rPr>
                <w:color w:val="000000"/>
              </w:rPr>
            </w:pPr>
            <w:r w:rsidRPr="006F0B75">
              <w:rPr>
                <w:color w:val="000000"/>
              </w:rPr>
              <w:t>Estimate</w:t>
            </w:r>
          </w:p>
        </w:tc>
        <w:tc>
          <w:tcPr>
            <w:tcW w:w="1578" w:type="dxa"/>
            <w:noWrap/>
            <w:hideMark/>
          </w:tcPr>
          <w:p w:rsidR="00B86BD8" w:rsidRPr="006F0B75" w:rsidRDefault="00B86BD8" w:rsidP="004E0D46">
            <w:pPr>
              <w:spacing w:after="120"/>
              <w:cnfStyle w:val="100000000000" w:firstRow="1" w:lastRow="0" w:firstColumn="0" w:lastColumn="0" w:oddVBand="0" w:evenVBand="0" w:oddHBand="0" w:evenHBand="0" w:firstRowFirstColumn="0" w:firstRowLastColumn="0" w:lastRowFirstColumn="0" w:lastRowLastColumn="0"/>
              <w:rPr>
                <w:color w:val="000000"/>
              </w:rPr>
            </w:pPr>
            <w:r w:rsidRPr="006F0B75">
              <w:rPr>
                <w:color w:val="000000"/>
              </w:rPr>
              <w:t>Std Dev</w:t>
            </w:r>
          </w:p>
        </w:tc>
        <w:tc>
          <w:tcPr>
            <w:tcW w:w="1683" w:type="dxa"/>
            <w:noWrap/>
            <w:hideMark/>
          </w:tcPr>
          <w:p w:rsidR="00B86BD8" w:rsidRPr="006F0B75" w:rsidRDefault="00B86BD8" w:rsidP="004E0D46">
            <w:pPr>
              <w:spacing w:after="120"/>
              <w:cnfStyle w:val="100000000000" w:firstRow="1" w:lastRow="0" w:firstColumn="0" w:lastColumn="0" w:oddVBand="0" w:evenVBand="0" w:oddHBand="0" w:evenHBand="0" w:firstRowFirstColumn="0" w:firstRowLastColumn="0" w:lastRowFirstColumn="0" w:lastRowLastColumn="0"/>
              <w:rPr>
                <w:color w:val="000000"/>
              </w:rPr>
            </w:pPr>
            <w:r>
              <w:rPr>
                <w:color w:val="000000"/>
              </w:rPr>
              <w:t>Limits</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D45124" w:rsidRDefault="00B86BD8" w:rsidP="004E0D46">
            <w:r w:rsidRPr="00D45124">
              <w:t>log_a</w:t>
            </w:r>
          </w:p>
        </w:tc>
        <w:tc>
          <w:tcPr>
            <w:tcW w:w="1378" w:type="dxa"/>
            <w:noWrap/>
            <w:vAlign w:val="bottom"/>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3.5546</w:t>
            </w:r>
          </w:p>
        </w:tc>
        <w:tc>
          <w:tcPr>
            <w:tcW w:w="1578" w:type="dxa"/>
            <w:noWrap/>
            <w:vAlign w:val="bottom"/>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0.1165</w:t>
            </w:r>
          </w:p>
        </w:tc>
        <w:tc>
          <w:tcPr>
            <w:tcW w:w="1683"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D45124">
              <w:t>2.0,  3.8</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D45124" w:rsidRDefault="00B86BD8" w:rsidP="004E0D46">
            <w:r w:rsidRPr="00D45124">
              <w:t>G_b</w:t>
            </w:r>
          </w:p>
        </w:tc>
        <w:tc>
          <w:tcPr>
            <w:tcW w:w="1378" w:type="dxa"/>
            <w:noWrap/>
            <w:vAlign w:val="bottom"/>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-0.1807</w:t>
            </w:r>
          </w:p>
        </w:tc>
        <w:tc>
          <w:tcPr>
            <w:tcW w:w="1578" w:type="dxa"/>
            <w:noWrap/>
            <w:vAlign w:val="bottom"/>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0.0253</w:t>
            </w:r>
          </w:p>
        </w:tc>
        <w:tc>
          <w:tcPr>
            <w:tcW w:w="1683" w:type="dxa"/>
            <w:noWrap/>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 xml:space="preserve">-0.18, -0.0001 </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rsidR="00B86BD8" w:rsidRPr="00D45124" w:rsidRDefault="00B86BD8" w:rsidP="004E0D46">
            <w:pPr>
              <w:rPr>
                <w:color w:val="000000"/>
              </w:rPr>
            </w:pPr>
            <w:r w:rsidRPr="00D45124">
              <w:rPr>
                <w:color w:val="000000"/>
              </w:rPr>
              <w:t>log_beta</w:t>
            </w:r>
          </w:p>
        </w:tc>
        <w:tc>
          <w:tcPr>
            <w:tcW w:w="1378"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-0.3</w:t>
            </w:r>
          </w:p>
        </w:tc>
        <w:tc>
          <w:tcPr>
            <w:tcW w:w="1578"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683" w:type="dxa"/>
            <w:noWrap/>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log_T04L50</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4.8126</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0.0261</w:t>
            </w:r>
          </w:p>
        </w:tc>
        <w:tc>
          <w:tcPr>
            <w:tcW w:w="1683" w:type="dxa"/>
            <w:noWrap/>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3.98, 5.1</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log_T04L95</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5.0334</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0.0604</w:t>
            </w:r>
          </w:p>
        </w:tc>
        <w:tc>
          <w:tcPr>
            <w:tcW w:w="1683" w:type="dxa"/>
            <w:noWrap/>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3.98, 5.5</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log_T12L50</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4.8666</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0.0118</w:t>
            </w:r>
          </w:p>
        </w:tc>
        <w:tc>
          <w:tcPr>
            <w:tcW w:w="1683"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3.98, 6.0</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log_T12L95</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4.9637</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0.0281</w:t>
            </w:r>
          </w:p>
        </w:tc>
        <w:tc>
          <w:tcPr>
            <w:tcW w:w="1683"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4.0, 6.0</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log_R04L50</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4.9112</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0.0017</w:t>
            </w:r>
          </w:p>
        </w:tc>
        <w:tc>
          <w:tcPr>
            <w:tcW w:w="1683"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4.85, 4.98</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log_R04L95</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4.9540</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0.0036</w:t>
            </w:r>
          </w:p>
        </w:tc>
        <w:tc>
          <w:tcPr>
            <w:tcW w:w="1683"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4.9, 5.5</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log_R12L50</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4.9196</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0.0040</w:t>
            </w:r>
          </w:p>
        </w:tc>
        <w:tc>
          <w:tcPr>
            <w:tcW w:w="1683"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4.75,5.1</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log_R12L95</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4.9655</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0.0091</w:t>
            </w:r>
          </w:p>
        </w:tc>
        <w:tc>
          <w:tcPr>
            <w:tcW w:w="1683"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4.9, 5.5</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log_betar</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-0.3556</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0.6366</w:t>
            </w:r>
          </w:p>
        </w:tc>
        <w:tc>
          <w:tcPr>
            <w:tcW w:w="1683"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-4.6, 6.0</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logq2</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0.0985</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0.1255</w:t>
            </w:r>
          </w:p>
        </w:tc>
        <w:tc>
          <w:tcPr>
            <w:tcW w:w="1683"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-9.0, 2.0</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logq3</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-0.5161</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0.1732</w:t>
            </w:r>
          </w:p>
        </w:tc>
        <w:tc>
          <w:tcPr>
            <w:tcW w:w="1683"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-9.0, 5.01</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log_newsh1</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2.2130</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0.1591</w:t>
            </w:r>
          </w:p>
        </w:tc>
        <w:tc>
          <w:tcPr>
            <w:tcW w:w="1683"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0.01, 10.0</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log_mean_rec</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0.4719</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0.0730</w:t>
            </w:r>
          </w:p>
        </w:tc>
        <w:tc>
          <w:tcPr>
            <w:tcW w:w="1683"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0.01, 5.0</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log_mean_Fpot</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-0.4358</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0.1267</w:t>
            </w:r>
          </w:p>
        </w:tc>
        <w:tc>
          <w:tcPr>
            <w:tcW w:w="1683"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-15.0, -0.04</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log_mean_Fground</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-7.7193</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0.1541</w:t>
            </w:r>
          </w:p>
        </w:tc>
        <w:tc>
          <w:tcPr>
            <w:tcW w:w="1683"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-15.0, -1.6</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prelegal_var</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0.0103</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0.0050</w:t>
            </w:r>
          </w:p>
        </w:tc>
        <w:tc>
          <w:tcPr>
            <w:tcW w:w="1683"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0.0, 0.15</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Ftemp</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0.1800</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0.7071</w:t>
            </w:r>
          </w:p>
        </w:tc>
        <w:tc>
          <w:tcPr>
            <w:tcW w:w="1683" w:type="dxa"/>
            <w:noWrap/>
            <w:hideMark/>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0.0, 0.75</w:t>
            </w:r>
          </w:p>
        </w:tc>
      </w:tr>
      <w:tr w:rsidR="00B86BD8" w:rsidRPr="00872096" w:rsidTr="004E0D4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D45124" w:rsidRDefault="00B86BD8" w:rsidP="004E0D46">
            <w:r w:rsidRPr="00D45124">
              <w:t>2013 MMB</w:t>
            </w:r>
          </w:p>
        </w:tc>
        <w:tc>
          <w:tcPr>
            <w:tcW w:w="13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6110</w:t>
            </w:r>
          </w:p>
        </w:tc>
        <w:tc>
          <w:tcPr>
            <w:tcW w:w="1578" w:type="dxa"/>
            <w:noWrap/>
            <w:vAlign w:val="bottom"/>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pPr>
            <w:r w:rsidRPr="00E5297D">
              <w:t>2980</w:t>
            </w:r>
          </w:p>
        </w:tc>
        <w:tc>
          <w:tcPr>
            <w:tcW w:w="1683" w:type="dxa"/>
            <w:noWrap/>
          </w:tcPr>
          <w:p w:rsidR="00B86BD8" w:rsidRPr="00D45124" w:rsidRDefault="00B86BD8" w:rsidP="004E0D46">
            <w:pPr>
              <w:jc w:val="right"/>
              <w:cnfStyle w:val="000000000000" w:firstRow="0" w:lastRow="0" w:firstColumn="0" w:lastColumn="0" w:oddVBand="0" w:evenVBand="0" w:oddHBand="0" w:evenHBand="0" w:firstRowFirstColumn="0" w:firstRowLastColumn="0" w:lastRowFirstColumn="0" w:lastRowLastColumn="0"/>
              <w:rPr>
                <w:color w:val="000000"/>
              </w:rPr>
            </w:pPr>
          </w:p>
        </w:tc>
      </w:tr>
    </w:tbl>
    <w:p w:rsidR="00B86BD8" w:rsidRDefault="00B86BD8" w:rsidP="006B4EDE">
      <w:pPr>
        <w:pStyle w:val="Caption"/>
        <w:rPr>
          <w:szCs w:val="22"/>
        </w:rPr>
      </w:pPr>
      <w:r>
        <w:rPr>
          <w:szCs w:val="22"/>
        </w:rPr>
        <w:br w:type="page"/>
      </w:r>
      <w:r>
        <w:lastRenderedPageBreak/>
        <w:t xml:space="preserve">Table 16. </w:t>
      </w:r>
      <w:r>
        <w:rPr>
          <w:szCs w:val="22"/>
        </w:rPr>
        <w:t>Parameter e</w:t>
      </w:r>
      <w:r w:rsidRPr="00930D54">
        <w:rPr>
          <w:szCs w:val="22"/>
        </w:rPr>
        <w:t xml:space="preserve">stimates </w:t>
      </w:r>
      <w:r>
        <w:rPr>
          <w:szCs w:val="22"/>
        </w:rPr>
        <w:t xml:space="preserve">and </w:t>
      </w:r>
      <w:r w:rsidRPr="00930D54">
        <w:rPr>
          <w:szCs w:val="22"/>
        </w:rPr>
        <w:t>standard deviations</w:t>
      </w:r>
      <w:r>
        <w:rPr>
          <w:szCs w:val="22"/>
        </w:rPr>
        <w:t xml:space="preserve"> with the 2013 (February 15) MMB for</w:t>
      </w:r>
      <w:r w:rsidRPr="00930D54">
        <w:rPr>
          <w:szCs w:val="22"/>
        </w:rPr>
        <w:t xml:space="preserve"> the </w:t>
      </w:r>
      <w:r>
        <w:rPr>
          <w:szCs w:val="22"/>
        </w:rPr>
        <w:t xml:space="preserve">scenario 2 model </w:t>
      </w:r>
      <w:r w:rsidRPr="00930D54">
        <w:rPr>
          <w:szCs w:val="22"/>
        </w:rPr>
        <w:t xml:space="preserve">for the golden king crab data from the </w:t>
      </w:r>
      <w:r>
        <w:rPr>
          <w:szCs w:val="22"/>
        </w:rPr>
        <w:t>W</w:t>
      </w:r>
      <w:r w:rsidRPr="00930D54">
        <w:rPr>
          <w:szCs w:val="22"/>
        </w:rPr>
        <w:t>AG, 1985/86</w:t>
      </w:r>
      <w:r>
        <w:rPr>
          <w:szCs w:val="22"/>
        </w:rPr>
        <w:t>–</w:t>
      </w:r>
      <w:r w:rsidRPr="00930D54">
        <w:rPr>
          <w:szCs w:val="22"/>
        </w:rPr>
        <w:t>201</w:t>
      </w:r>
      <w:r>
        <w:rPr>
          <w:szCs w:val="22"/>
        </w:rPr>
        <w:t>2</w:t>
      </w:r>
      <w:r w:rsidRPr="00930D54">
        <w:rPr>
          <w:szCs w:val="22"/>
        </w:rPr>
        <w:t>/1</w:t>
      </w:r>
      <w:r>
        <w:rPr>
          <w:szCs w:val="22"/>
        </w:rPr>
        <w:t>3</w:t>
      </w:r>
      <w:r w:rsidRPr="00930D54">
        <w:rPr>
          <w:szCs w:val="22"/>
        </w:rPr>
        <w:t xml:space="preserve">. </w:t>
      </w:r>
      <w:r>
        <w:rPr>
          <w:szCs w:val="22"/>
        </w:rPr>
        <w:t xml:space="preserve">A total of </w:t>
      </w:r>
      <w:r w:rsidRPr="00930D54">
        <w:rPr>
          <w:szCs w:val="22"/>
        </w:rPr>
        <w:t>1</w:t>
      </w:r>
      <w:r>
        <w:rPr>
          <w:szCs w:val="22"/>
        </w:rPr>
        <w:t xml:space="preserve">06 </w:t>
      </w:r>
      <w:r w:rsidRPr="00930D54">
        <w:rPr>
          <w:szCs w:val="22"/>
        </w:rPr>
        <w:t>parameters were estimated, but recruitment</w:t>
      </w:r>
      <w:r>
        <w:rPr>
          <w:szCs w:val="22"/>
        </w:rPr>
        <w:t xml:space="preserve"> and</w:t>
      </w:r>
      <w:r w:rsidRPr="00930D54">
        <w:rPr>
          <w:szCs w:val="22"/>
        </w:rPr>
        <w:t xml:space="preserve"> fishing mortality deviations and initial size frequency determination paramet</w:t>
      </w:r>
      <w:r>
        <w:rPr>
          <w:szCs w:val="22"/>
        </w:rPr>
        <w:t>ers were omitted from this list.</w:t>
      </w:r>
    </w:p>
    <w:p w:rsidR="00B86BD8" w:rsidRDefault="00B86BD8" w:rsidP="00F07F3B"/>
    <w:tbl>
      <w:tblPr>
        <w:tblStyle w:val="TableClassic1"/>
        <w:tblW w:w="6590" w:type="dxa"/>
        <w:tblLook w:val="04A0" w:firstRow="1" w:lastRow="0" w:firstColumn="1" w:lastColumn="0" w:noHBand="0" w:noVBand="1"/>
      </w:tblPr>
      <w:tblGrid>
        <w:gridCol w:w="1951"/>
        <w:gridCol w:w="1378"/>
        <w:gridCol w:w="1578"/>
        <w:gridCol w:w="1683"/>
      </w:tblGrid>
      <w:tr w:rsidR="00B86BD8" w:rsidRPr="00872096" w:rsidTr="007037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rsidR="00B86BD8" w:rsidRPr="006F0B75" w:rsidRDefault="00B86BD8" w:rsidP="00703716">
            <w:pPr>
              <w:spacing w:after="120"/>
              <w:rPr>
                <w:color w:val="000000"/>
              </w:rPr>
            </w:pPr>
            <w:r w:rsidRPr="006F0B75">
              <w:rPr>
                <w:color w:val="000000"/>
              </w:rPr>
              <w:t>Parameter</w:t>
            </w:r>
          </w:p>
        </w:tc>
        <w:tc>
          <w:tcPr>
            <w:tcW w:w="1378" w:type="dxa"/>
            <w:noWrap/>
            <w:hideMark/>
          </w:tcPr>
          <w:p w:rsidR="00B86BD8" w:rsidRPr="006F0B75" w:rsidRDefault="00B86BD8" w:rsidP="00703716">
            <w:pPr>
              <w:spacing w:after="120"/>
              <w:cnfStyle w:val="100000000000" w:firstRow="1" w:lastRow="0" w:firstColumn="0" w:lastColumn="0" w:oddVBand="0" w:evenVBand="0" w:oddHBand="0" w:evenHBand="0" w:firstRowFirstColumn="0" w:firstRowLastColumn="0" w:lastRowFirstColumn="0" w:lastRowLastColumn="0"/>
              <w:rPr>
                <w:color w:val="000000"/>
              </w:rPr>
            </w:pPr>
            <w:r w:rsidRPr="006F0B75">
              <w:rPr>
                <w:color w:val="000000"/>
              </w:rPr>
              <w:t>Estimate</w:t>
            </w:r>
          </w:p>
        </w:tc>
        <w:tc>
          <w:tcPr>
            <w:tcW w:w="1578" w:type="dxa"/>
            <w:noWrap/>
            <w:hideMark/>
          </w:tcPr>
          <w:p w:rsidR="00B86BD8" w:rsidRPr="006F0B75" w:rsidRDefault="00B86BD8" w:rsidP="00703716">
            <w:pPr>
              <w:spacing w:after="120"/>
              <w:cnfStyle w:val="100000000000" w:firstRow="1" w:lastRow="0" w:firstColumn="0" w:lastColumn="0" w:oddVBand="0" w:evenVBand="0" w:oddHBand="0" w:evenHBand="0" w:firstRowFirstColumn="0" w:firstRowLastColumn="0" w:lastRowFirstColumn="0" w:lastRowLastColumn="0"/>
              <w:rPr>
                <w:color w:val="000000"/>
              </w:rPr>
            </w:pPr>
            <w:r w:rsidRPr="006F0B75">
              <w:rPr>
                <w:color w:val="000000"/>
              </w:rPr>
              <w:t>Std Dev</w:t>
            </w:r>
          </w:p>
        </w:tc>
        <w:tc>
          <w:tcPr>
            <w:tcW w:w="1683" w:type="dxa"/>
            <w:noWrap/>
            <w:hideMark/>
          </w:tcPr>
          <w:p w:rsidR="00B86BD8" w:rsidRPr="006F0B75" w:rsidRDefault="00B86BD8" w:rsidP="00703716">
            <w:pPr>
              <w:spacing w:after="120"/>
              <w:cnfStyle w:val="100000000000" w:firstRow="1" w:lastRow="0" w:firstColumn="0" w:lastColumn="0" w:oddVBand="0" w:evenVBand="0" w:oddHBand="0" w:evenHBand="0" w:firstRowFirstColumn="0" w:firstRowLastColumn="0" w:lastRowFirstColumn="0" w:lastRowLastColumn="0"/>
              <w:rPr>
                <w:color w:val="000000"/>
              </w:rPr>
            </w:pPr>
            <w:r>
              <w:rPr>
                <w:color w:val="000000"/>
              </w:rPr>
              <w:t>Limits</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FC47EE" w:rsidRDefault="00B86BD8" w:rsidP="00703716">
            <w:r w:rsidRPr="00FC47EE">
              <w:t>log_a</w:t>
            </w:r>
          </w:p>
        </w:tc>
        <w:tc>
          <w:tcPr>
            <w:tcW w:w="1378" w:type="dxa"/>
            <w:noWrap/>
            <w:vAlign w:val="bottom"/>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3.6348</w:t>
            </w:r>
          </w:p>
        </w:tc>
        <w:tc>
          <w:tcPr>
            <w:tcW w:w="1578" w:type="dxa"/>
            <w:noWrap/>
            <w:vAlign w:val="bottom"/>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0.1315</w:t>
            </w:r>
          </w:p>
        </w:tc>
        <w:tc>
          <w:tcPr>
            <w:tcW w:w="1683"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2.0, 3.8</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hideMark/>
          </w:tcPr>
          <w:p w:rsidR="00B86BD8" w:rsidRPr="00FC47EE" w:rsidRDefault="00B86BD8" w:rsidP="00703716">
            <w:r w:rsidRPr="00FC47EE">
              <w:t>G_b</w:t>
            </w:r>
          </w:p>
        </w:tc>
        <w:tc>
          <w:tcPr>
            <w:tcW w:w="1378" w:type="dxa"/>
            <w:noWrap/>
            <w:vAlign w:val="bottom"/>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-0.1773</w:t>
            </w:r>
          </w:p>
        </w:tc>
        <w:tc>
          <w:tcPr>
            <w:tcW w:w="1578" w:type="dxa"/>
            <w:noWrap/>
            <w:vAlign w:val="bottom"/>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0.0433</w:t>
            </w:r>
          </w:p>
        </w:tc>
        <w:tc>
          <w:tcPr>
            <w:tcW w:w="1683" w:type="dxa"/>
            <w:noWrap/>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 xml:space="preserve">-0.18, -0.0001 </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rsidR="00B86BD8" w:rsidRPr="00FC47EE" w:rsidRDefault="00B86BD8" w:rsidP="00703716">
            <w:pPr>
              <w:rPr>
                <w:color w:val="000000"/>
              </w:rPr>
            </w:pPr>
            <w:r w:rsidRPr="00FC47EE">
              <w:rPr>
                <w:color w:val="000000"/>
              </w:rPr>
              <w:t>log_beta</w:t>
            </w:r>
          </w:p>
        </w:tc>
        <w:tc>
          <w:tcPr>
            <w:tcW w:w="1378"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-0.3</w:t>
            </w:r>
          </w:p>
        </w:tc>
        <w:tc>
          <w:tcPr>
            <w:tcW w:w="1578"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683" w:type="dxa"/>
            <w:noWrap/>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B86BD8" w:rsidRPr="00872096" w:rsidTr="00F07F3B">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B86BD8" w:rsidRPr="00FC47EE" w:rsidRDefault="00B86BD8" w:rsidP="00703716">
            <w:pPr>
              <w:rPr>
                <w:color w:val="000000"/>
              </w:rPr>
            </w:pPr>
            <w:r>
              <w:rPr>
                <w:color w:val="000000"/>
              </w:rPr>
              <w:t>log_aa</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F07F3B">
              <w:t>-3.1174</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F07F3B">
              <w:t>0.4755</w:t>
            </w:r>
          </w:p>
        </w:tc>
        <w:tc>
          <w:tcPr>
            <w:tcW w:w="1683" w:type="dxa"/>
            <w:noWrap/>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-4.61, -1.39</w:t>
            </w:r>
          </w:p>
        </w:tc>
      </w:tr>
      <w:tr w:rsidR="00B86BD8" w:rsidRPr="00872096" w:rsidTr="00F07F3B">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B86BD8" w:rsidRPr="00FC47EE" w:rsidRDefault="00B86BD8" w:rsidP="00703716">
            <w:pPr>
              <w:rPr>
                <w:color w:val="000000"/>
              </w:rPr>
            </w:pPr>
            <w:r>
              <w:rPr>
                <w:color w:val="000000"/>
              </w:rPr>
              <w:t>log_b</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F07F3B">
              <w:t>5.0803</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F07F3B">
              <w:t>0.1291</w:t>
            </w:r>
          </w:p>
        </w:tc>
        <w:tc>
          <w:tcPr>
            <w:tcW w:w="1683" w:type="dxa"/>
            <w:noWrap/>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3.87, 6.0</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log_T04L50</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4.8028</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0.0236</w:t>
            </w:r>
          </w:p>
        </w:tc>
        <w:tc>
          <w:tcPr>
            <w:tcW w:w="1683" w:type="dxa"/>
            <w:noWrap/>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3.98, 5.1</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log_T04L95</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5.0076</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0.0481</w:t>
            </w:r>
          </w:p>
        </w:tc>
        <w:tc>
          <w:tcPr>
            <w:tcW w:w="1683" w:type="dxa"/>
            <w:noWrap/>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3.98, 5.5</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log_T12L50</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4.8646</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0.0114</w:t>
            </w:r>
          </w:p>
        </w:tc>
        <w:tc>
          <w:tcPr>
            <w:tcW w:w="1683"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3.98, 5.5</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log_T12L95</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4.9596</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0.0287</w:t>
            </w:r>
          </w:p>
        </w:tc>
        <w:tc>
          <w:tcPr>
            <w:tcW w:w="1683"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4.0, 5.5</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log_R04L50</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4.9093</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0.0027</w:t>
            </w:r>
          </w:p>
        </w:tc>
        <w:tc>
          <w:tcPr>
            <w:tcW w:w="1683"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4.85, 4.98</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log_R04L95</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4.9493</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0.0055</w:t>
            </w:r>
          </w:p>
        </w:tc>
        <w:tc>
          <w:tcPr>
            <w:tcW w:w="1683"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4.9, 5.5</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log_R12L50</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4.9186</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0.0042</w:t>
            </w:r>
          </w:p>
        </w:tc>
        <w:tc>
          <w:tcPr>
            <w:tcW w:w="1683"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4.75,5.1</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log_R12L95</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4.9642</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0.0097</w:t>
            </w:r>
          </w:p>
        </w:tc>
        <w:tc>
          <w:tcPr>
            <w:tcW w:w="1683"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4.9, 5.5</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log_betar</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-0.2552</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0.5446</w:t>
            </w:r>
          </w:p>
        </w:tc>
        <w:tc>
          <w:tcPr>
            <w:tcW w:w="1683"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-4.6, 6.0</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logq2</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0.1897</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0.1334</w:t>
            </w:r>
          </w:p>
        </w:tc>
        <w:tc>
          <w:tcPr>
            <w:tcW w:w="1683"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-9.0, 5.01</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logq3</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-0.4421</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0.1635</w:t>
            </w:r>
          </w:p>
        </w:tc>
        <w:tc>
          <w:tcPr>
            <w:tcW w:w="1683"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-9.0, 5.01</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log_newsh1</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2.1285</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0.1059</w:t>
            </w:r>
          </w:p>
        </w:tc>
        <w:tc>
          <w:tcPr>
            <w:tcW w:w="1683"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0.01, 10.0</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log_mean_rec</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0.4282</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0.0682</w:t>
            </w:r>
          </w:p>
        </w:tc>
        <w:tc>
          <w:tcPr>
            <w:tcW w:w="1683"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0.01, 5.0</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log_mean_Fpot</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-0.3327</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0.1334</w:t>
            </w:r>
          </w:p>
        </w:tc>
        <w:tc>
          <w:tcPr>
            <w:tcW w:w="1683"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-15.0, 0.5</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log_mean_Fground</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-7.6010</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0.1527</w:t>
            </w:r>
          </w:p>
        </w:tc>
        <w:tc>
          <w:tcPr>
            <w:tcW w:w="1683"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-15.0, -1.6</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prelegal_var</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0.0092</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0.0047</w:t>
            </w:r>
          </w:p>
        </w:tc>
        <w:tc>
          <w:tcPr>
            <w:tcW w:w="1683"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0.0, 0.15</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Ftemp</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0.1800</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0.7071</w:t>
            </w:r>
          </w:p>
        </w:tc>
        <w:tc>
          <w:tcPr>
            <w:tcW w:w="1683" w:type="dxa"/>
            <w:noWrap/>
            <w:hideMark/>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r w:rsidRPr="00D45124">
              <w:rPr>
                <w:color w:val="000000"/>
              </w:rPr>
              <w:t>0.0, 0.75</w:t>
            </w:r>
          </w:p>
        </w:tc>
      </w:tr>
      <w:tr w:rsidR="00B86BD8" w:rsidRPr="00872096" w:rsidTr="00703716">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B86BD8" w:rsidRPr="00FC47EE" w:rsidRDefault="00B86BD8" w:rsidP="00703716">
            <w:r w:rsidRPr="00FC47EE">
              <w:t>2013 MMB</w:t>
            </w:r>
          </w:p>
        </w:tc>
        <w:tc>
          <w:tcPr>
            <w:tcW w:w="13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5701</w:t>
            </w:r>
          </w:p>
        </w:tc>
        <w:tc>
          <w:tcPr>
            <w:tcW w:w="1578" w:type="dxa"/>
            <w:noWrap/>
            <w:vAlign w:val="bottom"/>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pPr>
            <w:r w:rsidRPr="00D45124">
              <w:t>2852</w:t>
            </w:r>
          </w:p>
        </w:tc>
        <w:tc>
          <w:tcPr>
            <w:tcW w:w="1683" w:type="dxa"/>
            <w:noWrap/>
          </w:tcPr>
          <w:p w:rsidR="00B86BD8" w:rsidRPr="00D45124" w:rsidRDefault="00B86BD8" w:rsidP="00703716">
            <w:pPr>
              <w:jc w:val="right"/>
              <w:cnfStyle w:val="000000000000" w:firstRow="0" w:lastRow="0" w:firstColumn="0" w:lastColumn="0" w:oddVBand="0" w:evenVBand="0" w:oddHBand="0" w:evenHBand="0" w:firstRowFirstColumn="0" w:firstRowLastColumn="0" w:lastRowFirstColumn="0" w:lastRowLastColumn="0"/>
              <w:rPr>
                <w:color w:val="000000"/>
              </w:rPr>
            </w:pPr>
          </w:p>
        </w:tc>
      </w:tr>
    </w:tbl>
    <w:p w:rsidR="00B86BD8" w:rsidRDefault="00B86BD8" w:rsidP="00F07F3B"/>
    <w:p w:rsidR="00B86BD8" w:rsidRDefault="00B86BD8" w:rsidP="00F07F3B"/>
    <w:p w:rsidR="00B86BD8" w:rsidRPr="00E5297D" w:rsidRDefault="00B86BD8" w:rsidP="00F07F3B"/>
    <w:p w:rsidR="00B86BD8" w:rsidRDefault="00B86BD8" w:rsidP="006B4EDE"/>
    <w:p w:rsidR="00B86BD8" w:rsidRDefault="00B86BD8">
      <w:pPr>
        <w:rPr>
          <w:szCs w:val="22"/>
        </w:rPr>
        <w:sectPr w:rsidR="00B86BD8" w:rsidSect="006B4EDE">
          <w:pgSz w:w="12240" w:h="15840" w:code="1"/>
          <w:pgMar w:top="1440" w:right="1800" w:bottom="1440" w:left="1800" w:header="720" w:footer="720" w:gutter="0"/>
          <w:cols w:space="720"/>
          <w:titlePg/>
          <w:docGrid w:linePitch="360"/>
        </w:sectPr>
      </w:pPr>
      <w:r>
        <w:rPr>
          <w:szCs w:val="22"/>
        </w:rPr>
        <w:br w:type="page"/>
      </w:r>
    </w:p>
    <w:p w:rsidR="00B86BD8" w:rsidRPr="00600E05" w:rsidRDefault="00B86BD8" w:rsidP="00473834">
      <w:pPr>
        <w:spacing w:line="360" w:lineRule="auto"/>
        <w:rPr>
          <w:sz w:val="22"/>
          <w:szCs w:val="22"/>
        </w:rPr>
      </w:pPr>
      <w:r w:rsidRPr="00600E05">
        <w:rPr>
          <w:sz w:val="22"/>
          <w:szCs w:val="22"/>
        </w:rPr>
        <w:lastRenderedPageBreak/>
        <w:t xml:space="preserve">Table </w:t>
      </w:r>
      <w:r>
        <w:rPr>
          <w:sz w:val="22"/>
          <w:szCs w:val="22"/>
        </w:rPr>
        <w:t>17</w:t>
      </w:r>
      <w:r w:rsidRPr="00600E05">
        <w:rPr>
          <w:sz w:val="22"/>
          <w:szCs w:val="22"/>
        </w:rPr>
        <w:t xml:space="preserve">. Estimate of the size transition matrix for the scenario 1 model for the golden king crab data from the </w:t>
      </w:r>
      <w:r>
        <w:rPr>
          <w:sz w:val="22"/>
          <w:szCs w:val="22"/>
        </w:rPr>
        <w:t>W</w:t>
      </w:r>
      <w:r w:rsidRPr="00600E05">
        <w:rPr>
          <w:sz w:val="22"/>
          <w:szCs w:val="22"/>
        </w:rPr>
        <w:t xml:space="preserve">AG. </w:t>
      </w:r>
    </w:p>
    <w:tbl>
      <w:tblPr>
        <w:tblW w:w="1090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80"/>
        <w:gridCol w:w="780"/>
        <w:gridCol w:w="740"/>
        <w:gridCol w:w="800"/>
        <w:gridCol w:w="800"/>
        <w:gridCol w:w="745"/>
        <w:gridCol w:w="815"/>
        <w:gridCol w:w="820"/>
        <w:gridCol w:w="760"/>
        <w:gridCol w:w="860"/>
        <w:gridCol w:w="700"/>
        <w:gridCol w:w="740"/>
        <w:gridCol w:w="740"/>
        <w:gridCol w:w="820"/>
      </w:tblGrid>
      <w:tr w:rsidR="00B86BD8" w:rsidRPr="00E93D60" w:rsidTr="004E0D46">
        <w:trPr>
          <w:trHeight w:val="264"/>
        </w:trPr>
        <w:tc>
          <w:tcPr>
            <w:tcW w:w="78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78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0.0020</w:t>
            </w:r>
          </w:p>
        </w:tc>
        <w:tc>
          <w:tcPr>
            <w:tcW w:w="74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0.1663</w:t>
            </w:r>
          </w:p>
        </w:tc>
        <w:tc>
          <w:tcPr>
            <w:tcW w:w="80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0.5310</w:t>
            </w:r>
          </w:p>
        </w:tc>
        <w:tc>
          <w:tcPr>
            <w:tcW w:w="80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0.2614</w:t>
            </w:r>
          </w:p>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0.0371</w:t>
            </w:r>
          </w:p>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0.0022</w:t>
            </w:r>
          </w:p>
        </w:tc>
        <w:tc>
          <w:tcPr>
            <w:tcW w:w="82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0.0001</w:t>
            </w:r>
          </w:p>
        </w:tc>
        <w:tc>
          <w:tcPr>
            <w:tcW w:w="76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86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70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74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74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82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0.0047</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0.2403</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0.5373</w:t>
            </w:r>
          </w:p>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0.1952</w:t>
            </w:r>
          </w:p>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0.0214</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0.0010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0.0108</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0.3289</w:t>
            </w:r>
          </w:p>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0.5119</w:t>
            </w:r>
          </w:p>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0.1364</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0.0115</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0.0004</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0.0230</w:t>
            </w:r>
          </w:p>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0.4251</w:t>
            </w:r>
          </w:p>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0.4571</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0.0888</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0.0058</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0.0002</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0.0459</w:t>
            </w:r>
          </w:p>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0.5172</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0.3806</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0.0536</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0.0027</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0.0001</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0.0856</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0.5900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0.2935</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0.0297</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0.0011</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0.0001</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0.1488</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0.6276</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0.2081</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0.0151</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0.0004</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0.0003</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0.2402</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0.6180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0.1344</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0.0069</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0.0002</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0.0011</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0.3594</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0.5583</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0.0783</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0.0028</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0.0039</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0.4973</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0.4571</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0.0407</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0.0011</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0.0126</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0.6346</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0.3340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0.0189</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0.0360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0.7431</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0.2209</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0.0897</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0.9103</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1.0000</w:t>
            </w:r>
          </w:p>
        </w:tc>
      </w:tr>
    </w:tbl>
    <w:p w:rsidR="00B86BD8" w:rsidRPr="00600E05" w:rsidRDefault="00B86BD8" w:rsidP="00473834">
      <w:pPr>
        <w:spacing w:line="360" w:lineRule="auto"/>
        <w:rPr>
          <w:sz w:val="22"/>
          <w:szCs w:val="22"/>
        </w:rPr>
      </w:pPr>
      <w:r w:rsidRPr="00600E05">
        <w:rPr>
          <w:sz w:val="22"/>
          <w:szCs w:val="22"/>
        </w:rPr>
        <w:t xml:space="preserve">Table </w:t>
      </w:r>
      <w:r>
        <w:rPr>
          <w:sz w:val="22"/>
          <w:szCs w:val="22"/>
        </w:rPr>
        <w:t>18</w:t>
      </w:r>
      <w:r w:rsidRPr="00600E05">
        <w:rPr>
          <w:sz w:val="22"/>
          <w:szCs w:val="22"/>
        </w:rPr>
        <w:t xml:space="preserve">. Estimate of the size transition matrix for the scenario </w:t>
      </w:r>
      <w:r>
        <w:rPr>
          <w:sz w:val="22"/>
          <w:szCs w:val="22"/>
        </w:rPr>
        <w:t>2</w:t>
      </w:r>
      <w:r w:rsidRPr="00600E05">
        <w:rPr>
          <w:sz w:val="22"/>
          <w:szCs w:val="22"/>
        </w:rPr>
        <w:t xml:space="preserve"> model for the golden king crab data from the </w:t>
      </w:r>
      <w:r>
        <w:rPr>
          <w:sz w:val="22"/>
          <w:szCs w:val="22"/>
        </w:rPr>
        <w:t>W</w:t>
      </w:r>
      <w:r w:rsidRPr="00600E05">
        <w:rPr>
          <w:sz w:val="22"/>
          <w:szCs w:val="22"/>
        </w:rPr>
        <w:t xml:space="preserve">AG. </w:t>
      </w:r>
    </w:p>
    <w:tbl>
      <w:tblPr>
        <w:tblW w:w="1090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80"/>
        <w:gridCol w:w="780"/>
        <w:gridCol w:w="740"/>
        <w:gridCol w:w="800"/>
        <w:gridCol w:w="800"/>
        <w:gridCol w:w="745"/>
        <w:gridCol w:w="815"/>
        <w:gridCol w:w="820"/>
        <w:gridCol w:w="760"/>
        <w:gridCol w:w="860"/>
        <w:gridCol w:w="700"/>
        <w:gridCol w:w="740"/>
        <w:gridCol w:w="740"/>
        <w:gridCol w:w="820"/>
      </w:tblGrid>
      <w:tr w:rsidR="00B86BD8" w:rsidRPr="00E93D60" w:rsidTr="004E0D46">
        <w:trPr>
          <w:trHeight w:val="264"/>
        </w:trPr>
        <w:tc>
          <w:tcPr>
            <w:tcW w:w="78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0.0717</w:t>
            </w:r>
          </w:p>
        </w:tc>
        <w:tc>
          <w:tcPr>
            <w:tcW w:w="78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74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0.0266</w:t>
            </w:r>
          </w:p>
        </w:tc>
        <w:tc>
          <w:tcPr>
            <w:tcW w:w="80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0.3027</w:t>
            </w:r>
          </w:p>
        </w:tc>
        <w:tc>
          <w:tcPr>
            <w:tcW w:w="80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0.4276</w:t>
            </w:r>
          </w:p>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0.1504</w:t>
            </w:r>
          </w:p>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0.0199</w:t>
            </w:r>
          </w:p>
        </w:tc>
        <w:tc>
          <w:tcPr>
            <w:tcW w:w="82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0.0011</w:t>
            </w:r>
          </w:p>
        </w:tc>
        <w:tc>
          <w:tcPr>
            <w:tcW w:w="76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86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70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74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74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820"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0.0880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0.0001</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0.0448</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0.3620</w:t>
            </w:r>
          </w:p>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0.3864</w:t>
            </w:r>
          </w:p>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0.1067</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0.0114</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0.0005</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0.1074</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0.0004</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0.0720</w:t>
            </w:r>
          </w:p>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0.4117</w:t>
            </w:r>
          </w:p>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0.3307</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0.0714</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0.0062</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0.0002</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0.1306</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0.0009</w:t>
            </w:r>
          </w:p>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0.1096</w:t>
            </w:r>
          </w:p>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0.4437</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0.2670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0.0450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0.0032</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0.0001</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0.1578</w:t>
            </w:r>
          </w:p>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0.0022</w:t>
            </w:r>
          </w:p>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0.1578</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0.4516</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0.2025</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0.0265</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0.0015</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0.1895</w:t>
            </w:r>
          </w:p>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0.0049</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0.2146</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0.4321</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0.1436</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0.0146</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0.0007</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0.2258</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0.0103</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0.2746</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0.3868</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0.0947</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0.0074</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0.0003</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0.0000</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0.2669</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0.0202</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0.3295</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0.3221</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0.0577</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0.0035</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0.0001</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0.3123</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0.0368</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0.3691</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0.2480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0.0323</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0.0015</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0.3617</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0.0620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0.3840</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0.1752</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0.0171</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0.4143</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0.0964</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0.3688</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0.1205</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0.4689</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0.1379</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0.3931</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0.5247</w:t>
            </w:r>
          </w:p>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0.4753</w:t>
            </w:r>
          </w:p>
        </w:tc>
      </w:tr>
      <w:tr w:rsidR="00B86BD8" w:rsidRPr="00E93D60" w:rsidTr="004E0D46">
        <w:trPr>
          <w:trHeight w:val="264"/>
        </w:trPr>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745" w:type="dxa"/>
            <w:shd w:val="clear" w:color="auto" w:fill="auto"/>
            <w:noWrap/>
            <w:tcMar>
              <w:top w:w="15" w:type="dxa"/>
              <w:left w:w="15" w:type="dxa"/>
              <w:bottom w:w="0" w:type="dxa"/>
              <w:right w:w="15" w:type="dxa"/>
            </w:tcMar>
            <w:vAlign w:val="bottom"/>
            <w:hideMark/>
          </w:tcPr>
          <w:p w:rsidR="00B86BD8" w:rsidRPr="00BF4DDE" w:rsidRDefault="00B86BD8" w:rsidP="004E0D46"/>
        </w:tc>
        <w:tc>
          <w:tcPr>
            <w:tcW w:w="815" w:type="dxa"/>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tc>
        <w:tc>
          <w:tcPr>
            <w:tcW w:w="0" w:type="auto"/>
            <w:shd w:val="clear" w:color="auto" w:fill="auto"/>
            <w:noWrap/>
            <w:tcMar>
              <w:top w:w="15" w:type="dxa"/>
              <w:left w:w="15" w:type="dxa"/>
              <w:bottom w:w="0" w:type="dxa"/>
              <w:right w:w="15" w:type="dxa"/>
            </w:tcMar>
            <w:vAlign w:val="bottom"/>
            <w:hideMark/>
          </w:tcPr>
          <w:p w:rsidR="00B86BD8" w:rsidRPr="00BF4DDE" w:rsidRDefault="00B86BD8" w:rsidP="004E0D46">
            <w:pPr>
              <w:jc w:val="right"/>
            </w:pPr>
            <w:r w:rsidRPr="00BF4DDE">
              <w:t>1.0000</w:t>
            </w:r>
          </w:p>
        </w:tc>
      </w:tr>
    </w:tbl>
    <w:p w:rsidR="00B86BD8" w:rsidRDefault="00B86BD8" w:rsidP="00F07F3B">
      <w:r>
        <w:rPr>
          <w:szCs w:val="22"/>
        </w:rPr>
        <w:br w:type="page"/>
      </w:r>
      <w:r>
        <w:lastRenderedPageBreak/>
        <w:t xml:space="preserve">Table 19.  Correlation matrix of molt probability [ln(aa) and ln(b)] and growth increment [ ln(a) and G_b] parameters for </w:t>
      </w:r>
      <w:r w:rsidRPr="00930D54">
        <w:rPr>
          <w:szCs w:val="22"/>
        </w:rPr>
        <w:t xml:space="preserve">the </w:t>
      </w:r>
      <w:r>
        <w:rPr>
          <w:szCs w:val="22"/>
        </w:rPr>
        <w:t xml:space="preserve">scenario 2 model </w:t>
      </w:r>
      <w:r w:rsidRPr="00930D54">
        <w:rPr>
          <w:szCs w:val="22"/>
        </w:rPr>
        <w:t xml:space="preserve">for the golden king crab data from the </w:t>
      </w:r>
      <w:r>
        <w:rPr>
          <w:szCs w:val="22"/>
        </w:rPr>
        <w:t>W</w:t>
      </w:r>
      <w:r w:rsidRPr="00930D54">
        <w:rPr>
          <w:szCs w:val="22"/>
        </w:rPr>
        <w:t>AG</w:t>
      </w:r>
      <w:r>
        <w:rPr>
          <w:szCs w:val="22"/>
        </w:rPr>
        <w:t>.</w:t>
      </w:r>
      <w:r>
        <w:t xml:space="preserve"> The beta parameter of the Gamma distribution function was fixed at log (beta) = -0.3.</w:t>
      </w:r>
    </w:p>
    <w:p w:rsidR="00B86BD8" w:rsidRDefault="00B86BD8">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B86BD8" w:rsidTr="004E0D46">
        <w:tc>
          <w:tcPr>
            <w:tcW w:w="1771" w:type="dxa"/>
            <w:tcBorders>
              <w:top w:val="single" w:sz="4" w:space="0" w:color="auto"/>
            </w:tcBorders>
          </w:tcPr>
          <w:p w:rsidR="00B86BD8" w:rsidRDefault="00B86BD8" w:rsidP="004E0D46">
            <w:pPr>
              <w:spacing w:line="360" w:lineRule="auto"/>
            </w:pPr>
          </w:p>
        </w:tc>
        <w:tc>
          <w:tcPr>
            <w:tcW w:w="1771" w:type="dxa"/>
            <w:tcBorders>
              <w:top w:val="single" w:sz="4" w:space="0" w:color="auto"/>
            </w:tcBorders>
          </w:tcPr>
          <w:p w:rsidR="00B86BD8" w:rsidRDefault="00B86BD8" w:rsidP="004E0D46">
            <w:pPr>
              <w:spacing w:line="360" w:lineRule="auto"/>
            </w:pPr>
            <w:r>
              <w:t>Ln(a)</w:t>
            </w:r>
          </w:p>
        </w:tc>
        <w:tc>
          <w:tcPr>
            <w:tcW w:w="1771" w:type="dxa"/>
            <w:tcBorders>
              <w:top w:val="single" w:sz="4" w:space="0" w:color="auto"/>
            </w:tcBorders>
          </w:tcPr>
          <w:p w:rsidR="00B86BD8" w:rsidRDefault="00B86BD8" w:rsidP="004E0D46">
            <w:pPr>
              <w:spacing w:line="360" w:lineRule="auto"/>
            </w:pPr>
            <w:r>
              <w:t>G_b</w:t>
            </w:r>
          </w:p>
        </w:tc>
        <w:tc>
          <w:tcPr>
            <w:tcW w:w="1771" w:type="dxa"/>
            <w:tcBorders>
              <w:top w:val="single" w:sz="4" w:space="0" w:color="auto"/>
            </w:tcBorders>
          </w:tcPr>
          <w:p w:rsidR="00B86BD8" w:rsidRDefault="00B86BD8" w:rsidP="004E0D46">
            <w:pPr>
              <w:spacing w:line="360" w:lineRule="auto"/>
            </w:pPr>
            <w:r>
              <w:t>Ln (aa)</w:t>
            </w:r>
          </w:p>
        </w:tc>
        <w:tc>
          <w:tcPr>
            <w:tcW w:w="1772" w:type="dxa"/>
            <w:tcBorders>
              <w:top w:val="single" w:sz="4" w:space="0" w:color="auto"/>
            </w:tcBorders>
          </w:tcPr>
          <w:p w:rsidR="00B86BD8" w:rsidRDefault="00B86BD8" w:rsidP="004E0D46">
            <w:pPr>
              <w:spacing w:line="360" w:lineRule="auto"/>
            </w:pPr>
            <w:r>
              <w:t>Ln(b)</w:t>
            </w:r>
          </w:p>
        </w:tc>
      </w:tr>
      <w:tr w:rsidR="00B86BD8" w:rsidTr="004E0D46">
        <w:tc>
          <w:tcPr>
            <w:tcW w:w="1771" w:type="dxa"/>
          </w:tcPr>
          <w:p w:rsidR="00B86BD8" w:rsidRDefault="00B86BD8" w:rsidP="004E0D46">
            <w:pPr>
              <w:spacing w:line="360" w:lineRule="auto"/>
            </w:pPr>
            <w:r>
              <w:t>Ln(a)</w:t>
            </w:r>
          </w:p>
        </w:tc>
        <w:tc>
          <w:tcPr>
            <w:tcW w:w="1771" w:type="dxa"/>
          </w:tcPr>
          <w:p w:rsidR="00B86BD8" w:rsidRDefault="00B86BD8" w:rsidP="004E0D46">
            <w:pPr>
              <w:spacing w:line="360" w:lineRule="auto"/>
            </w:pPr>
            <w:r>
              <w:t>1</w:t>
            </w:r>
          </w:p>
        </w:tc>
        <w:tc>
          <w:tcPr>
            <w:tcW w:w="1771" w:type="dxa"/>
          </w:tcPr>
          <w:p w:rsidR="00B86BD8" w:rsidRDefault="00B86BD8" w:rsidP="004E0D46">
            <w:pPr>
              <w:spacing w:line="360" w:lineRule="auto"/>
            </w:pPr>
          </w:p>
        </w:tc>
        <w:tc>
          <w:tcPr>
            <w:tcW w:w="1771" w:type="dxa"/>
          </w:tcPr>
          <w:p w:rsidR="00B86BD8" w:rsidRDefault="00B86BD8" w:rsidP="004E0D46">
            <w:pPr>
              <w:spacing w:line="360" w:lineRule="auto"/>
            </w:pPr>
          </w:p>
        </w:tc>
        <w:tc>
          <w:tcPr>
            <w:tcW w:w="1772" w:type="dxa"/>
          </w:tcPr>
          <w:p w:rsidR="00B86BD8" w:rsidRDefault="00B86BD8" w:rsidP="004E0D46">
            <w:pPr>
              <w:spacing w:line="360" w:lineRule="auto"/>
            </w:pPr>
          </w:p>
        </w:tc>
      </w:tr>
      <w:tr w:rsidR="00B86BD8" w:rsidTr="004E0D46">
        <w:trPr>
          <w:trHeight w:val="305"/>
        </w:trPr>
        <w:tc>
          <w:tcPr>
            <w:tcW w:w="1771" w:type="dxa"/>
          </w:tcPr>
          <w:p w:rsidR="00B86BD8" w:rsidRDefault="00B86BD8" w:rsidP="004E0D46">
            <w:pPr>
              <w:spacing w:line="360" w:lineRule="auto"/>
            </w:pPr>
            <w:r>
              <w:t>G_b</w:t>
            </w:r>
          </w:p>
        </w:tc>
        <w:tc>
          <w:tcPr>
            <w:tcW w:w="1771" w:type="dxa"/>
          </w:tcPr>
          <w:p w:rsidR="00B86BD8" w:rsidRDefault="00B86BD8">
            <w:pPr>
              <w:spacing w:line="360" w:lineRule="auto"/>
            </w:pPr>
            <w:r>
              <w:t>-0.96</w:t>
            </w:r>
          </w:p>
        </w:tc>
        <w:tc>
          <w:tcPr>
            <w:tcW w:w="1771" w:type="dxa"/>
          </w:tcPr>
          <w:p w:rsidR="00B86BD8" w:rsidRDefault="00B86BD8" w:rsidP="004E0D46">
            <w:pPr>
              <w:spacing w:line="360" w:lineRule="auto"/>
            </w:pPr>
            <w:r>
              <w:t>1</w:t>
            </w:r>
          </w:p>
        </w:tc>
        <w:tc>
          <w:tcPr>
            <w:tcW w:w="1771" w:type="dxa"/>
          </w:tcPr>
          <w:p w:rsidR="00B86BD8" w:rsidRDefault="00B86BD8" w:rsidP="004E0D46">
            <w:pPr>
              <w:spacing w:line="360" w:lineRule="auto"/>
            </w:pPr>
          </w:p>
        </w:tc>
        <w:tc>
          <w:tcPr>
            <w:tcW w:w="1772" w:type="dxa"/>
          </w:tcPr>
          <w:p w:rsidR="00B86BD8" w:rsidRDefault="00B86BD8" w:rsidP="004E0D46">
            <w:pPr>
              <w:spacing w:line="360" w:lineRule="auto"/>
            </w:pPr>
          </w:p>
        </w:tc>
      </w:tr>
      <w:tr w:rsidR="00B86BD8" w:rsidTr="004E0D46">
        <w:tc>
          <w:tcPr>
            <w:tcW w:w="1771" w:type="dxa"/>
          </w:tcPr>
          <w:p w:rsidR="00B86BD8" w:rsidRDefault="00B86BD8" w:rsidP="004E0D46">
            <w:pPr>
              <w:spacing w:line="360" w:lineRule="auto"/>
            </w:pPr>
            <w:r>
              <w:t>Ln (aa)</w:t>
            </w:r>
          </w:p>
        </w:tc>
        <w:tc>
          <w:tcPr>
            <w:tcW w:w="1771" w:type="dxa"/>
          </w:tcPr>
          <w:p w:rsidR="00B86BD8" w:rsidRDefault="00B86BD8">
            <w:pPr>
              <w:spacing w:line="360" w:lineRule="auto"/>
            </w:pPr>
            <w:r>
              <w:t>-0.61</w:t>
            </w:r>
          </w:p>
        </w:tc>
        <w:tc>
          <w:tcPr>
            <w:tcW w:w="1771" w:type="dxa"/>
          </w:tcPr>
          <w:p w:rsidR="00B86BD8" w:rsidRDefault="00B86BD8">
            <w:pPr>
              <w:spacing w:line="360" w:lineRule="auto"/>
            </w:pPr>
            <w:r>
              <w:t>0.77</w:t>
            </w:r>
          </w:p>
        </w:tc>
        <w:tc>
          <w:tcPr>
            <w:tcW w:w="1771" w:type="dxa"/>
          </w:tcPr>
          <w:p w:rsidR="00B86BD8" w:rsidRDefault="00B86BD8" w:rsidP="004E0D46">
            <w:pPr>
              <w:spacing w:line="360" w:lineRule="auto"/>
            </w:pPr>
            <w:r>
              <w:t>1</w:t>
            </w:r>
          </w:p>
        </w:tc>
        <w:tc>
          <w:tcPr>
            <w:tcW w:w="1772" w:type="dxa"/>
          </w:tcPr>
          <w:p w:rsidR="00B86BD8" w:rsidRDefault="00B86BD8" w:rsidP="004E0D46">
            <w:pPr>
              <w:spacing w:line="360" w:lineRule="auto"/>
            </w:pPr>
          </w:p>
        </w:tc>
      </w:tr>
      <w:tr w:rsidR="00B86BD8" w:rsidTr="004E0D46">
        <w:tc>
          <w:tcPr>
            <w:tcW w:w="1771" w:type="dxa"/>
            <w:tcBorders>
              <w:bottom w:val="single" w:sz="4" w:space="0" w:color="auto"/>
            </w:tcBorders>
          </w:tcPr>
          <w:p w:rsidR="00B86BD8" w:rsidRDefault="00B86BD8" w:rsidP="004E0D46">
            <w:pPr>
              <w:spacing w:line="360" w:lineRule="auto"/>
            </w:pPr>
            <w:r>
              <w:t>Ln(b)</w:t>
            </w:r>
          </w:p>
        </w:tc>
        <w:tc>
          <w:tcPr>
            <w:tcW w:w="1771" w:type="dxa"/>
            <w:tcBorders>
              <w:bottom w:val="single" w:sz="4" w:space="0" w:color="auto"/>
            </w:tcBorders>
          </w:tcPr>
          <w:p w:rsidR="00B86BD8" w:rsidRDefault="00B86BD8">
            <w:pPr>
              <w:spacing w:line="360" w:lineRule="auto"/>
            </w:pPr>
            <w:r>
              <w:t>0.56</w:t>
            </w:r>
          </w:p>
        </w:tc>
        <w:tc>
          <w:tcPr>
            <w:tcW w:w="1771" w:type="dxa"/>
            <w:tcBorders>
              <w:bottom w:val="single" w:sz="4" w:space="0" w:color="auto"/>
            </w:tcBorders>
          </w:tcPr>
          <w:p w:rsidR="00B86BD8" w:rsidRDefault="00B86BD8">
            <w:pPr>
              <w:spacing w:line="360" w:lineRule="auto"/>
            </w:pPr>
            <w:r>
              <w:t>-0.76</w:t>
            </w:r>
          </w:p>
        </w:tc>
        <w:tc>
          <w:tcPr>
            <w:tcW w:w="1771" w:type="dxa"/>
            <w:tcBorders>
              <w:bottom w:val="single" w:sz="4" w:space="0" w:color="auto"/>
            </w:tcBorders>
          </w:tcPr>
          <w:p w:rsidR="00B86BD8" w:rsidRDefault="00B86BD8">
            <w:pPr>
              <w:spacing w:line="360" w:lineRule="auto"/>
            </w:pPr>
            <w:r>
              <w:t>-0.87</w:t>
            </w:r>
          </w:p>
        </w:tc>
        <w:tc>
          <w:tcPr>
            <w:tcW w:w="1772" w:type="dxa"/>
            <w:tcBorders>
              <w:bottom w:val="single" w:sz="4" w:space="0" w:color="auto"/>
            </w:tcBorders>
          </w:tcPr>
          <w:p w:rsidR="00B86BD8" w:rsidRDefault="00B86BD8" w:rsidP="004E0D46">
            <w:pPr>
              <w:spacing w:line="360" w:lineRule="auto"/>
            </w:pPr>
            <w:r>
              <w:t>1</w:t>
            </w:r>
          </w:p>
        </w:tc>
      </w:tr>
    </w:tbl>
    <w:p w:rsidR="00B86BD8" w:rsidRDefault="00B86BD8">
      <w:pPr>
        <w:rPr>
          <w:szCs w:val="22"/>
        </w:rPr>
        <w:sectPr w:rsidR="00B86BD8" w:rsidSect="004E0D46">
          <w:pgSz w:w="15840" w:h="12240" w:orient="landscape" w:code="1"/>
          <w:pgMar w:top="1800" w:right="1440" w:bottom="1800" w:left="1440" w:header="720" w:footer="720" w:gutter="0"/>
          <w:cols w:space="720"/>
          <w:titlePg/>
          <w:docGrid w:linePitch="360"/>
        </w:sectPr>
      </w:pPr>
    </w:p>
    <w:p w:rsidR="00B86BD8" w:rsidRDefault="00B86BD8">
      <w:pPr>
        <w:rPr>
          <w:szCs w:val="22"/>
        </w:rPr>
      </w:pPr>
    </w:p>
    <w:p w:rsidR="00B86BD8" w:rsidRPr="00107BC6" w:rsidRDefault="00B86BD8" w:rsidP="006B4EDE">
      <w:pPr>
        <w:pStyle w:val="Caption"/>
        <w:rPr>
          <w:szCs w:val="22"/>
        </w:rPr>
      </w:pPr>
      <w:r w:rsidRPr="00F07F3B">
        <w:rPr>
          <w:sz w:val="20"/>
          <w:szCs w:val="20"/>
        </w:rPr>
        <w:t xml:space="preserve">Table </w:t>
      </w:r>
      <w:r>
        <w:rPr>
          <w:sz w:val="20"/>
          <w:szCs w:val="20"/>
        </w:rPr>
        <w:t>20</w:t>
      </w:r>
      <w:r w:rsidRPr="00F07F3B">
        <w:rPr>
          <w:sz w:val="20"/>
          <w:szCs w:val="20"/>
        </w:rPr>
        <w:t>. Annual abundance estimates of  model recruits (millions of crabs), legal male biomass</w:t>
      </w:r>
      <w:r>
        <w:rPr>
          <w:szCs w:val="22"/>
        </w:rPr>
        <w:t xml:space="preserve"> with standard deviation (t), and </w:t>
      </w:r>
      <w:r w:rsidRPr="00B147B6">
        <w:rPr>
          <w:szCs w:val="22"/>
        </w:rPr>
        <w:t xml:space="preserve">mature </w:t>
      </w:r>
      <w:r>
        <w:rPr>
          <w:szCs w:val="22"/>
        </w:rPr>
        <w:t xml:space="preserve">male </w:t>
      </w:r>
      <w:r w:rsidRPr="00B147B6">
        <w:rPr>
          <w:szCs w:val="22"/>
        </w:rPr>
        <w:t xml:space="preserve">biomass </w:t>
      </w:r>
      <w:r>
        <w:rPr>
          <w:szCs w:val="22"/>
        </w:rPr>
        <w:t xml:space="preserve">with standard deviation </w:t>
      </w:r>
      <w:r w:rsidRPr="00B147B6">
        <w:rPr>
          <w:szCs w:val="22"/>
        </w:rPr>
        <w:t>(t)</w:t>
      </w:r>
      <w:r w:rsidRPr="00DC4C99">
        <w:rPr>
          <w:szCs w:val="22"/>
        </w:rPr>
        <w:t xml:space="preserve"> </w:t>
      </w:r>
      <w:r>
        <w:rPr>
          <w:szCs w:val="22"/>
        </w:rPr>
        <w:t>for</w:t>
      </w:r>
      <w:r w:rsidRPr="00930D54">
        <w:rPr>
          <w:szCs w:val="22"/>
        </w:rPr>
        <w:t xml:space="preserve"> the </w:t>
      </w:r>
      <w:r>
        <w:rPr>
          <w:szCs w:val="22"/>
        </w:rPr>
        <w:t xml:space="preserve">scenario 1 model </w:t>
      </w:r>
      <w:r w:rsidRPr="00B147B6">
        <w:rPr>
          <w:szCs w:val="22"/>
        </w:rPr>
        <w:t xml:space="preserve">for golden king crab in the </w:t>
      </w:r>
      <w:r>
        <w:rPr>
          <w:szCs w:val="22"/>
        </w:rPr>
        <w:t>W</w:t>
      </w:r>
      <w:r w:rsidRPr="00B147B6">
        <w:rPr>
          <w:szCs w:val="22"/>
        </w:rPr>
        <w:t>AG. Legal male biomass was estimated at the survey time and mature male biomass for year y was estimated on February 15, year y+1 after the year y fishery total catch removal. NA = not available.</w:t>
      </w:r>
      <w:r w:rsidRPr="00B147B6">
        <w:rPr>
          <w:snapToGrid w:val="0"/>
          <w:szCs w:val="22"/>
          <w:lang w:eastAsia="fr-FR"/>
        </w:rPr>
        <w:t xml:space="preserve"> 1985</w:t>
      </w:r>
      <w:r>
        <w:rPr>
          <w:snapToGrid w:val="0"/>
          <w:szCs w:val="22"/>
          <w:lang w:eastAsia="fr-FR"/>
        </w:rPr>
        <w:t xml:space="preserve"> refers to the</w:t>
      </w:r>
      <w:r w:rsidRPr="00B147B6">
        <w:rPr>
          <w:snapToGrid w:val="0"/>
          <w:szCs w:val="22"/>
          <w:lang w:eastAsia="fr-FR"/>
        </w:rPr>
        <w:t xml:space="preserve"> 1985/86 fishery.</w:t>
      </w:r>
    </w:p>
    <w:tbl>
      <w:tblPr>
        <w:tblStyle w:val="TableClassic1"/>
        <w:tblW w:w="0" w:type="auto"/>
        <w:tblLook w:val="01E0" w:firstRow="1" w:lastRow="1" w:firstColumn="1" w:lastColumn="1" w:noHBand="0" w:noVBand="0"/>
      </w:tblPr>
      <w:tblGrid>
        <w:gridCol w:w="784"/>
        <w:gridCol w:w="1585"/>
        <w:gridCol w:w="1789"/>
        <w:gridCol w:w="1381"/>
        <w:gridCol w:w="1499"/>
        <w:gridCol w:w="1530"/>
      </w:tblGrid>
      <w:tr w:rsidR="00B86BD8" w:rsidRPr="00107BC6" w:rsidTr="005F2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dxa"/>
            <w:vAlign w:val="bottom"/>
          </w:tcPr>
          <w:p w:rsidR="00B86BD8" w:rsidRPr="003533B8" w:rsidRDefault="00B86BD8" w:rsidP="006F0B75">
            <w:pPr>
              <w:spacing w:after="120" w:line="276" w:lineRule="auto"/>
              <w:jc w:val="center"/>
              <w:rPr>
                <w:b w:val="0"/>
                <w:iCs w:val="0"/>
              </w:rPr>
            </w:pPr>
            <w:r w:rsidRPr="003533B8">
              <w:t>Year</w:t>
            </w:r>
          </w:p>
        </w:tc>
        <w:tc>
          <w:tcPr>
            <w:tcW w:w="1585" w:type="dxa"/>
            <w:vAlign w:val="bottom"/>
          </w:tcPr>
          <w:p w:rsidR="00B86BD8" w:rsidRPr="003533B8" w:rsidRDefault="00B86BD8" w:rsidP="006F0B75">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3533B8">
              <w:t>Recruits to the Model ( ≥ 101 mm CL)</w:t>
            </w:r>
          </w:p>
        </w:tc>
        <w:tc>
          <w:tcPr>
            <w:tcW w:w="1789" w:type="dxa"/>
            <w:vAlign w:val="bottom"/>
          </w:tcPr>
          <w:p w:rsidR="00B86BD8" w:rsidRPr="003533B8" w:rsidRDefault="00B86BD8" w:rsidP="006F0B75">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3533B8">
              <w:t>Mature Male Biomass</w:t>
            </w:r>
          </w:p>
          <w:p w:rsidR="00B86BD8" w:rsidRPr="003533B8" w:rsidRDefault="00B86BD8" w:rsidP="006F0B75">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3533B8">
              <w:t>( ≥ 121 mm CL)</w:t>
            </w:r>
          </w:p>
        </w:tc>
        <w:tc>
          <w:tcPr>
            <w:tcW w:w="1381" w:type="dxa"/>
            <w:vAlign w:val="bottom"/>
          </w:tcPr>
          <w:p w:rsidR="00B86BD8" w:rsidRPr="003533B8" w:rsidRDefault="00B86BD8" w:rsidP="006F0B75">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3533B8">
              <w:t>Standard Deviation</w:t>
            </w:r>
          </w:p>
        </w:tc>
        <w:tc>
          <w:tcPr>
            <w:tcW w:w="1499" w:type="dxa"/>
            <w:vAlign w:val="bottom"/>
          </w:tcPr>
          <w:p w:rsidR="00B86BD8" w:rsidRPr="003533B8" w:rsidRDefault="00B86BD8" w:rsidP="006F0B75">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3533B8">
              <w:t>Legal Male Biomass ( ≥ 136 mm CL)</w:t>
            </w:r>
          </w:p>
        </w:tc>
        <w:tc>
          <w:tcPr>
            <w:cnfStyle w:val="000000001000" w:firstRow="0" w:lastRow="0" w:firstColumn="0" w:lastColumn="0" w:oddVBand="0" w:evenVBand="0" w:oddHBand="0" w:evenHBand="0" w:firstRowFirstColumn="0" w:firstRowLastColumn="1" w:lastRowFirstColumn="0" w:lastRowLastColumn="0"/>
            <w:tcW w:w="1530" w:type="dxa"/>
            <w:vAlign w:val="bottom"/>
          </w:tcPr>
          <w:p w:rsidR="00B86BD8" w:rsidRPr="003533B8" w:rsidRDefault="00B86BD8" w:rsidP="006F0B75">
            <w:pPr>
              <w:spacing w:after="120" w:line="276" w:lineRule="auto"/>
              <w:jc w:val="center"/>
              <w:rPr>
                <w:b w:val="0"/>
                <w:bCs w:val="0"/>
              </w:rPr>
            </w:pPr>
            <w:r w:rsidRPr="003533B8">
              <w:t>Standard Deviation</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1985</w:t>
            </w:r>
          </w:p>
        </w:tc>
        <w:tc>
          <w:tcPr>
            <w:tcW w:w="1585" w:type="dxa"/>
          </w:tcPr>
          <w:p w:rsidR="00B86BD8" w:rsidRPr="004E0E55" w:rsidRDefault="00B86BD8" w:rsidP="002F0D9B">
            <w:pPr>
              <w:spacing w:line="360" w:lineRule="auto"/>
              <w:jc w:val="right"/>
              <w:cnfStyle w:val="000000000000" w:firstRow="0" w:lastRow="0" w:firstColumn="0" w:lastColumn="0" w:oddVBand="0" w:evenVBand="0" w:oddHBand="0" w:evenHBand="0" w:firstRowFirstColumn="0" w:firstRowLastColumn="0" w:lastRowFirstColumn="0" w:lastRowLastColumn="0"/>
            </w:pPr>
            <w:r w:rsidRPr="004E0E55">
              <w:t>NA</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7093</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881</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7950</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896</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1986</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2.88</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5447</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822</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8035</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674</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1987</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2.39</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5119</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660</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5819</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492</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1988</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1.58</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4578</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467</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5424</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380</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1989</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1.56</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2861</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401</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4890</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276</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1990</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1.20</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2517</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374</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3059</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242</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1991</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1.20</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2175</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352</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2682</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241</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1992</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1.79</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2231</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415</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2325</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243</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1993</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1.53</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2921</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385</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2370</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274</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1994</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1.28</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2475</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364</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3095</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222</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1995</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1.40</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2379</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350</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2636</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220</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1996</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1.40</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2289</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380</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2544</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222</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1997</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1.24</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2359</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376</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2430</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240</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1998</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F07F3B">
              <w:t>1.34</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2546</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383</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2512</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249</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1999</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1.58</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2445</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396</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2725</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253</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2000</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1.63</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2378</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430</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2597</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255</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2001</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1.69</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2500</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477</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2512</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276</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2002</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2.09</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2826</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557</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2649</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322</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2003</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1.70</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3327</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637</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3000</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383</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2004</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1.53</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3674</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666</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3535</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454</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2005</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1.81</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3921</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732</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3948</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520</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2006</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1.36</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4421</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797</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4205</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580</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2007</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1.79</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4571</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833</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4725</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644</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2008</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1.32</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4818</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865</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4898</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701</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2009</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1.58</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4768</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919</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5122</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722</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2010</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1.38</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4774</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944</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5086</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799</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b/>
                <w:snapToGrid w:val="0"/>
                <w:lang w:eastAsia="fr-FR"/>
              </w:rPr>
            </w:pPr>
            <w:r w:rsidRPr="0067288E">
              <w:rPr>
                <w:snapToGrid w:val="0"/>
                <w:lang w:eastAsia="fr-FR"/>
              </w:rPr>
              <w:t>2011</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1.69</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4742</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984</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5060</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827</w:t>
            </w:r>
          </w:p>
        </w:tc>
      </w:tr>
      <w:tr w:rsidR="00B86BD8" w:rsidRPr="003533B8" w:rsidTr="005F24C3">
        <w:tc>
          <w:tcPr>
            <w:cnfStyle w:val="001000000000" w:firstRow="0" w:lastRow="0" w:firstColumn="1" w:lastColumn="0" w:oddVBand="0" w:evenVBand="0" w:oddHBand="0" w:evenHBand="0" w:firstRowFirstColumn="0" w:firstRowLastColumn="0" w:lastRowFirstColumn="0" w:lastRowLastColumn="0"/>
            <w:tcW w:w="784" w:type="dxa"/>
            <w:vAlign w:val="center"/>
          </w:tcPr>
          <w:p w:rsidR="00B86BD8" w:rsidRPr="0067288E" w:rsidRDefault="00B86BD8" w:rsidP="005F24C3">
            <w:pPr>
              <w:widowControl w:val="0"/>
              <w:spacing w:line="360" w:lineRule="auto"/>
              <w:jc w:val="center"/>
              <w:rPr>
                <w:snapToGrid w:val="0"/>
                <w:lang w:eastAsia="fr-FR"/>
              </w:rPr>
            </w:pPr>
            <w:r w:rsidRPr="0067288E">
              <w:rPr>
                <w:snapToGrid w:val="0"/>
                <w:lang w:eastAsia="fr-FR"/>
              </w:rPr>
              <w:t>2012</w:t>
            </w:r>
          </w:p>
        </w:tc>
        <w:tc>
          <w:tcPr>
            <w:tcW w:w="1585"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2.43</w:t>
            </w:r>
          </w:p>
        </w:tc>
        <w:tc>
          <w:tcPr>
            <w:tcW w:w="178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4864</w:t>
            </w:r>
          </w:p>
        </w:tc>
        <w:tc>
          <w:tcPr>
            <w:tcW w:w="1381"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1140</w:t>
            </w:r>
          </w:p>
        </w:tc>
        <w:tc>
          <w:tcPr>
            <w:tcW w:w="1499"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5030</w:t>
            </w:r>
          </w:p>
        </w:tc>
        <w:tc>
          <w:tcPr>
            <w:tcW w:w="1530" w:type="dxa"/>
            <w:vAlign w:val="bottom"/>
          </w:tcPr>
          <w:p w:rsidR="00B86BD8" w:rsidRPr="004E0E55" w:rsidRDefault="00B86BD8">
            <w:pPr>
              <w:jc w:val="right"/>
              <w:cnfStyle w:val="000000000000" w:firstRow="0" w:lastRow="0" w:firstColumn="0" w:lastColumn="0" w:oddVBand="0" w:evenVBand="0" w:oddHBand="0" w:evenHBand="0" w:firstRowFirstColumn="0" w:firstRowLastColumn="0" w:lastRowFirstColumn="0" w:lastRowLastColumn="0"/>
            </w:pPr>
            <w:r w:rsidRPr="002B1130">
              <w:t>875</w:t>
            </w:r>
          </w:p>
        </w:tc>
      </w:tr>
      <w:tr w:rsidR="00B86BD8" w:rsidRPr="003533B8" w:rsidTr="005F24C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84" w:type="dxa"/>
            <w:vAlign w:val="center"/>
          </w:tcPr>
          <w:p w:rsidR="00B86BD8" w:rsidRPr="0067288E" w:rsidRDefault="00B86BD8" w:rsidP="005F24C3">
            <w:pPr>
              <w:widowControl w:val="0"/>
              <w:spacing w:line="360" w:lineRule="auto"/>
              <w:jc w:val="center"/>
              <w:rPr>
                <w:b w:val="0"/>
                <w:snapToGrid w:val="0"/>
                <w:lang w:eastAsia="fr-FR"/>
              </w:rPr>
            </w:pPr>
            <w:r w:rsidRPr="0067288E">
              <w:rPr>
                <w:b w:val="0"/>
                <w:snapToGrid w:val="0"/>
                <w:lang w:eastAsia="fr-FR"/>
              </w:rPr>
              <w:t>2013</w:t>
            </w:r>
          </w:p>
        </w:tc>
        <w:tc>
          <w:tcPr>
            <w:tcW w:w="1585" w:type="dxa"/>
            <w:vAlign w:val="bottom"/>
          </w:tcPr>
          <w:p w:rsidR="00B86BD8" w:rsidRPr="004E0E55" w:rsidRDefault="00B86BD8">
            <w:pPr>
              <w:jc w:val="right"/>
              <w:cnfStyle w:val="010000000000" w:firstRow="0" w:lastRow="1" w:firstColumn="0" w:lastColumn="0" w:oddVBand="0" w:evenVBand="0" w:oddHBand="0" w:evenHBand="0" w:firstRowFirstColumn="0" w:firstRowLastColumn="0" w:lastRowFirstColumn="0" w:lastRowLastColumn="0"/>
            </w:pPr>
            <w:r w:rsidRPr="002B1130">
              <w:t>1.60</w:t>
            </w:r>
          </w:p>
        </w:tc>
        <w:tc>
          <w:tcPr>
            <w:tcW w:w="1789" w:type="dxa"/>
            <w:vAlign w:val="bottom"/>
          </w:tcPr>
          <w:p w:rsidR="00B86BD8" w:rsidRPr="004E0E55" w:rsidRDefault="00B86BD8">
            <w:pPr>
              <w:jc w:val="right"/>
              <w:cnfStyle w:val="010000000000" w:firstRow="0" w:lastRow="1" w:firstColumn="0" w:lastColumn="0" w:oddVBand="0" w:evenVBand="0" w:oddHBand="0" w:evenHBand="0" w:firstRowFirstColumn="0" w:firstRowLastColumn="0" w:lastRowFirstColumn="0" w:lastRowLastColumn="0"/>
            </w:pPr>
            <w:r w:rsidRPr="002B1130">
              <w:t>6110</w:t>
            </w:r>
          </w:p>
        </w:tc>
        <w:tc>
          <w:tcPr>
            <w:tcW w:w="1381" w:type="dxa"/>
            <w:vAlign w:val="bottom"/>
          </w:tcPr>
          <w:p w:rsidR="00B86BD8" w:rsidRPr="004E0E55" w:rsidRDefault="00B86BD8">
            <w:pPr>
              <w:jc w:val="right"/>
              <w:cnfStyle w:val="010000000000" w:firstRow="0" w:lastRow="1" w:firstColumn="0" w:lastColumn="0" w:oddVBand="0" w:evenVBand="0" w:oddHBand="0" w:evenHBand="0" w:firstRowFirstColumn="0" w:firstRowLastColumn="0" w:lastRowFirstColumn="0" w:lastRowLastColumn="0"/>
            </w:pPr>
            <w:r w:rsidRPr="002B1130">
              <w:t>2980</w:t>
            </w:r>
          </w:p>
        </w:tc>
        <w:tc>
          <w:tcPr>
            <w:tcW w:w="1499" w:type="dxa"/>
            <w:vAlign w:val="bottom"/>
          </w:tcPr>
          <w:p w:rsidR="00B86BD8" w:rsidRPr="004E0E55" w:rsidRDefault="00B86BD8">
            <w:pPr>
              <w:jc w:val="right"/>
              <w:cnfStyle w:val="010000000000" w:firstRow="0" w:lastRow="1" w:firstColumn="0" w:lastColumn="0" w:oddVBand="0" w:evenVBand="0" w:oddHBand="0" w:evenHBand="0" w:firstRowFirstColumn="0" w:firstRowLastColumn="0" w:lastRowFirstColumn="0" w:lastRowLastColumn="0"/>
            </w:pPr>
            <w:r w:rsidRPr="002B1130">
              <w:t>5127</w:t>
            </w:r>
          </w:p>
        </w:tc>
        <w:tc>
          <w:tcPr>
            <w:tcW w:w="1530" w:type="dxa"/>
            <w:vAlign w:val="bottom"/>
          </w:tcPr>
          <w:p w:rsidR="00B86BD8" w:rsidRPr="004E0E55" w:rsidRDefault="00B86BD8">
            <w:pPr>
              <w:jc w:val="right"/>
              <w:cnfStyle w:val="010000000000" w:firstRow="0" w:lastRow="1" w:firstColumn="0" w:lastColumn="0" w:oddVBand="0" w:evenVBand="0" w:oddHBand="0" w:evenHBand="0" w:firstRowFirstColumn="0" w:firstRowLastColumn="0" w:lastRowFirstColumn="0" w:lastRowLastColumn="0"/>
            </w:pPr>
            <w:r w:rsidRPr="002B1130">
              <w:t>1019</w:t>
            </w:r>
          </w:p>
        </w:tc>
      </w:tr>
    </w:tbl>
    <w:p w:rsidR="00B86BD8" w:rsidRPr="00107BC6" w:rsidRDefault="00B86BD8" w:rsidP="006B4EDE">
      <w:pPr>
        <w:pStyle w:val="Caption"/>
        <w:rPr>
          <w:szCs w:val="22"/>
        </w:rPr>
      </w:pPr>
      <w:r w:rsidRPr="002B1130">
        <w:rPr>
          <w:sz w:val="20"/>
          <w:szCs w:val="20"/>
        </w:rPr>
        <w:br w:type="page"/>
      </w:r>
      <w:r>
        <w:lastRenderedPageBreak/>
        <w:t xml:space="preserve">Table 21. </w:t>
      </w:r>
      <w:r w:rsidRPr="00B147B6">
        <w:rPr>
          <w:szCs w:val="22"/>
        </w:rPr>
        <w:t xml:space="preserve">Annual abundance estimates of </w:t>
      </w:r>
      <w:r>
        <w:rPr>
          <w:szCs w:val="22"/>
        </w:rPr>
        <w:t xml:space="preserve"> model recruits (millions of crabs), </w:t>
      </w:r>
      <w:r w:rsidRPr="00B147B6">
        <w:rPr>
          <w:szCs w:val="22"/>
        </w:rPr>
        <w:t xml:space="preserve">legal </w:t>
      </w:r>
      <w:r>
        <w:rPr>
          <w:szCs w:val="22"/>
        </w:rPr>
        <w:t xml:space="preserve">male biomass with standard deviation (t), and </w:t>
      </w:r>
      <w:r w:rsidRPr="00B147B6">
        <w:rPr>
          <w:szCs w:val="22"/>
        </w:rPr>
        <w:t xml:space="preserve">mature </w:t>
      </w:r>
      <w:r>
        <w:rPr>
          <w:szCs w:val="22"/>
        </w:rPr>
        <w:t xml:space="preserve">male </w:t>
      </w:r>
      <w:r w:rsidRPr="00B147B6">
        <w:rPr>
          <w:szCs w:val="22"/>
        </w:rPr>
        <w:t xml:space="preserve">biomass </w:t>
      </w:r>
      <w:r>
        <w:rPr>
          <w:szCs w:val="22"/>
        </w:rPr>
        <w:t xml:space="preserve">with standard deviation </w:t>
      </w:r>
      <w:r w:rsidRPr="00B147B6">
        <w:rPr>
          <w:szCs w:val="22"/>
        </w:rPr>
        <w:t>(t)</w:t>
      </w:r>
      <w:r w:rsidRPr="00DC4C99">
        <w:rPr>
          <w:szCs w:val="22"/>
        </w:rPr>
        <w:t xml:space="preserve"> </w:t>
      </w:r>
      <w:r>
        <w:rPr>
          <w:szCs w:val="22"/>
        </w:rPr>
        <w:t>for</w:t>
      </w:r>
      <w:r w:rsidRPr="00930D54">
        <w:rPr>
          <w:szCs w:val="22"/>
        </w:rPr>
        <w:t xml:space="preserve"> the </w:t>
      </w:r>
      <w:r>
        <w:rPr>
          <w:szCs w:val="22"/>
        </w:rPr>
        <w:t xml:space="preserve">scenario 2 model </w:t>
      </w:r>
      <w:r w:rsidRPr="00B147B6">
        <w:rPr>
          <w:szCs w:val="22"/>
        </w:rPr>
        <w:t xml:space="preserve">for golden king crab in the </w:t>
      </w:r>
      <w:r>
        <w:rPr>
          <w:szCs w:val="22"/>
        </w:rPr>
        <w:t>W</w:t>
      </w:r>
      <w:r w:rsidRPr="00B147B6">
        <w:rPr>
          <w:szCs w:val="22"/>
        </w:rPr>
        <w:t>AG. Legal male biomass was estimated at the survey time and mature male biomass for year y was estimated on February 15, year y+1 after the year y fishery total catch removal. NA = not available.</w:t>
      </w:r>
      <w:r w:rsidRPr="00B147B6">
        <w:rPr>
          <w:snapToGrid w:val="0"/>
          <w:szCs w:val="22"/>
          <w:lang w:eastAsia="fr-FR"/>
        </w:rPr>
        <w:t xml:space="preserve"> 1985</w:t>
      </w:r>
      <w:r>
        <w:rPr>
          <w:snapToGrid w:val="0"/>
          <w:szCs w:val="22"/>
          <w:lang w:eastAsia="fr-FR"/>
        </w:rPr>
        <w:t xml:space="preserve"> refers to the</w:t>
      </w:r>
      <w:r w:rsidRPr="00B147B6">
        <w:rPr>
          <w:snapToGrid w:val="0"/>
          <w:szCs w:val="22"/>
          <w:lang w:eastAsia="fr-FR"/>
        </w:rPr>
        <w:t xml:space="preserve"> 1985/86 fishery.</w:t>
      </w:r>
    </w:p>
    <w:tbl>
      <w:tblPr>
        <w:tblStyle w:val="TableClassic1"/>
        <w:tblW w:w="0" w:type="auto"/>
        <w:tblLook w:val="01E0" w:firstRow="1" w:lastRow="1" w:firstColumn="1" w:lastColumn="1" w:noHBand="0" w:noVBand="0"/>
      </w:tblPr>
      <w:tblGrid>
        <w:gridCol w:w="784"/>
        <w:gridCol w:w="1585"/>
        <w:gridCol w:w="1789"/>
        <w:gridCol w:w="1381"/>
        <w:gridCol w:w="1499"/>
        <w:gridCol w:w="1530"/>
      </w:tblGrid>
      <w:tr w:rsidR="00B86BD8" w:rsidRPr="00107BC6" w:rsidTr="002B1130">
        <w:trPr>
          <w:cnfStyle w:val="100000000000" w:firstRow="1" w:lastRow="0" w:firstColumn="0" w:lastColumn="0" w:oddVBand="0" w:evenVBand="0" w:oddHBand="0"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784" w:type="dxa"/>
          </w:tcPr>
          <w:p w:rsidR="00B86BD8" w:rsidRPr="003533B8" w:rsidRDefault="00B86BD8" w:rsidP="006B4EDE">
            <w:pPr>
              <w:spacing w:after="120" w:line="276" w:lineRule="auto"/>
              <w:jc w:val="center"/>
              <w:rPr>
                <w:b w:val="0"/>
                <w:iCs w:val="0"/>
              </w:rPr>
            </w:pPr>
            <w:r w:rsidRPr="003533B8">
              <w:t>Year</w:t>
            </w:r>
          </w:p>
        </w:tc>
        <w:tc>
          <w:tcPr>
            <w:tcW w:w="1585" w:type="dxa"/>
          </w:tcPr>
          <w:p w:rsidR="00B86BD8" w:rsidRPr="003533B8" w:rsidRDefault="00B86BD8" w:rsidP="006B4EDE">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3533B8">
              <w:t>Recruits to the Model ( ≥ 101 mm CL)</w:t>
            </w:r>
          </w:p>
        </w:tc>
        <w:tc>
          <w:tcPr>
            <w:tcW w:w="1789" w:type="dxa"/>
          </w:tcPr>
          <w:p w:rsidR="00B86BD8" w:rsidRPr="003533B8" w:rsidRDefault="00B86BD8" w:rsidP="006B4EDE">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3533B8">
              <w:t>Mature Male Biomass</w:t>
            </w:r>
          </w:p>
          <w:p w:rsidR="00B86BD8" w:rsidRPr="003533B8" w:rsidRDefault="00B86BD8" w:rsidP="006B4EDE">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3533B8">
              <w:t>( ≥ 121 mm CL)</w:t>
            </w:r>
          </w:p>
        </w:tc>
        <w:tc>
          <w:tcPr>
            <w:tcW w:w="1381" w:type="dxa"/>
          </w:tcPr>
          <w:p w:rsidR="00B86BD8" w:rsidRPr="003533B8" w:rsidRDefault="00B86BD8" w:rsidP="006B4EDE">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3533B8">
              <w:t>Standard Deviation</w:t>
            </w:r>
          </w:p>
        </w:tc>
        <w:tc>
          <w:tcPr>
            <w:tcW w:w="1499" w:type="dxa"/>
          </w:tcPr>
          <w:p w:rsidR="00B86BD8" w:rsidRPr="003533B8" w:rsidRDefault="00B86BD8" w:rsidP="006B4EDE">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iCs w:val="0"/>
              </w:rPr>
            </w:pPr>
            <w:r w:rsidRPr="003533B8">
              <w:t>Legal Male Biomass ( ≥ 136 mm CL)</w:t>
            </w:r>
          </w:p>
        </w:tc>
        <w:tc>
          <w:tcPr>
            <w:cnfStyle w:val="000000001000" w:firstRow="0" w:lastRow="0" w:firstColumn="0" w:lastColumn="0" w:oddVBand="0" w:evenVBand="0" w:oddHBand="0" w:evenHBand="0" w:firstRowFirstColumn="0" w:firstRowLastColumn="1" w:lastRowFirstColumn="0" w:lastRowLastColumn="0"/>
            <w:tcW w:w="1530" w:type="dxa"/>
          </w:tcPr>
          <w:p w:rsidR="00B86BD8" w:rsidRPr="003533B8" w:rsidRDefault="00B86BD8" w:rsidP="006B4EDE">
            <w:pPr>
              <w:spacing w:after="120" w:line="276" w:lineRule="auto"/>
              <w:jc w:val="center"/>
              <w:rPr>
                <w:b w:val="0"/>
                <w:bCs w:val="0"/>
              </w:rPr>
            </w:pPr>
            <w:r w:rsidRPr="003533B8">
              <w:t>Standard Deviation</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1985</w:t>
            </w:r>
          </w:p>
        </w:tc>
        <w:tc>
          <w:tcPr>
            <w:tcW w:w="1585" w:type="dxa"/>
          </w:tcPr>
          <w:p w:rsidR="00B86BD8" w:rsidRPr="004E0E55" w:rsidRDefault="00B86BD8" w:rsidP="00A8435D">
            <w:pPr>
              <w:spacing w:line="360" w:lineRule="auto"/>
              <w:jc w:val="right"/>
              <w:cnfStyle w:val="000000000000" w:firstRow="0" w:lastRow="0" w:firstColumn="0" w:lastColumn="0" w:oddVBand="0" w:evenVBand="0" w:oddHBand="0" w:evenHBand="0" w:firstRowFirstColumn="0" w:firstRowLastColumn="0" w:lastRowFirstColumn="0" w:lastRowLastColumn="0"/>
            </w:pPr>
            <w:r w:rsidRPr="004E0E55">
              <w:t>NA</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5492</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886</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6692</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941</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1986</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2.69</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4563</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594</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7277</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502</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1987</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2.99</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4332</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604</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5171</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447</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1988</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1.47</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4168</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455</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4903</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392</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1989</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1.38</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2499</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344</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4612</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283</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1990</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1.22</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2129</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333</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2804</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231</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1991</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1.02</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1793</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314</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2400</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235</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1992</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1.51</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1751</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344</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2021</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242</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1993</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1.96</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2383</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414</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2018</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272</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1994</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1.08</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2163</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316</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2744</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271</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1995</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1.32</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2039</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300</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2424</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207</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1996</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1.31</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1935</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311</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2317</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205</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1997</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1.27</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1994</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336</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2201</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219</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1998</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1.11</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2200</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320</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2262</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237</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1999</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1.53</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2019</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326</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2473</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231</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2000</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1.53</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1946</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347</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2307</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228</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2001</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1.55</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2037</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390</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2226</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243</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2002</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2.00</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2321</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436</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2331</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283</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2003</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1.70</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2833</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530</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2680</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319</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2004</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1.60</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3227</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564</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3209</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402</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2005</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1.59</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3550</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601</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3627</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449</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2006</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1.29</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3992</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689</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3973</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504</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2007</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1.79</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4109</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714</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4410</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593</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2008</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1.25</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4408</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741</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4562</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617</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2009</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1.40</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4322</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768</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4820</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650</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2010</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1.33</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4267</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797</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4733</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688</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b/>
                <w:snapToGrid w:val="0"/>
                <w:lang w:eastAsia="fr-FR"/>
              </w:rPr>
            </w:pPr>
            <w:r w:rsidRPr="00314116">
              <w:rPr>
                <w:snapToGrid w:val="0"/>
                <w:lang w:eastAsia="fr-FR"/>
              </w:rPr>
              <w:t>2011</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1.77</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4241</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814</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4658</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719</w:t>
            </w:r>
          </w:p>
        </w:tc>
      </w:tr>
      <w:tr w:rsidR="00B86BD8" w:rsidRPr="003533B8" w:rsidTr="002B1130">
        <w:tc>
          <w:tcPr>
            <w:cnfStyle w:val="001000000000" w:firstRow="0" w:lastRow="0" w:firstColumn="1" w:lastColumn="0" w:oddVBand="0" w:evenVBand="0" w:oddHBand="0" w:evenHBand="0" w:firstRowFirstColumn="0" w:firstRowLastColumn="0" w:lastRowFirstColumn="0" w:lastRowLastColumn="0"/>
            <w:tcW w:w="784" w:type="dxa"/>
          </w:tcPr>
          <w:p w:rsidR="00B86BD8" w:rsidRPr="00314116" w:rsidRDefault="00B86BD8" w:rsidP="005F24C3">
            <w:pPr>
              <w:widowControl w:val="0"/>
              <w:spacing w:line="360" w:lineRule="auto"/>
              <w:rPr>
                <w:snapToGrid w:val="0"/>
                <w:lang w:eastAsia="fr-FR"/>
              </w:rPr>
            </w:pPr>
            <w:r w:rsidRPr="00314116">
              <w:rPr>
                <w:snapToGrid w:val="0"/>
                <w:lang w:eastAsia="fr-FR"/>
              </w:rPr>
              <w:t>2012</w:t>
            </w:r>
          </w:p>
        </w:tc>
        <w:tc>
          <w:tcPr>
            <w:tcW w:w="1585"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2.21</w:t>
            </w:r>
          </w:p>
        </w:tc>
        <w:tc>
          <w:tcPr>
            <w:tcW w:w="178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4457</w:t>
            </w:r>
          </w:p>
        </w:tc>
        <w:tc>
          <w:tcPr>
            <w:tcW w:w="1381"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946</w:t>
            </w:r>
          </w:p>
        </w:tc>
        <w:tc>
          <w:tcPr>
            <w:tcW w:w="1499"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4664</w:t>
            </w:r>
          </w:p>
        </w:tc>
        <w:tc>
          <w:tcPr>
            <w:tcW w:w="1530" w:type="dxa"/>
            <w:vAlign w:val="bottom"/>
          </w:tcPr>
          <w:p w:rsidR="00B86BD8" w:rsidRPr="004E0E55" w:rsidRDefault="00B86BD8" w:rsidP="00A8435D">
            <w:pPr>
              <w:jc w:val="right"/>
              <w:cnfStyle w:val="000000000000" w:firstRow="0" w:lastRow="0" w:firstColumn="0" w:lastColumn="0" w:oddVBand="0" w:evenVBand="0" w:oddHBand="0" w:evenHBand="0" w:firstRowFirstColumn="0" w:firstRowLastColumn="0" w:lastRowFirstColumn="0" w:lastRowLastColumn="0"/>
            </w:pPr>
            <w:r w:rsidRPr="002B1130">
              <w:t>742</w:t>
            </w:r>
          </w:p>
        </w:tc>
      </w:tr>
      <w:tr w:rsidR="00B86BD8" w:rsidRPr="003533B8" w:rsidTr="002B113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84" w:type="dxa"/>
          </w:tcPr>
          <w:p w:rsidR="00B86BD8" w:rsidRPr="00314116" w:rsidRDefault="00B86BD8" w:rsidP="005F24C3">
            <w:pPr>
              <w:widowControl w:val="0"/>
              <w:spacing w:line="360" w:lineRule="auto"/>
              <w:rPr>
                <w:b w:val="0"/>
                <w:snapToGrid w:val="0"/>
                <w:lang w:eastAsia="fr-FR"/>
              </w:rPr>
            </w:pPr>
            <w:r w:rsidRPr="00314116">
              <w:rPr>
                <w:b w:val="0"/>
                <w:snapToGrid w:val="0"/>
                <w:lang w:eastAsia="fr-FR"/>
              </w:rPr>
              <w:t>2013</w:t>
            </w:r>
          </w:p>
        </w:tc>
        <w:tc>
          <w:tcPr>
            <w:tcW w:w="1585" w:type="dxa"/>
            <w:vAlign w:val="bottom"/>
          </w:tcPr>
          <w:p w:rsidR="00B86BD8" w:rsidRPr="004E0E55" w:rsidRDefault="00B86BD8" w:rsidP="00A8435D">
            <w:pPr>
              <w:jc w:val="right"/>
              <w:cnfStyle w:val="010000000000" w:firstRow="0" w:lastRow="1" w:firstColumn="0" w:lastColumn="0" w:oddVBand="0" w:evenVBand="0" w:oddHBand="0" w:evenHBand="0" w:firstRowFirstColumn="0" w:firstRowLastColumn="0" w:lastRowFirstColumn="0" w:lastRowLastColumn="0"/>
            </w:pPr>
            <w:r w:rsidRPr="002B1130">
              <w:t>1.53</w:t>
            </w:r>
          </w:p>
        </w:tc>
        <w:tc>
          <w:tcPr>
            <w:tcW w:w="1789" w:type="dxa"/>
            <w:vAlign w:val="bottom"/>
          </w:tcPr>
          <w:p w:rsidR="00B86BD8" w:rsidRPr="004E0E55" w:rsidRDefault="00B86BD8" w:rsidP="00A8435D">
            <w:pPr>
              <w:jc w:val="right"/>
              <w:cnfStyle w:val="010000000000" w:firstRow="0" w:lastRow="1" w:firstColumn="0" w:lastColumn="0" w:oddVBand="0" w:evenVBand="0" w:oddHBand="0" w:evenHBand="0" w:firstRowFirstColumn="0" w:firstRowLastColumn="0" w:lastRowFirstColumn="0" w:lastRowLastColumn="0"/>
            </w:pPr>
            <w:r w:rsidRPr="002B1130">
              <w:t>5701</w:t>
            </w:r>
          </w:p>
        </w:tc>
        <w:tc>
          <w:tcPr>
            <w:tcW w:w="1381" w:type="dxa"/>
            <w:vAlign w:val="bottom"/>
          </w:tcPr>
          <w:p w:rsidR="00B86BD8" w:rsidRPr="004E0E55" w:rsidRDefault="00B86BD8" w:rsidP="00A8435D">
            <w:pPr>
              <w:jc w:val="right"/>
              <w:cnfStyle w:val="010000000000" w:firstRow="0" w:lastRow="1" w:firstColumn="0" w:lastColumn="0" w:oddVBand="0" w:evenVBand="0" w:oddHBand="0" w:evenHBand="0" w:firstRowFirstColumn="0" w:firstRowLastColumn="0" w:lastRowFirstColumn="0" w:lastRowLastColumn="0"/>
            </w:pPr>
            <w:r w:rsidRPr="002B1130">
              <w:t>2852</w:t>
            </w:r>
          </w:p>
        </w:tc>
        <w:tc>
          <w:tcPr>
            <w:tcW w:w="1499" w:type="dxa"/>
            <w:vAlign w:val="bottom"/>
          </w:tcPr>
          <w:p w:rsidR="00B86BD8" w:rsidRPr="004E0E55" w:rsidRDefault="00B86BD8" w:rsidP="00A8435D">
            <w:pPr>
              <w:jc w:val="right"/>
              <w:cnfStyle w:val="010000000000" w:firstRow="0" w:lastRow="1" w:firstColumn="0" w:lastColumn="0" w:oddVBand="0" w:evenVBand="0" w:oddHBand="0" w:evenHBand="0" w:firstRowFirstColumn="0" w:firstRowLastColumn="0" w:lastRowFirstColumn="0" w:lastRowLastColumn="0"/>
            </w:pPr>
            <w:r w:rsidRPr="002B1130">
              <w:t>4939</w:t>
            </w:r>
          </w:p>
        </w:tc>
        <w:tc>
          <w:tcPr>
            <w:tcW w:w="1530" w:type="dxa"/>
            <w:vAlign w:val="bottom"/>
          </w:tcPr>
          <w:p w:rsidR="00B86BD8" w:rsidRPr="004E0E55" w:rsidRDefault="00B86BD8" w:rsidP="00A8435D">
            <w:pPr>
              <w:jc w:val="right"/>
              <w:cnfStyle w:val="010000000000" w:firstRow="0" w:lastRow="1" w:firstColumn="0" w:lastColumn="0" w:oddVBand="0" w:evenVBand="0" w:oddHBand="0" w:evenHBand="0" w:firstRowFirstColumn="0" w:firstRowLastColumn="0" w:lastRowFirstColumn="0" w:lastRowLastColumn="0"/>
            </w:pPr>
            <w:r w:rsidRPr="002B1130">
              <w:t>914</w:t>
            </w:r>
          </w:p>
        </w:tc>
      </w:tr>
    </w:tbl>
    <w:p w:rsidR="00B86BD8" w:rsidRDefault="00B86BD8" w:rsidP="00047F30">
      <w:pPr>
        <w:rPr>
          <w:bCs/>
          <w:color w:val="000000" w:themeColor="text1"/>
          <w:sz w:val="22"/>
          <w:szCs w:val="22"/>
        </w:rPr>
      </w:pPr>
    </w:p>
    <w:p w:rsidR="00B86BD8" w:rsidRDefault="00B86BD8"/>
    <w:p w:rsidR="00B86BD8" w:rsidRDefault="00B86BD8" w:rsidP="006B4EDE">
      <w:r>
        <w:t xml:space="preserve">Table 22. Likelihood values of the fits for scenarios 1 and 2 </w:t>
      </w:r>
      <w:r w:rsidRPr="00B147B6">
        <w:rPr>
          <w:szCs w:val="22"/>
        </w:rPr>
        <w:t xml:space="preserve">for golden king crab in the </w:t>
      </w:r>
      <w:r>
        <w:rPr>
          <w:szCs w:val="22"/>
        </w:rPr>
        <w:t>W</w:t>
      </w:r>
      <w:r w:rsidRPr="00B147B6">
        <w:rPr>
          <w:szCs w:val="22"/>
        </w:rPr>
        <w:t>AG</w:t>
      </w:r>
      <w:r>
        <w:t xml:space="preserve">. </w:t>
      </w:r>
    </w:p>
    <w:p w:rsidR="00B86BD8" w:rsidRDefault="00B86BD8" w:rsidP="006B4EDE"/>
    <w:p w:rsidR="00B86BD8" w:rsidRDefault="00B86BD8" w:rsidP="00FC4C66">
      <w:pPr>
        <w:pStyle w:val="BodyText"/>
        <w:spacing w:line="240" w:lineRule="auto"/>
        <w:rPr>
          <w:i/>
          <w:szCs w:val="22"/>
        </w:rPr>
      </w:pPr>
    </w:p>
    <w:tbl>
      <w:tblPr>
        <w:tblStyle w:val="TableGrid"/>
        <w:tblW w:w="5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1725"/>
        <w:gridCol w:w="1724"/>
      </w:tblGrid>
      <w:tr w:rsidR="00B86BD8" w:rsidTr="004E0D46">
        <w:tc>
          <w:tcPr>
            <w:tcW w:w="1963" w:type="dxa"/>
            <w:tcBorders>
              <w:top w:val="single" w:sz="4" w:space="0" w:color="auto"/>
            </w:tcBorders>
          </w:tcPr>
          <w:p w:rsidR="00B86BD8" w:rsidRDefault="00B86BD8" w:rsidP="004E0D46">
            <w:pPr>
              <w:pStyle w:val="Caption"/>
              <w:keepNext/>
            </w:pPr>
            <w:r>
              <w:t>Likelihood Component</w:t>
            </w:r>
          </w:p>
        </w:tc>
        <w:tc>
          <w:tcPr>
            <w:tcW w:w="1725" w:type="dxa"/>
            <w:tcBorders>
              <w:top w:val="single" w:sz="4" w:space="0" w:color="auto"/>
            </w:tcBorders>
          </w:tcPr>
          <w:p w:rsidR="00B86BD8" w:rsidRDefault="00B86BD8" w:rsidP="004E0D46">
            <w:pPr>
              <w:pStyle w:val="Caption"/>
              <w:keepNext/>
              <w:jc w:val="right"/>
            </w:pPr>
            <w:r>
              <w:t>Scenario 1</w:t>
            </w:r>
          </w:p>
        </w:tc>
        <w:tc>
          <w:tcPr>
            <w:tcW w:w="1724" w:type="dxa"/>
            <w:tcBorders>
              <w:top w:val="single" w:sz="4" w:space="0" w:color="auto"/>
            </w:tcBorders>
          </w:tcPr>
          <w:p w:rsidR="00B86BD8" w:rsidRDefault="00B86BD8" w:rsidP="004E0D46">
            <w:pPr>
              <w:pStyle w:val="Caption"/>
              <w:keepNext/>
              <w:jc w:val="right"/>
            </w:pPr>
            <w:r>
              <w:t>Scenario 2</w:t>
            </w:r>
          </w:p>
        </w:tc>
      </w:tr>
      <w:tr w:rsidR="00B86BD8" w:rsidRPr="005D1A7D" w:rsidTr="004E0D46">
        <w:tc>
          <w:tcPr>
            <w:tcW w:w="1963" w:type="dxa"/>
            <w:vAlign w:val="bottom"/>
          </w:tcPr>
          <w:p w:rsidR="00B86BD8" w:rsidRPr="005D1A7D" w:rsidRDefault="00B86BD8" w:rsidP="004E0D46">
            <w:r w:rsidRPr="005D1A7D">
              <w:t>like_retlencomp</w:t>
            </w:r>
          </w:p>
        </w:tc>
        <w:tc>
          <w:tcPr>
            <w:tcW w:w="1725" w:type="dxa"/>
            <w:vAlign w:val="bottom"/>
          </w:tcPr>
          <w:p w:rsidR="00B86BD8" w:rsidRPr="00AE3D77" w:rsidRDefault="00B86BD8" w:rsidP="004E0D46">
            <w:pPr>
              <w:jc w:val="right"/>
            </w:pPr>
            <w:r w:rsidRPr="00F07F3B">
              <w:t>-656.99</w:t>
            </w:r>
          </w:p>
        </w:tc>
        <w:tc>
          <w:tcPr>
            <w:tcW w:w="1724" w:type="dxa"/>
            <w:vAlign w:val="bottom"/>
          </w:tcPr>
          <w:p w:rsidR="00B86BD8" w:rsidRPr="00AE3D77" w:rsidRDefault="00B86BD8" w:rsidP="004E0D46">
            <w:pPr>
              <w:jc w:val="right"/>
            </w:pPr>
            <w:r w:rsidRPr="00F07F3B">
              <w:t>-640.90</w:t>
            </w:r>
          </w:p>
        </w:tc>
      </w:tr>
      <w:tr w:rsidR="00B86BD8" w:rsidRPr="005D1A7D" w:rsidTr="004E0D46">
        <w:tc>
          <w:tcPr>
            <w:tcW w:w="1963" w:type="dxa"/>
            <w:vAlign w:val="bottom"/>
          </w:tcPr>
          <w:p w:rsidR="00B86BD8" w:rsidRPr="005D1A7D" w:rsidRDefault="00B86BD8" w:rsidP="004E0D46">
            <w:r w:rsidRPr="005D1A7D">
              <w:t>like_totallencomp</w:t>
            </w:r>
          </w:p>
        </w:tc>
        <w:tc>
          <w:tcPr>
            <w:tcW w:w="1725" w:type="dxa"/>
            <w:vAlign w:val="bottom"/>
          </w:tcPr>
          <w:p w:rsidR="00B86BD8" w:rsidRPr="00AE3D77" w:rsidRDefault="00B86BD8" w:rsidP="004E0D46">
            <w:pPr>
              <w:jc w:val="right"/>
            </w:pPr>
            <w:r w:rsidRPr="00F07F3B">
              <w:t>-688.41</w:t>
            </w:r>
          </w:p>
        </w:tc>
        <w:tc>
          <w:tcPr>
            <w:tcW w:w="1724" w:type="dxa"/>
            <w:vAlign w:val="bottom"/>
          </w:tcPr>
          <w:p w:rsidR="00B86BD8" w:rsidRPr="00AE3D77" w:rsidRDefault="00B86BD8" w:rsidP="004E0D46">
            <w:pPr>
              <w:jc w:val="right"/>
            </w:pPr>
            <w:r w:rsidRPr="00F07F3B">
              <w:t>-685.59</w:t>
            </w:r>
          </w:p>
        </w:tc>
      </w:tr>
      <w:tr w:rsidR="00B86BD8" w:rsidRPr="005D1A7D" w:rsidTr="004E0D46">
        <w:tc>
          <w:tcPr>
            <w:tcW w:w="1963" w:type="dxa"/>
            <w:vAlign w:val="bottom"/>
          </w:tcPr>
          <w:p w:rsidR="00B86BD8" w:rsidRPr="005D1A7D" w:rsidRDefault="00B86BD8" w:rsidP="004E0D46">
            <w:r w:rsidRPr="005D1A7D">
              <w:t>like_gdiscdlencomp</w:t>
            </w:r>
          </w:p>
        </w:tc>
        <w:tc>
          <w:tcPr>
            <w:tcW w:w="1725" w:type="dxa"/>
            <w:vAlign w:val="bottom"/>
          </w:tcPr>
          <w:p w:rsidR="00B86BD8" w:rsidRPr="00AE3D77" w:rsidRDefault="00B86BD8" w:rsidP="004E0D46">
            <w:pPr>
              <w:jc w:val="right"/>
            </w:pPr>
            <w:r w:rsidRPr="00F07F3B">
              <w:t>-280.79</w:t>
            </w:r>
          </w:p>
        </w:tc>
        <w:tc>
          <w:tcPr>
            <w:tcW w:w="1724" w:type="dxa"/>
            <w:vAlign w:val="bottom"/>
          </w:tcPr>
          <w:p w:rsidR="00B86BD8" w:rsidRPr="00AE3D77" w:rsidRDefault="00B86BD8" w:rsidP="004E0D46">
            <w:pPr>
              <w:jc w:val="right"/>
            </w:pPr>
            <w:r w:rsidRPr="00F07F3B">
              <w:t>-279.93</w:t>
            </w:r>
          </w:p>
        </w:tc>
      </w:tr>
      <w:tr w:rsidR="00B86BD8" w:rsidRPr="005D1A7D" w:rsidTr="004E0D46">
        <w:tc>
          <w:tcPr>
            <w:tcW w:w="1963" w:type="dxa"/>
            <w:vAlign w:val="bottom"/>
          </w:tcPr>
          <w:p w:rsidR="00B86BD8" w:rsidRPr="005D1A7D" w:rsidRDefault="00B86BD8" w:rsidP="004E0D46">
            <w:r w:rsidRPr="005D1A7D">
              <w:t>like_retcpue</w:t>
            </w:r>
          </w:p>
        </w:tc>
        <w:tc>
          <w:tcPr>
            <w:tcW w:w="1725" w:type="dxa"/>
            <w:vAlign w:val="bottom"/>
          </w:tcPr>
          <w:p w:rsidR="00B86BD8" w:rsidRPr="00AE3D77" w:rsidRDefault="00B86BD8" w:rsidP="004E0D46">
            <w:pPr>
              <w:jc w:val="right"/>
            </w:pPr>
            <w:r w:rsidRPr="00F07F3B">
              <w:t>-15.00</w:t>
            </w:r>
          </w:p>
        </w:tc>
        <w:tc>
          <w:tcPr>
            <w:tcW w:w="1724" w:type="dxa"/>
            <w:vAlign w:val="bottom"/>
          </w:tcPr>
          <w:p w:rsidR="00B86BD8" w:rsidRPr="00AE3D77" w:rsidRDefault="00B86BD8" w:rsidP="004E0D46">
            <w:pPr>
              <w:jc w:val="right"/>
            </w:pPr>
            <w:r w:rsidRPr="00F07F3B">
              <w:t>-15.87</w:t>
            </w:r>
          </w:p>
        </w:tc>
      </w:tr>
      <w:tr w:rsidR="00B86BD8" w:rsidRPr="005D1A7D" w:rsidTr="004E0D46">
        <w:tc>
          <w:tcPr>
            <w:tcW w:w="1963" w:type="dxa"/>
            <w:vAlign w:val="bottom"/>
          </w:tcPr>
          <w:p w:rsidR="00B86BD8" w:rsidRPr="005D1A7D" w:rsidRDefault="00B86BD8" w:rsidP="004E0D46">
            <w:r w:rsidRPr="005D1A7D">
              <w:t>like_retdcatchB</w:t>
            </w:r>
          </w:p>
        </w:tc>
        <w:tc>
          <w:tcPr>
            <w:tcW w:w="1725" w:type="dxa"/>
            <w:vAlign w:val="bottom"/>
          </w:tcPr>
          <w:p w:rsidR="00B86BD8" w:rsidRPr="00AE3D77" w:rsidRDefault="00B86BD8" w:rsidP="004E0D46">
            <w:pPr>
              <w:jc w:val="right"/>
            </w:pPr>
            <w:r w:rsidRPr="00F07F3B">
              <w:t>6.34</w:t>
            </w:r>
          </w:p>
        </w:tc>
        <w:tc>
          <w:tcPr>
            <w:tcW w:w="1724" w:type="dxa"/>
            <w:vAlign w:val="bottom"/>
          </w:tcPr>
          <w:p w:rsidR="00B86BD8" w:rsidRPr="00AE3D77" w:rsidRDefault="00B86BD8" w:rsidP="004E0D46">
            <w:pPr>
              <w:jc w:val="right"/>
            </w:pPr>
            <w:r w:rsidRPr="00F07F3B">
              <w:t>5.95</w:t>
            </w:r>
          </w:p>
        </w:tc>
      </w:tr>
      <w:tr w:rsidR="00B86BD8" w:rsidRPr="005D1A7D" w:rsidTr="004E0D46">
        <w:tc>
          <w:tcPr>
            <w:tcW w:w="1963" w:type="dxa"/>
            <w:vAlign w:val="bottom"/>
          </w:tcPr>
          <w:p w:rsidR="00B86BD8" w:rsidRPr="005D1A7D" w:rsidRDefault="00B86BD8" w:rsidP="004E0D46">
            <w:r w:rsidRPr="005D1A7D">
              <w:t>like_totalcatchB</w:t>
            </w:r>
          </w:p>
        </w:tc>
        <w:tc>
          <w:tcPr>
            <w:tcW w:w="1725" w:type="dxa"/>
            <w:vAlign w:val="bottom"/>
          </w:tcPr>
          <w:p w:rsidR="00B86BD8" w:rsidRPr="00AE3D77" w:rsidRDefault="00B86BD8" w:rsidP="004E0D46">
            <w:pPr>
              <w:jc w:val="right"/>
            </w:pPr>
            <w:r w:rsidRPr="00F07F3B">
              <w:t>77.22</w:t>
            </w:r>
          </w:p>
        </w:tc>
        <w:tc>
          <w:tcPr>
            <w:tcW w:w="1724" w:type="dxa"/>
            <w:vAlign w:val="bottom"/>
          </w:tcPr>
          <w:p w:rsidR="00B86BD8" w:rsidRPr="00AE3D77" w:rsidRDefault="00B86BD8" w:rsidP="004E0D46">
            <w:pPr>
              <w:jc w:val="right"/>
            </w:pPr>
            <w:r w:rsidRPr="00F07F3B">
              <w:t>71.57</w:t>
            </w:r>
          </w:p>
        </w:tc>
      </w:tr>
      <w:tr w:rsidR="00B86BD8" w:rsidRPr="005D1A7D" w:rsidTr="004E0D46">
        <w:tc>
          <w:tcPr>
            <w:tcW w:w="1963" w:type="dxa"/>
            <w:vAlign w:val="bottom"/>
          </w:tcPr>
          <w:p w:rsidR="00B86BD8" w:rsidRPr="005D1A7D" w:rsidRDefault="00B86BD8" w:rsidP="004E0D46">
            <w:r w:rsidRPr="005D1A7D">
              <w:t>like_gdiscdcatchB</w:t>
            </w:r>
          </w:p>
        </w:tc>
        <w:tc>
          <w:tcPr>
            <w:tcW w:w="1725" w:type="dxa"/>
            <w:vAlign w:val="bottom"/>
          </w:tcPr>
          <w:p w:rsidR="00B86BD8" w:rsidRPr="00AE3D77" w:rsidRDefault="00B86BD8" w:rsidP="004E0D46">
            <w:pPr>
              <w:jc w:val="right"/>
            </w:pPr>
            <w:r w:rsidRPr="00F07F3B">
              <w:t>2.55</w:t>
            </w:r>
          </w:p>
        </w:tc>
        <w:tc>
          <w:tcPr>
            <w:tcW w:w="1724" w:type="dxa"/>
            <w:vAlign w:val="bottom"/>
          </w:tcPr>
          <w:p w:rsidR="00B86BD8" w:rsidRPr="00AE3D77" w:rsidRDefault="00B86BD8" w:rsidP="004E0D46">
            <w:pPr>
              <w:jc w:val="right"/>
            </w:pPr>
            <w:r w:rsidRPr="00F07F3B">
              <w:t>2.44</w:t>
            </w:r>
          </w:p>
        </w:tc>
      </w:tr>
      <w:tr w:rsidR="00B86BD8" w:rsidRPr="005D1A7D" w:rsidTr="004E0D46">
        <w:tc>
          <w:tcPr>
            <w:tcW w:w="1963" w:type="dxa"/>
            <w:vAlign w:val="bottom"/>
          </w:tcPr>
          <w:p w:rsidR="00B86BD8" w:rsidRPr="005D1A7D" w:rsidRDefault="00B86BD8" w:rsidP="004E0D46">
            <w:r w:rsidRPr="005D1A7D">
              <w:t>like_rec_dev</w:t>
            </w:r>
          </w:p>
        </w:tc>
        <w:tc>
          <w:tcPr>
            <w:tcW w:w="1725" w:type="dxa"/>
            <w:vAlign w:val="bottom"/>
          </w:tcPr>
          <w:p w:rsidR="00B86BD8" w:rsidRPr="00AE3D77" w:rsidRDefault="00B86BD8" w:rsidP="004E0D46">
            <w:pPr>
              <w:jc w:val="right"/>
            </w:pPr>
            <w:r w:rsidRPr="00F07F3B">
              <w:t>1.87</w:t>
            </w:r>
          </w:p>
        </w:tc>
        <w:tc>
          <w:tcPr>
            <w:tcW w:w="1724" w:type="dxa"/>
            <w:vAlign w:val="bottom"/>
          </w:tcPr>
          <w:p w:rsidR="00B86BD8" w:rsidRPr="00AE3D77" w:rsidRDefault="00B86BD8" w:rsidP="004E0D46">
            <w:pPr>
              <w:jc w:val="right"/>
            </w:pPr>
            <w:r w:rsidRPr="00F07F3B">
              <w:t>2.58</w:t>
            </w:r>
          </w:p>
        </w:tc>
      </w:tr>
      <w:tr w:rsidR="00B86BD8" w:rsidRPr="005D1A7D" w:rsidTr="004E0D46">
        <w:tc>
          <w:tcPr>
            <w:tcW w:w="1963" w:type="dxa"/>
            <w:vAlign w:val="bottom"/>
          </w:tcPr>
          <w:p w:rsidR="00B86BD8" w:rsidRPr="005D1A7D" w:rsidRDefault="00B86BD8" w:rsidP="004E0D46">
            <w:r w:rsidRPr="005D1A7D">
              <w:t>like_F</w:t>
            </w:r>
          </w:p>
        </w:tc>
        <w:tc>
          <w:tcPr>
            <w:tcW w:w="1725" w:type="dxa"/>
            <w:vAlign w:val="bottom"/>
          </w:tcPr>
          <w:p w:rsidR="00B86BD8" w:rsidRPr="00AE3D77" w:rsidRDefault="00B86BD8" w:rsidP="004E0D46">
            <w:pPr>
              <w:jc w:val="right"/>
            </w:pPr>
            <w:r w:rsidRPr="00AE3D77">
              <w:t>0.00051</w:t>
            </w:r>
          </w:p>
        </w:tc>
        <w:tc>
          <w:tcPr>
            <w:tcW w:w="1724" w:type="dxa"/>
            <w:vAlign w:val="bottom"/>
          </w:tcPr>
          <w:p w:rsidR="00B86BD8" w:rsidRPr="00AE3D77" w:rsidRDefault="00B86BD8">
            <w:pPr>
              <w:jc w:val="right"/>
            </w:pPr>
            <w:r w:rsidRPr="00AE3D77">
              <w:t>0.000054</w:t>
            </w:r>
          </w:p>
        </w:tc>
      </w:tr>
      <w:tr w:rsidR="00B86BD8" w:rsidRPr="005D1A7D" w:rsidTr="004E0D46">
        <w:tc>
          <w:tcPr>
            <w:tcW w:w="1963" w:type="dxa"/>
            <w:vAlign w:val="bottom"/>
          </w:tcPr>
          <w:p w:rsidR="00B86BD8" w:rsidRPr="005D1A7D" w:rsidRDefault="00B86BD8" w:rsidP="004E0D46">
            <w:r w:rsidRPr="005D1A7D">
              <w:t>like_gF</w:t>
            </w:r>
          </w:p>
        </w:tc>
        <w:tc>
          <w:tcPr>
            <w:tcW w:w="1725" w:type="dxa"/>
            <w:vAlign w:val="bottom"/>
          </w:tcPr>
          <w:p w:rsidR="00B86BD8" w:rsidRPr="00AE3D77" w:rsidRDefault="00B86BD8" w:rsidP="004E0D46">
            <w:pPr>
              <w:jc w:val="right"/>
            </w:pPr>
            <w:r w:rsidRPr="00AE3D77">
              <w:t>31.69</w:t>
            </w:r>
          </w:p>
        </w:tc>
        <w:tc>
          <w:tcPr>
            <w:tcW w:w="1724" w:type="dxa"/>
            <w:vAlign w:val="bottom"/>
          </w:tcPr>
          <w:p w:rsidR="00B86BD8" w:rsidRPr="00AE3D77" w:rsidRDefault="00B86BD8" w:rsidP="004E0D46">
            <w:pPr>
              <w:jc w:val="right"/>
            </w:pPr>
            <w:r w:rsidRPr="00AE3D77">
              <w:t>30.31</w:t>
            </w:r>
          </w:p>
        </w:tc>
      </w:tr>
      <w:tr w:rsidR="00B86BD8" w:rsidRPr="005D1A7D" w:rsidTr="004E0D46">
        <w:tc>
          <w:tcPr>
            <w:tcW w:w="1963" w:type="dxa"/>
            <w:vAlign w:val="bottom"/>
          </w:tcPr>
          <w:p w:rsidR="00B86BD8" w:rsidRPr="005D1A7D" w:rsidRDefault="00B86BD8" w:rsidP="004E0D46">
            <w:r w:rsidRPr="005D1A7D">
              <w:t>like_LLyr</w:t>
            </w:r>
          </w:p>
        </w:tc>
        <w:tc>
          <w:tcPr>
            <w:tcW w:w="1725" w:type="dxa"/>
            <w:vAlign w:val="bottom"/>
          </w:tcPr>
          <w:p w:rsidR="00B86BD8" w:rsidRPr="00AE3D77" w:rsidRDefault="00B86BD8" w:rsidP="004E0D46">
            <w:pPr>
              <w:jc w:val="right"/>
            </w:pPr>
            <w:r w:rsidRPr="00AE3D77">
              <w:t>4.50</w:t>
            </w:r>
          </w:p>
        </w:tc>
        <w:tc>
          <w:tcPr>
            <w:tcW w:w="1724" w:type="dxa"/>
            <w:vAlign w:val="bottom"/>
          </w:tcPr>
          <w:p w:rsidR="00B86BD8" w:rsidRPr="00AE3D77" w:rsidRDefault="00B86BD8" w:rsidP="004E0D46">
            <w:pPr>
              <w:jc w:val="right"/>
            </w:pPr>
            <w:r w:rsidRPr="00AE3D77">
              <w:t>2.97</w:t>
            </w:r>
          </w:p>
        </w:tc>
      </w:tr>
      <w:tr w:rsidR="00B86BD8" w:rsidRPr="005D1A7D" w:rsidTr="004E0D46">
        <w:tc>
          <w:tcPr>
            <w:tcW w:w="1963" w:type="dxa"/>
            <w:vAlign w:val="bottom"/>
          </w:tcPr>
          <w:p w:rsidR="00B86BD8" w:rsidRPr="005D1A7D" w:rsidRDefault="00B86BD8" w:rsidP="004E0D46">
            <w:r w:rsidRPr="005D1A7D">
              <w:t>like_meanFpot</w:t>
            </w:r>
          </w:p>
        </w:tc>
        <w:tc>
          <w:tcPr>
            <w:tcW w:w="1725" w:type="dxa"/>
            <w:vAlign w:val="bottom"/>
          </w:tcPr>
          <w:p w:rsidR="00B86BD8" w:rsidRPr="00AE3D77" w:rsidRDefault="00B86BD8" w:rsidP="004E0D46">
            <w:pPr>
              <w:jc w:val="right"/>
            </w:pPr>
            <w:r w:rsidRPr="00AE3D77">
              <w:t>0.000007</w:t>
            </w:r>
          </w:p>
        </w:tc>
        <w:tc>
          <w:tcPr>
            <w:tcW w:w="1724" w:type="dxa"/>
            <w:vAlign w:val="bottom"/>
          </w:tcPr>
          <w:p w:rsidR="00B86BD8" w:rsidRPr="00AE3D77" w:rsidRDefault="00B86BD8">
            <w:pPr>
              <w:jc w:val="right"/>
            </w:pPr>
            <w:r w:rsidRPr="00AE3D77">
              <w:t>0.000009</w:t>
            </w:r>
          </w:p>
        </w:tc>
      </w:tr>
      <w:tr w:rsidR="00B86BD8" w:rsidRPr="005D1A7D" w:rsidTr="004E0D46">
        <w:tc>
          <w:tcPr>
            <w:tcW w:w="1963" w:type="dxa"/>
            <w:vAlign w:val="bottom"/>
          </w:tcPr>
          <w:p w:rsidR="00B86BD8" w:rsidRPr="005D1A7D" w:rsidRDefault="00B86BD8" w:rsidP="004E0D46">
            <w:r w:rsidRPr="005D1A7D">
              <w:t>like_fpen</w:t>
            </w:r>
          </w:p>
        </w:tc>
        <w:tc>
          <w:tcPr>
            <w:tcW w:w="1725" w:type="dxa"/>
            <w:vAlign w:val="bottom"/>
          </w:tcPr>
          <w:p w:rsidR="00B86BD8" w:rsidRPr="00AE3D77" w:rsidRDefault="00B86BD8" w:rsidP="004E0D46">
            <w:pPr>
              <w:jc w:val="right"/>
            </w:pPr>
            <w:r w:rsidRPr="00AE3D77">
              <w:t>0.000000</w:t>
            </w:r>
          </w:p>
        </w:tc>
        <w:tc>
          <w:tcPr>
            <w:tcW w:w="1724" w:type="dxa"/>
            <w:vAlign w:val="bottom"/>
          </w:tcPr>
          <w:p w:rsidR="00B86BD8" w:rsidRPr="00AE3D77" w:rsidRDefault="00B86BD8" w:rsidP="004E0D46">
            <w:pPr>
              <w:jc w:val="right"/>
            </w:pPr>
            <w:r w:rsidRPr="00AE3D77">
              <w:t>0.000000</w:t>
            </w:r>
          </w:p>
        </w:tc>
      </w:tr>
      <w:tr w:rsidR="00B86BD8" w:rsidRPr="005D1A7D" w:rsidTr="004E0D46">
        <w:tc>
          <w:tcPr>
            <w:tcW w:w="1963" w:type="dxa"/>
            <w:vAlign w:val="bottom"/>
          </w:tcPr>
          <w:p w:rsidR="00B86BD8" w:rsidRPr="005D1A7D" w:rsidRDefault="00B86BD8" w:rsidP="004E0D46">
            <w:r w:rsidRPr="005D1A7D">
              <w:t>like_finalF</w:t>
            </w:r>
          </w:p>
        </w:tc>
        <w:tc>
          <w:tcPr>
            <w:tcW w:w="1725" w:type="dxa"/>
            <w:vAlign w:val="bottom"/>
          </w:tcPr>
          <w:p w:rsidR="00B86BD8" w:rsidRPr="00AE3D77" w:rsidRDefault="00B86BD8" w:rsidP="004E0D46">
            <w:pPr>
              <w:jc w:val="right"/>
            </w:pPr>
            <w:r w:rsidRPr="00AE3D77">
              <w:t>0.000000</w:t>
            </w:r>
          </w:p>
        </w:tc>
        <w:tc>
          <w:tcPr>
            <w:tcW w:w="1724" w:type="dxa"/>
            <w:vAlign w:val="bottom"/>
          </w:tcPr>
          <w:p w:rsidR="00B86BD8" w:rsidRPr="00AE3D77" w:rsidRDefault="00B86BD8" w:rsidP="004E0D46">
            <w:pPr>
              <w:jc w:val="right"/>
            </w:pPr>
            <w:r w:rsidRPr="00AE3D77">
              <w:t>0.000000</w:t>
            </w:r>
          </w:p>
        </w:tc>
      </w:tr>
      <w:tr w:rsidR="00B86BD8" w:rsidRPr="005D1A7D" w:rsidTr="004E0D46">
        <w:trPr>
          <w:trHeight w:val="252"/>
        </w:trPr>
        <w:tc>
          <w:tcPr>
            <w:tcW w:w="1963" w:type="dxa"/>
            <w:tcBorders>
              <w:bottom w:val="single" w:sz="4" w:space="0" w:color="auto"/>
            </w:tcBorders>
            <w:vAlign w:val="bottom"/>
          </w:tcPr>
          <w:p w:rsidR="00B86BD8" w:rsidRPr="005D1A7D" w:rsidRDefault="00B86BD8" w:rsidP="004E0D46">
            <w:r w:rsidRPr="005D1A7D">
              <w:t>Total</w:t>
            </w:r>
          </w:p>
        </w:tc>
        <w:tc>
          <w:tcPr>
            <w:tcW w:w="1725" w:type="dxa"/>
            <w:tcBorders>
              <w:bottom w:val="single" w:sz="4" w:space="0" w:color="auto"/>
            </w:tcBorders>
            <w:vAlign w:val="bottom"/>
          </w:tcPr>
          <w:p w:rsidR="00B86BD8" w:rsidRPr="00AE3D77" w:rsidRDefault="00B86BD8" w:rsidP="004E0D46">
            <w:pPr>
              <w:jc w:val="right"/>
            </w:pPr>
            <w:r w:rsidRPr="00AE3D77">
              <w:t>-1517.01</w:t>
            </w:r>
          </w:p>
        </w:tc>
        <w:tc>
          <w:tcPr>
            <w:tcW w:w="1724" w:type="dxa"/>
            <w:tcBorders>
              <w:bottom w:val="single" w:sz="4" w:space="0" w:color="auto"/>
            </w:tcBorders>
            <w:vAlign w:val="bottom"/>
          </w:tcPr>
          <w:p w:rsidR="00B86BD8" w:rsidRPr="00AE3D77" w:rsidRDefault="00B86BD8">
            <w:pPr>
              <w:jc w:val="right"/>
            </w:pPr>
            <w:r w:rsidRPr="00AE3D77">
              <w:t>-1506.48</w:t>
            </w:r>
          </w:p>
        </w:tc>
      </w:tr>
    </w:tbl>
    <w:p w:rsidR="00B86BD8" w:rsidRDefault="00B86BD8" w:rsidP="00B070C2">
      <w:pPr>
        <w:spacing w:line="360" w:lineRule="auto"/>
        <w:rPr>
          <w:sz w:val="22"/>
          <w:szCs w:val="22"/>
        </w:rPr>
      </w:pPr>
    </w:p>
    <w:p w:rsidR="00B86BD8" w:rsidRDefault="00B86BD8">
      <w:pPr>
        <w:rPr>
          <w:sz w:val="22"/>
          <w:szCs w:val="22"/>
        </w:rPr>
      </w:pPr>
      <w:r>
        <w:rPr>
          <w:sz w:val="22"/>
          <w:szCs w:val="22"/>
        </w:rPr>
        <w:br w:type="page"/>
      </w:r>
    </w:p>
    <w:p w:rsidR="00B86BD8" w:rsidRDefault="00B86BD8" w:rsidP="00B070C2">
      <w:pPr>
        <w:spacing w:line="360" w:lineRule="auto"/>
        <w:rPr>
          <w:sz w:val="22"/>
          <w:szCs w:val="22"/>
        </w:rPr>
      </w:pPr>
    </w:p>
    <w:p w:rsidR="00B86BD8" w:rsidRDefault="00B86BD8">
      <w:r>
        <w:rPr>
          <w:noProof/>
        </w:rPr>
        <w:drawing>
          <wp:inline distT="0" distB="0" distL="0" distR="0" wp14:anchorId="4E565C39" wp14:editId="621CD8DD">
            <wp:extent cx="5943600" cy="3343275"/>
            <wp:effectExtent l="0" t="0" r="0" b="9525"/>
            <wp:docPr id="1" name="Picture 1" descr="C:\Users\ssiddeek\Documents\MAY2014CPT\AssessmentMaterials\EAGHistoricalHarvestCPUE81_12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iddeek\Documents\MAY2014CPT\AssessmentMaterials\EAGHistoricalHarvestCPUE81_12Fi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86BD8" w:rsidRDefault="00B86BD8" w:rsidP="006B4EDE">
      <w:pPr>
        <w:pStyle w:val="Caption"/>
        <w:rPr>
          <w:szCs w:val="22"/>
        </w:rPr>
      </w:pPr>
      <w:r>
        <w:t xml:space="preserve">Figure </w:t>
      </w:r>
      <w:r w:rsidR="009374C7">
        <w:fldChar w:fldCharType="begin"/>
      </w:r>
      <w:r w:rsidR="009374C7">
        <w:instrText xml:space="preserve"> SEQ Figure \* ARABIC </w:instrText>
      </w:r>
      <w:r w:rsidR="009374C7">
        <w:fldChar w:fldCharType="separate"/>
      </w:r>
      <w:r>
        <w:rPr>
          <w:noProof/>
        </w:rPr>
        <w:t>1</w:t>
      </w:r>
      <w:r w:rsidR="009374C7">
        <w:rPr>
          <w:noProof/>
        </w:rPr>
        <w:fldChar w:fldCharType="end"/>
      </w:r>
      <w:r>
        <w:t xml:space="preserve">. </w:t>
      </w:r>
      <w:r w:rsidRPr="00B01DE5">
        <w:rPr>
          <w:szCs w:val="22"/>
        </w:rPr>
        <w:t>Historic</w:t>
      </w:r>
      <w:r>
        <w:rPr>
          <w:szCs w:val="22"/>
        </w:rPr>
        <w:t>al commercial harvest (from fish ticket and in metric tons</w:t>
      </w:r>
      <w:r w:rsidRPr="00B01DE5">
        <w:rPr>
          <w:szCs w:val="22"/>
        </w:rPr>
        <w:t xml:space="preserve">) </w:t>
      </w:r>
      <w:r>
        <w:rPr>
          <w:szCs w:val="22"/>
        </w:rPr>
        <w:t xml:space="preserve">and catch-per-unit effort (CPUE, number of crabs per pot lift) </w:t>
      </w:r>
      <w:r w:rsidRPr="00B01DE5">
        <w:rPr>
          <w:szCs w:val="22"/>
        </w:rPr>
        <w:t xml:space="preserve">of golden king crab </w:t>
      </w:r>
      <w:r>
        <w:rPr>
          <w:szCs w:val="22"/>
        </w:rPr>
        <w:t>in the EAG, 1985/86–</w:t>
      </w:r>
      <w:r w:rsidRPr="00B01DE5">
        <w:rPr>
          <w:szCs w:val="22"/>
        </w:rPr>
        <w:t>20</w:t>
      </w:r>
      <w:r>
        <w:rPr>
          <w:szCs w:val="22"/>
        </w:rPr>
        <w:t>12/13 fisheries (note: 1985</w:t>
      </w:r>
      <w:r w:rsidRPr="00B01DE5">
        <w:rPr>
          <w:szCs w:val="22"/>
        </w:rPr>
        <w:t xml:space="preserve"> </w:t>
      </w:r>
      <w:r>
        <w:rPr>
          <w:szCs w:val="22"/>
        </w:rPr>
        <w:t>refers to the 1985/86</w:t>
      </w:r>
      <w:r w:rsidRPr="00B01DE5">
        <w:rPr>
          <w:szCs w:val="22"/>
        </w:rPr>
        <w:t xml:space="preserve"> fishery).</w:t>
      </w:r>
    </w:p>
    <w:p w:rsidR="00B86BD8" w:rsidRDefault="00B86BD8">
      <w:r>
        <w:rPr>
          <w:noProof/>
        </w:rPr>
        <w:drawing>
          <wp:inline distT="0" distB="0" distL="0" distR="0" wp14:anchorId="07B86E2E" wp14:editId="496790A9">
            <wp:extent cx="5943600" cy="3343275"/>
            <wp:effectExtent l="0" t="0" r="0" b="9525"/>
            <wp:docPr id="2" name="Picture 2" descr="C:\Users\ssiddeek\Documents\MAY2014CPT\AssessmentMaterials\WAGHistoricalHarvestCPUE81_12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ddeek\Documents\MAY2014CPT\AssessmentMaterials\WAGHistoricalHarvestCPUE81_12Fi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86BD8" w:rsidRDefault="00B86BD8" w:rsidP="006B4EDE">
      <w:pPr>
        <w:pStyle w:val="Caption"/>
        <w:rPr>
          <w:szCs w:val="22"/>
        </w:rPr>
      </w:pPr>
      <w:r>
        <w:t xml:space="preserve">Figure 2. </w:t>
      </w:r>
      <w:r w:rsidRPr="00B01DE5">
        <w:rPr>
          <w:szCs w:val="22"/>
        </w:rPr>
        <w:t>Historic</w:t>
      </w:r>
      <w:r>
        <w:rPr>
          <w:szCs w:val="22"/>
        </w:rPr>
        <w:t>al commercial harvest (from fish ticket and in metric tons</w:t>
      </w:r>
      <w:r w:rsidRPr="00B01DE5">
        <w:rPr>
          <w:szCs w:val="22"/>
        </w:rPr>
        <w:t xml:space="preserve">) </w:t>
      </w:r>
      <w:r>
        <w:rPr>
          <w:szCs w:val="22"/>
        </w:rPr>
        <w:t xml:space="preserve">and catch-per-unit effort (CPUE, number of crabs per pot lift) </w:t>
      </w:r>
      <w:r w:rsidRPr="00B01DE5">
        <w:rPr>
          <w:szCs w:val="22"/>
        </w:rPr>
        <w:t xml:space="preserve">of golden king crab </w:t>
      </w:r>
      <w:r>
        <w:rPr>
          <w:szCs w:val="22"/>
        </w:rPr>
        <w:t>in the WAG, 1985/86–</w:t>
      </w:r>
      <w:r w:rsidRPr="00B01DE5">
        <w:rPr>
          <w:szCs w:val="22"/>
        </w:rPr>
        <w:t>20</w:t>
      </w:r>
      <w:r>
        <w:rPr>
          <w:szCs w:val="22"/>
        </w:rPr>
        <w:t>12/13 fisheries (note: 1985</w:t>
      </w:r>
      <w:r w:rsidRPr="00B01DE5">
        <w:rPr>
          <w:szCs w:val="22"/>
        </w:rPr>
        <w:t xml:space="preserve"> </w:t>
      </w:r>
      <w:r>
        <w:rPr>
          <w:szCs w:val="22"/>
        </w:rPr>
        <w:t>refers to the 1985/86</w:t>
      </w:r>
      <w:r w:rsidRPr="00B01DE5">
        <w:rPr>
          <w:szCs w:val="22"/>
        </w:rPr>
        <w:t xml:space="preserve"> fishery).</w:t>
      </w:r>
    </w:p>
    <w:p w:rsidR="00B86BD8" w:rsidRDefault="00B86BD8" w:rsidP="006B4EDE">
      <w:pPr>
        <w:sectPr w:rsidR="00B86BD8" w:rsidSect="0034070D">
          <w:pgSz w:w="12240" w:h="15840" w:code="1"/>
          <w:pgMar w:top="1440" w:right="1800" w:bottom="1440" w:left="1800" w:header="720" w:footer="720" w:gutter="0"/>
          <w:cols w:space="720"/>
          <w:titlePg/>
          <w:docGrid w:linePitch="360"/>
        </w:sectPr>
      </w:pPr>
    </w:p>
    <w:p w:rsidR="00B86BD8" w:rsidRPr="00377BE7" w:rsidRDefault="00B86BD8" w:rsidP="006B4EDE">
      <w:r w:rsidRPr="00377BE7">
        <w:object w:dxaOrig="12817" w:dyaOrig="8100">
          <v:shape id="_x0000_i1034" type="#_x0000_t75" style="width:640.7pt;height:404.85pt" o:ole="">
            <v:imagedata r:id="rId35" o:title=""/>
          </v:shape>
          <o:OLEObject Type="Embed" ProgID="AcroExch.Document.7" ShapeID="_x0000_i1034" DrawAspect="Content" ObjectID="_1460439707" r:id="rId36"/>
        </w:object>
      </w:r>
    </w:p>
    <w:p w:rsidR="00B86BD8" w:rsidRDefault="00B86BD8" w:rsidP="006B4EDE">
      <w:pPr>
        <w:pStyle w:val="Caption"/>
      </w:pPr>
      <w:r>
        <w:t>Figure 3. Aleutian Islands golden king crab harvest by ADF&amp;G statistical areas for 2010/11.</w:t>
      </w:r>
    </w:p>
    <w:p w:rsidR="00B86BD8" w:rsidRDefault="00B86BD8" w:rsidP="006B4EDE"/>
    <w:p w:rsidR="00B86BD8" w:rsidRDefault="00B86BD8" w:rsidP="006B4EDE">
      <w:r w:rsidRPr="00377BE7">
        <w:object w:dxaOrig="12817" w:dyaOrig="8100">
          <v:shape id="_x0000_i1035" type="#_x0000_t75" style="width:640.7pt;height:404.85pt" o:ole="">
            <v:imagedata r:id="rId37" o:title=""/>
          </v:shape>
          <o:OLEObject Type="Embed" ProgID="AcroExch.Document.7" ShapeID="_x0000_i1035" DrawAspect="Content" ObjectID="_1460439708" r:id="rId38"/>
        </w:object>
      </w:r>
    </w:p>
    <w:p w:rsidR="00B86BD8" w:rsidRDefault="00B86BD8" w:rsidP="006B4EDE">
      <w:pPr>
        <w:pStyle w:val="Caption"/>
      </w:pPr>
      <w:r>
        <w:t>Figure 4. Aleutian Islands golden king crab harvest by ADF&amp;G statistical areas for 2011/12.</w:t>
      </w:r>
    </w:p>
    <w:p w:rsidR="00B86BD8" w:rsidRDefault="00B86BD8" w:rsidP="006B4EDE"/>
    <w:p w:rsidR="00B86BD8" w:rsidRDefault="00B86BD8" w:rsidP="006B4EDE">
      <w:r w:rsidRPr="001C6314">
        <w:object w:dxaOrig="12817" w:dyaOrig="8100">
          <v:shape id="_x0000_i1036" type="#_x0000_t75" style="width:640.7pt;height:404.85pt" o:ole="">
            <v:imagedata r:id="rId39" o:title=""/>
          </v:shape>
          <o:OLEObject Type="Embed" ProgID="AcroExch.Document.7" ShapeID="_x0000_i1036" DrawAspect="Content" ObjectID="_1460439709" r:id="rId40"/>
        </w:object>
      </w:r>
    </w:p>
    <w:p w:rsidR="00B86BD8" w:rsidRDefault="00B86BD8" w:rsidP="006B4EDE">
      <w:pPr>
        <w:sectPr w:rsidR="00B86BD8" w:rsidSect="00F07F3B">
          <w:pgSz w:w="15840" w:h="12240" w:orient="landscape" w:code="1"/>
          <w:pgMar w:top="1800" w:right="1440" w:bottom="1800" w:left="1440" w:header="720" w:footer="720" w:gutter="0"/>
          <w:cols w:space="720"/>
          <w:docGrid w:linePitch="360"/>
        </w:sectPr>
      </w:pPr>
      <w:r>
        <w:t>Figure 5. Aleutian Islands golden king crab harvest by ADF&amp;G statistical areas for 2012/13.</w:t>
      </w:r>
    </w:p>
    <w:p w:rsidR="00B86BD8" w:rsidRDefault="00B86BD8" w:rsidP="006B4EDE">
      <w:r w:rsidRPr="005A54A7">
        <w:rPr>
          <w:noProof/>
        </w:rPr>
        <w:lastRenderedPageBreak/>
        <w:drawing>
          <wp:inline distT="0" distB="0" distL="0" distR="0" wp14:anchorId="5BEDFC2D" wp14:editId="53F031A3">
            <wp:extent cx="2714625" cy="2362200"/>
            <wp:effectExtent l="19050" t="0" r="9525" b="0"/>
            <wp:docPr id="23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5A54A7">
        <w:rPr>
          <w:noProof/>
        </w:rPr>
        <w:drawing>
          <wp:inline distT="0" distB="0" distL="0" distR="0" wp14:anchorId="40AD0FEF" wp14:editId="4A4915DF">
            <wp:extent cx="2714625" cy="2400300"/>
            <wp:effectExtent l="19050" t="0" r="9525" b="0"/>
            <wp:docPr id="23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094D9C">
        <w:rPr>
          <w:noProof/>
        </w:rPr>
        <w:drawing>
          <wp:inline distT="0" distB="0" distL="0" distR="0" wp14:anchorId="70D8E1E0" wp14:editId="4B5E54B9">
            <wp:extent cx="2743200" cy="2543175"/>
            <wp:effectExtent l="19050" t="0" r="19050" b="0"/>
            <wp:docPr id="3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094D9C">
        <w:rPr>
          <w:noProof/>
        </w:rPr>
        <w:drawing>
          <wp:inline distT="0" distB="0" distL="0" distR="0" wp14:anchorId="7CE50AE7" wp14:editId="79E04DFB">
            <wp:extent cx="2619375" cy="2524125"/>
            <wp:effectExtent l="19050" t="0" r="9525" b="0"/>
            <wp:docPr id="3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86BD8" w:rsidRDefault="00B86BD8" w:rsidP="006B4EDE">
      <w:pPr>
        <w:pStyle w:val="Caption"/>
      </w:pPr>
      <w:r>
        <w:t xml:space="preserve">Figure 6. </w:t>
      </w:r>
      <w:r w:rsidRPr="00D47D23">
        <w:t>Soak time and depth relative frequency distributions of golden king crab pots during pre   (1999/00–2004/05)</w:t>
      </w:r>
      <w:r>
        <w:t xml:space="preserve"> </w:t>
      </w:r>
      <w:r w:rsidRPr="00D47D23">
        <w:t>- and post (2005/06–2010/11)</w:t>
      </w:r>
      <w:r>
        <w:t xml:space="preserve"> </w:t>
      </w:r>
      <w:r w:rsidRPr="00D47D23">
        <w:t>- rationalization periods.</w:t>
      </w:r>
    </w:p>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r>
        <w:rPr>
          <w:noProof/>
        </w:rPr>
        <w:lastRenderedPageBreak/>
        <w:drawing>
          <wp:inline distT="0" distB="0" distL="0" distR="0" wp14:anchorId="2D1C7F02" wp14:editId="39414E10">
            <wp:extent cx="5943600" cy="3343275"/>
            <wp:effectExtent l="0" t="0" r="0" b="9525"/>
            <wp:docPr id="4" name="Picture 4" descr="C:\Users\ssiddeek\Documents\MAY2014CPT\AssessmentMaterials\epotsampleNoInteractNegBinomCPUE95_04L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siddeek\Documents\MAY2014CPT\AssessmentMaterials\epotsampleNoInteractNegBinomCPUE95_04LFig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86BD8" w:rsidRDefault="00B86BD8" w:rsidP="006B4EDE">
      <w:r>
        <w:rPr>
          <w:noProof/>
        </w:rPr>
        <w:drawing>
          <wp:inline distT="0" distB="0" distL="0" distR="0" wp14:anchorId="195C8997" wp14:editId="0E172E2A">
            <wp:extent cx="5943600" cy="3343275"/>
            <wp:effectExtent l="0" t="0" r="0" b="9525"/>
            <wp:docPr id="5" name="Picture 5" descr="C:\Users\ssiddeek\Documents\MAY2014CPT\AssessmentMaterials\epotsampleNoInteractNegBinomCPUE05_12L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siddeek\Documents\MAY2014CPT\AssessmentMaterials\epotsampleNoInteractNegBinomCPUE05_12LFig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86BD8" w:rsidRDefault="00B86BD8" w:rsidP="006B4EDE">
      <w:pPr>
        <w:pStyle w:val="Caption"/>
      </w:pPr>
      <w:r>
        <w:t xml:space="preserve">Figure 7. </w:t>
      </w:r>
      <w:r w:rsidRPr="00651D46">
        <w:t xml:space="preserve">Trends in </w:t>
      </w:r>
      <w:r>
        <w:t xml:space="preserve">arithmetic (nominal) and negative binomial CPUE indices </w:t>
      </w:r>
      <w:r w:rsidRPr="00651D46">
        <w:t xml:space="preserve">with </w:t>
      </w:r>
      <w:r>
        <w:t xml:space="preserve">+/- 1 SE for </w:t>
      </w:r>
      <w:r w:rsidRPr="00651D46">
        <w:t xml:space="preserve">Aleutian </w:t>
      </w:r>
      <w:r>
        <w:t>Islands golden king crab from</w:t>
      </w:r>
      <w:r w:rsidRPr="00651D46">
        <w:t xml:space="preserve"> EAG</w:t>
      </w:r>
      <w:r w:rsidRPr="00BD214A">
        <w:t xml:space="preserve"> </w:t>
      </w:r>
      <w:r w:rsidRPr="00031D70">
        <w:t>(east of 174°W longitude)</w:t>
      </w:r>
      <w:r w:rsidRPr="00651D46">
        <w:t xml:space="preserve">. </w:t>
      </w:r>
      <w:r>
        <w:t>Top panel</w:t>
      </w:r>
      <w:r w:rsidRPr="00651D46">
        <w:t xml:space="preserve">: 1995/96-2004/05 </w:t>
      </w:r>
      <w:r>
        <w:t>observer data and bottom panel</w:t>
      </w:r>
      <w:r w:rsidRPr="00651D46">
        <w:t xml:space="preserve">: 2005/06-2012/13 </w:t>
      </w:r>
      <w:r>
        <w:t xml:space="preserve">observer </w:t>
      </w:r>
      <w:r w:rsidRPr="00651D46">
        <w:t>data.</w:t>
      </w:r>
      <w:r>
        <w:t xml:space="preserve"> Negative binomial indices: black line and Arithmetic indices</w:t>
      </w:r>
      <w:r w:rsidRPr="00651D46">
        <w:t xml:space="preserve">: red line. </w:t>
      </w:r>
    </w:p>
    <w:p w:rsidR="00B86BD8" w:rsidRDefault="00B86BD8" w:rsidP="006B4EDE">
      <w:pPr>
        <w:pStyle w:val="Caption"/>
      </w:pPr>
    </w:p>
    <w:p w:rsidR="00B86BD8" w:rsidRDefault="00B86BD8" w:rsidP="006B4EDE"/>
    <w:p w:rsidR="00B86BD8" w:rsidRDefault="00B86BD8" w:rsidP="006B4EDE"/>
    <w:p w:rsidR="00B86BD8" w:rsidRDefault="00B86BD8" w:rsidP="006B4EDE"/>
    <w:p w:rsidR="00B86BD8" w:rsidRPr="006B4EDE" w:rsidRDefault="00B86BD8" w:rsidP="006B4EDE"/>
    <w:p w:rsidR="00B86BD8" w:rsidRDefault="00B86BD8" w:rsidP="006B4EDE">
      <w:pPr>
        <w:pStyle w:val="Caption"/>
      </w:pPr>
      <w:r>
        <w:rPr>
          <w:noProof/>
        </w:rPr>
        <w:drawing>
          <wp:inline distT="0" distB="0" distL="0" distR="0" wp14:anchorId="2A52BF9A" wp14:editId="438D2F37">
            <wp:extent cx="5486400" cy="7550785"/>
            <wp:effectExtent l="0" t="0" r="0" b="0"/>
            <wp:docPr id="3215600" name="Picture 321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7550785"/>
                    </a:xfrm>
                    <a:prstGeom prst="rect">
                      <a:avLst/>
                    </a:prstGeom>
                    <a:noFill/>
                    <a:ln>
                      <a:noFill/>
                    </a:ln>
                  </pic:spPr>
                </pic:pic>
              </a:graphicData>
            </a:graphic>
          </wp:inline>
        </w:drawing>
      </w:r>
    </w:p>
    <w:p w:rsidR="00B86BD8" w:rsidRDefault="00B86BD8" w:rsidP="004376EF">
      <w:pPr>
        <w:rPr>
          <w:bCs/>
          <w:color w:val="000000" w:themeColor="text1"/>
        </w:rPr>
      </w:pPr>
      <w:r>
        <w:t xml:space="preserve">Figure 8a. </w:t>
      </w:r>
      <w:r w:rsidRPr="00B01DE5">
        <w:rPr>
          <w:szCs w:val="22"/>
        </w:rPr>
        <w:t xml:space="preserve">Predicted (line) vs. observed (filled circle) retained catch relative length frequency distributions </w:t>
      </w:r>
      <w:r>
        <w:rPr>
          <w:szCs w:val="22"/>
        </w:rPr>
        <w:t xml:space="preserve">for scenario 1 data </w:t>
      </w:r>
      <w:r w:rsidRPr="00B01DE5">
        <w:rPr>
          <w:szCs w:val="22"/>
        </w:rPr>
        <w:t>of golden king crab in the E</w:t>
      </w:r>
      <w:r>
        <w:rPr>
          <w:szCs w:val="22"/>
        </w:rPr>
        <w:t>AG</w:t>
      </w:r>
      <w:r w:rsidRPr="00B01DE5">
        <w:rPr>
          <w:szCs w:val="22"/>
        </w:rPr>
        <w:t>, 19</w:t>
      </w:r>
      <w:r>
        <w:rPr>
          <w:szCs w:val="22"/>
        </w:rPr>
        <w:t>85/86</w:t>
      </w:r>
      <w:r w:rsidRPr="00B01DE5">
        <w:rPr>
          <w:szCs w:val="22"/>
        </w:rPr>
        <w:t xml:space="preserve"> to 20</w:t>
      </w:r>
      <w:r>
        <w:rPr>
          <w:szCs w:val="22"/>
        </w:rPr>
        <w:t>12/13</w:t>
      </w:r>
      <w:r w:rsidRPr="00B01DE5">
        <w:rPr>
          <w:szCs w:val="22"/>
        </w:rPr>
        <w:t>.</w:t>
      </w:r>
      <w:r w:rsidRPr="004376EF">
        <w:rPr>
          <w:bCs/>
          <w:color w:val="000000" w:themeColor="text1"/>
        </w:rPr>
        <w:t xml:space="preserve"> </w:t>
      </w:r>
      <w:r>
        <w:rPr>
          <w:bCs/>
          <w:color w:val="000000" w:themeColor="text1"/>
        </w:rPr>
        <w:t>Length group 1 is 103 mm CL.</w:t>
      </w:r>
    </w:p>
    <w:p w:rsidR="00B86BD8" w:rsidRDefault="00B86BD8" w:rsidP="006B4EDE">
      <w:r>
        <w:rPr>
          <w:noProof/>
        </w:rPr>
        <w:lastRenderedPageBreak/>
        <w:drawing>
          <wp:inline distT="0" distB="0" distL="0" distR="0" wp14:anchorId="5F9A3FA6" wp14:editId="3B88A3F6">
            <wp:extent cx="5486400" cy="7362825"/>
            <wp:effectExtent l="0" t="0" r="0" b="9525"/>
            <wp:docPr id="3215596" name="Picture 321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7362825"/>
                    </a:xfrm>
                    <a:prstGeom prst="rect">
                      <a:avLst/>
                    </a:prstGeom>
                    <a:noFill/>
                    <a:ln>
                      <a:noFill/>
                    </a:ln>
                  </pic:spPr>
                </pic:pic>
              </a:graphicData>
            </a:graphic>
          </wp:inline>
        </w:drawing>
      </w:r>
    </w:p>
    <w:p w:rsidR="00B86BD8" w:rsidRDefault="00B86BD8" w:rsidP="006B4EDE"/>
    <w:p w:rsidR="00B86BD8" w:rsidRDefault="00B86BD8" w:rsidP="006B4EDE"/>
    <w:p w:rsidR="00B86BD8" w:rsidRDefault="00B86BD8" w:rsidP="006B4EDE"/>
    <w:p w:rsidR="00B86BD8" w:rsidRDefault="00B86BD8" w:rsidP="004376EF">
      <w:pPr>
        <w:rPr>
          <w:bCs/>
          <w:color w:val="000000" w:themeColor="text1"/>
        </w:rPr>
      </w:pPr>
      <w:r>
        <w:t xml:space="preserve">Figure 8b. </w:t>
      </w:r>
      <w:r w:rsidRPr="00B01DE5">
        <w:rPr>
          <w:szCs w:val="22"/>
        </w:rPr>
        <w:t xml:space="preserve">Predicted (line) vs. observed (filled circle) retained catch relative length frequency distributions </w:t>
      </w:r>
      <w:r>
        <w:rPr>
          <w:szCs w:val="22"/>
        </w:rPr>
        <w:t xml:space="preserve">for scenario 2 data </w:t>
      </w:r>
      <w:r w:rsidRPr="00B01DE5">
        <w:rPr>
          <w:szCs w:val="22"/>
        </w:rPr>
        <w:t>of golden king crab in the E</w:t>
      </w:r>
      <w:r>
        <w:rPr>
          <w:szCs w:val="22"/>
        </w:rPr>
        <w:t>AG</w:t>
      </w:r>
      <w:r w:rsidRPr="00B01DE5">
        <w:rPr>
          <w:szCs w:val="22"/>
        </w:rPr>
        <w:t>, 19</w:t>
      </w:r>
      <w:r>
        <w:rPr>
          <w:szCs w:val="22"/>
        </w:rPr>
        <w:t>85/86</w:t>
      </w:r>
      <w:r w:rsidRPr="00B01DE5">
        <w:rPr>
          <w:szCs w:val="22"/>
        </w:rPr>
        <w:t xml:space="preserve"> to 20</w:t>
      </w:r>
      <w:r>
        <w:rPr>
          <w:szCs w:val="22"/>
        </w:rPr>
        <w:t>12/13</w:t>
      </w:r>
      <w:r w:rsidRPr="00B01DE5">
        <w:rPr>
          <w:szCs w:val="22"/>
        </w:rPr>
        <w:t>.</w:t>
      </w:r>
      <w:r w:rsidRPr="004376EF">
        <w:rPr>
          <w:bCs/>
          <w:color w:val="000000" w:themeColor="text1"/>
        </w:rPr>
        <w:t xml:space="preserve"> </w:t>
      </w:r>
      <w:r>
        <w:rPr>
          <w:bCs/>
          <w:color w:val="000000" w:themeColor="text1"/>
        </w:rPr>
        <w:t>Length group 1 is 103 mm CL.</w:t>
      </w:r>
    </w:p>
    <w:p w:rsidR="00B86BD8" w:rsidRDefault="00B86BD8" w:rsidP="004376EF">
      <w:pPr>
        <w:pStyle w:val="Caption"/>
        <w:rPr>
          <w:szCs w:val="22"/>
        </w:rPr>
      </w:pPr>
    </w:p>
    <w:p w:rsidR="00B86BD8" w:rsidRDefault="00B86BD8" w:rsidP="006B4EDE">
      <w:pPr>
        <w:rPr>
          <w:bCs/>
          <w:color w:val="000000" w:themeColor="text1"/>
        </w:rPr>
      </w:pPr>
      <w:r>
        <w:rPr>
          <w:noProof/>
        </w:rPr>
        <w:drawing>
          <wp:inline distT="0" distB="0" distL="0" distR="0" wp14:anchorId="0406FA59" wp14:editId="1ABEE3FA">
            <wp:extent cx="5486400" cy="7550785"/>
            <wp:effectExtent l="0" t="0" r="0" b="0"/>
            <wp:docPr id="3215601" name="Picture 321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7550785"/>
                    </a:xfrm>
                    <a:prstGeom prst="rect">
                      <a:avLst/>
                    </a:prstGeom>
                    <a:noFill/>
                    <a:ln>
                      <a:noFill/>
                    </a:ln>
                  </pic:spPr>
                </pic:pic>
              </a:graphicData>
            </a:graphic>
          </wp:inline>
        </w:drawing>
      </w:r>
    </w:p>
    <w:p w:rsidR="00B86BD8" w:rsidRDefault="00B86BD8" w:rsidP="004376EF">
      <w:pPr>
        <w:rPr>
          <w:bCs/>
          <w:color w:val="000000" w:themeColor="text1"/>
        </w:rPr>
      </w:pPr>
      <w:r>
        <w:rPr>
          <w:bCs/>
          <w:color w:val="000000" w:themeColor="text1"/>
        </w:rPr>
        <w:t>Fig</w:t>
      </w:r>
      <w:r w:rsidRPr="00340667">
        <w:rPr>
          <w:bCs/>
          <w:color w:val="000000" w:themeColor="text1"/>
        </w:rPr>
        <w:t>ure 9</w:t>
      </w:r>
      <w:r>
        <w:rPr>
          <w:bCs/>
          <w:color w:val="000000" w:themeColor="text1"/>
        </w:rPr>
        <w:t>a</w:t>
      </w:r>
      <w:r w:rsidRPr="00340667">
        <w:rPr>
          <w:bCs/>
          <w:color w:val="000000" w:themeColor="text1"/>
        </w:rPr>
        <w:t>. Predicted (line) vs. observed (filled circle) pot total catch relative leng</w:t>
      </w:r>
      <w:r>
        <w:rPr>
          <w:bCs/>
          <w:color w:val="000000" w:themeColor="text1"/>
        </w:rPr>
        <w:t>th frequency distributions for s</w:t>
      </w:r>
      <w:r w:rsidRPr="00340667">
        <w:rPr>
          <w:bCs/>
          <w:color w:val="000000" w:themeColor="text1"/>
        </w:rPr>
        <w:t>cenario 1 data of golden king crab in the EAG, 1990</w:t>
      </w:r>
      <w:r>
        <w:rPr>
          <w:bCs/>
          <w:color w:val="000000" w:themeColor="text1"/>
        </w:rPr>
        <w:t>/91</w:t>
      </w:r>
      <w:r w:rsidRPr="00340667">
        <w:rPr>
          <w:bCs/>
          <w:color w:val="000000" w:themeColor="text1"/>
        </w:rPr>
        <w:t xml:space="preserve"> to 2012</w:t>
      </w:r>
      <w:r>
        <w:rPr>
          <w:bCs/>
          <w:color w:val="000000" w:themeColor="text1"/>
        </w:rPr>
        <w:t>/13</w:t>
      </w:r>
      <w:r w:rsidRPr="00340667">
        <w:rPr>
          <w:bCs/>
          <w:color w:val="000000" w:themeColor="text1"/>
        </w:rPr>
        <w:t>.</w:t>
      </w:r>
      <w:r w:rsidRPr="004376EF">
        <w:rPr>
          <w:bCs/>
          <w:color w:val="000000" w:themeColor="text1"/>
        </w:rPr>
        <w:t xml:space="preserve"> </w:t>
      </w:r>
      <w:r>
        <w:rPr>
          <w:bCs/>
          <w:color w:val="000000" w:themeColor="text1"/>
        </w:rPr>
        <w:t>Length group 1 is 103 mm CL.</w:t>
      </w:r>
    </w:p>
    <w:p w:rsidR="00B86BD8" w:rsidRDefault="00B86BD8" w:rsidP="006B4EDE">
      <w:pPr>
        <w:rPr>
          <w:bCs/>
          <w:color w:val="000000" w:themeColor="text1"/>
        </w:rPr>
      </w:pPr>
    </w:p>
    <w:p w:rsidR="00B86BD8" w:rsidRDefault="00B86BD8" w:rsidP="006B4EDE">
      <w:pPr>
        <w:rPr>
          <w:bCs/>
          <w:color w:val="000000" w:themeColor="text1"/>
        </w:rPr>
      </w:pPr>
    </w:p>
    <w:p w:rsidR="00B86BD8" w:rsidRDefault="00B86BD8" w:rsidP="006B4EDE">
      <w:pPr>
        <w:rPr>
          <w:bCs/>
          <w:color w:val="000000" w:themeColor="text1"/>
        </w:rPr>
      </w:pPr>
    </w:p>
    <w:p w:rsidR="00B86BD8" w:rsidRDefault="00B86BD8" w:rsidP="004376EF">
      <w:pPr>
        <w:rPr>
          <w:bCs/>
          <w:color w:val="000000" w:themeColor="text1"/>
        </w:rPr>
      </w:pPr>
      <w:r w:rsidRPr="00F07F3B">
        <w:rPr>
          <w:bCs/>
          <w:noProof/>
          <w:color w:val="000000" w:themeColor="text1"/>
        </w:rPr>
        <w:drawing>
          <wp:inline distT="0" distB="0" distL="0" distR="0" wp14:anchorId="283CB7C7" wp14:editId="3C630B7C">
            <wp:extent cx="5486400" cy="7362825"/>
            <wp:effectExtent l="0" t="0" r="0" b="0"/>
            <wp:docPr id="3215590" name="Picture 321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7362825"/>
                    </a:xfrm>
                    <a:prstGeom prst="rect">
                      <a:avLst/>
                    </a:prstGeom>
                    <a:noFill/>
                    <a:ln>
                      <a:noFill/>
                    </a:ln>
                  </pic:spPr>
                </pic:pic>
              </a:graphicData>
            </a:graphic>
          </wp:inline>
        </w:drawing>
      </w:r>
    </w:p>
    <w:p w:rsidR="00B86BD8" w:rsidRDefault="00B86BD8" w:rsidP="004376EF">
      <w:pPr>
        <w:rPr>
          <w:bCs/>
          <w:color w:val="000000" w:themeColor="text1"/>
        </w:rPr>
      </w:pPr>
      <w:r>
        <w:rPr>
          <w:bCs/>
          <w:color w:val="000000" w:themeColor="text1"/>
        </w:rPr>
        <w:t>Fig</w:t>
      </w:r>
      <w:r w:rsidRPr="00340667">
        <w:rPr>
          <w:bCs/>
          <w:color w:val="000000" w:themeColor="text1"/>
        </w:rPr>
        <w:t>ure 9</w:t>
      </w:r>
      <w:r>
        <w:rPr>
          <w:bCs/>
          <w:color w:val="000000" w:themeColor="text1"/>
        </w:rPr>
        <w:t>b</w:t>
      </w:r>
      <w:r w:rsidRPr="00340667">
        <w:rPr>
          <w:bCs/>
          <w:color w:val="000000" w:themeColor="text1"/>
        </w:rPr>
        <w:t>. Predicted (line) vs. observed (filled circle) pot total catch relative leng</w:t>
      </w:r>
      <w:r>
        <w:rPr>
          <w:bCs/>
          <w:color w:val="000000" w:themeColor="text1"/>
        </w:rPr>
        <w:t>th frequency distributions for s</w:t>
      </w:r>
      <w:r w:rsidRPr="00340667">
        <w:rPr>
          <w:bCs/>
          <w:color w:val="000000" w:themeColor="text1"/>
        </w:rPr>
        <w:t xml:space="preserve">cenario </w:t>
      </w:r>
      <w:r>
        <w:rPr>
          <w:bCs/>
          <w:color w:val="000000" w:themeColor="text1"/>
        </w:rPr>
        <w:t>2</w:t>
      </w:r>
      <w:r w:rsidRPr="00340667">
        <w:rPr>
          <w:bCs/>
          <w:color w:val="000000" w:themeColor="text1"/>
        </w:rPr>
        <w:t xml:space="preserve"> data of golden king crab in the EAG, 1990</w:t>
      </w:r>
      <w:r>
        <w:rPr>
          <w:bCs/>
          <w:color w:val="000000" w:themeColor="text1"/>
        </w:rPr>
        <w:t>/91</w:t>
      </w:r>
      <w:r w:rsidRPr="00340667">
        <w:rPr>
          <w:bCs/>
          <w:color w:val="000000" w:themeColor="text1"/>
        </w:rPr>
        <w:t xml:space="preserve"> to 2012</w:t>
      </w:r>
      <w:r>
        <w:rPr>
          <w:bCs/>
          <w:color w:val="000000" w:themeColor="text1"/>
        </w:rPr>
        <w:t>/13</w:t>
      </w:r>
      <w:r w:rsidRPr="00340667">
        <w:rPr>
          <w:bCs/>
          <w:color w:val="000000" w:themeColor="text1"/>
        </w:rPr>
        <w:t>.</w:t>
      </w:r>
      <w:r>
        <w:rPr>
          <w:bCs/>
          <w:color w:val="000000" w:themeColor="text1"/>
        </w:rPr>
        <w:t xml:space="preserve"> Length group 1 is 103 mm CL.</w:t>
      </w:r>
    </w:p>
    <w:p w:rsidR="00B86BD8" w:rsidRDefault="00B86BD8" w:rsidP="006B4EDE">
      <w:pPr>
        <w:rPr>
          <w:bCs/>
          <w:color w:val="000000" w:themeColor="text1"/>
        </w:rPr>
      </w:pPr>
      <w:r w:rsidRPr="00D70C7B">
        <w:rPr>
          <w:bCs/>
          <w:noProof/>
          <w:color w:val="000000" w:themeColor="text1"/>
        </w:rPr>
        <w:lastRenderedPageBreak/>
        <w:drawing>
          <wp:inline distT="0" distB="0" distL="0" distR="0" wp14:anchorId="3EBC64BF" wp14:editId="5C71BEEA">
            <wp:extent cx="5486400" cy="7550785"/>
            <wp:effectExtent l="0" t="0" r="0" b="0"/>
            <wp:docPr id="3215602" name="Picture 321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7550785"/>
                    </a:xfrm>
                    <a:prstGeom prst="rect">
                      <a:avLst/>
                    </a:prstGeom>
                    <a:noFill/>
                    <a:ln>
                      <a:noFill/>
                    </a:ln>
                  </pic:spPr>
                </pic:pic>
              </a:graphicData>
            </a:graphic>
          </wp:inline>
        </w:drawing>
      </w:r>
    </w:p>
    <w:p w:rsidR="00B86BD8" w:rsidRDefault="00B86BD8" w:rsidP="006B4EDE">
      <w:pPr>
        <w:rPr>
          <w:bCs/>
          <w:color w:val="000000" w:themeColor="text1"/>
        </w:rPr>
      </w:pPr>
    </w:p>
    <w:p w:rsidR="00B86BD8" w:rsidRDefault="00B86BD8" w:rsidP="00F0582A">
      <w:pPr>
        <w:rPr>
          <w:bCs/>
          <w:color w:val="000000" w:themeColor="text1"/>
        </w:rPr>
      </w:pPr>
      <w:r>
        <w:t xml:space="preserve">Figure 10a. </w:t>
      </w:r>
      <w:r w:rsidRPr="002A6F5A">
        <w:rPr>
          <w:szCs w:val="22"/>
        </w:rPr>
        <w:t xml:space="preserve">Predicted (line) vs. observed (filled circle) groundfish discarded catch relative length frequency distributions </w:t>
      </w:r>
      <w:r>
        <w:rPr>
          <w:szCs w:val="22"/>
        </w:rPr>
        <w:t xml:space="preserve">for scenario 1 data </w:t>
      </w:r>
      <w:r w:rsidRPr="002A6F5A">
        <w:rPr>
          <w:szCs w:val="22"/>
        </w:rPr>
        <w:t>of golden king crab in the E</w:t>
      </w:r>
      <w:r>
        <w:rPr>
          <w:szCs w:val="22"/>
        </w:rPr>
        <w:t>AG</w:t>
      </w:r>
      <w:r w:rsidRPr="002A6F5A">
        <w:rPr>
          <w:szCs w:val="22"/>
        </w:rPr>
        <w:t>, 1995</w:t>
      </w:r>
      <w:r>
        <w:rPr>
          <w:szCs w:val="22"/>
        </w:rPr>
        <w:t>/96</w:t>
      </w:r>
      <w:r w:rsidRPr="002A6F5A">
        <w:rPr>
          <w:szCs w:val="22"/>
        </w:rPr>
        <w:t xml:space="preserve"> to 20</w:t>
      </w:r>
      <w:r>
        <w:rPr>
          <w:szCs w:val="22"/>
        </w:rPr>
        <w:t>12/13</w:t>
      </w:r>
      <w:r w:rsidRPr="002A6F5A">
        <w:rPr>
          <w:szCs w:val="22"/>
        </w:rPr>
        <w:t>.</w:t>
      </w:r>
      <w:r w:rsidRPr="00F0582A">
        <w:rPr>
          <w:bCs/>
          <w:color w:val="000000" w:themeColor="text1"/>
        </w:rPr>
        <w:t xml:space="preserve"> </w:t>
      </w:r>
      <w:r>
        <w:rPr>
          <w:bCs/>
          <w:color w:val="000000" w:themeColor="text1"/>
        </w:rPr>
        <w:t>Length group 1 is 103 mm CL.</w:t>
      </w:r>
    </w:p>
    <w:p w:rsidR="00B86BD8" w:rsidRDefault="00B86BD8" w:rsidP="00F0582A">
      <w:r>
        <w:rPr>
          <w:noProof/>
        </w:rPr>
        <w:lastRenderedPageBreak/>
        <w:drawing>
          <wp:inline distT="0" distB="0" distL="0" distR="0" wp14:anchorId="12B5F472" wp14:editId="696F804B">
            <wp:extent cx="5486400" cy="7362825"/>
            <wp:effectExtent l="0" t="0" r="0" b="0"/>
            <wp:docPr id="3215595" name="Picture 321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7362825"/>
                    </a:xfrm>
                    <a:prstGeom prst="rect">
                      <a:avLst/>
                    </a:prstGeom>
                    <a:noFill/>
                    <a:ln>
                      <a:noFill/>
                    </a:ln>
                  </pic:spPr>
                </pic:pic>
              </a:graphicData>
            </a:graphic>
          </wp:inline>
        </w:drawing>
      </w:r>
    </w:p>
    <w:p w:rsidR="00B86BD8" w:rsidRDefault="00B86BD8" w:rsidP="00F0582A">
      <w:pPr>
        <w:rPr>
          <w:bCs/>
          <w:color w:val="000000" w:themeColor="text1"/>
        </w:rPr>
      </w:pPr>
      <w:r>
        <w:t xml:space="preserve">Figure 10b. </w:t>
      </w:r>
      <w:r w:rsidRPr="002A6F5A">
        <w:rPr>
          <w:szCs w:val="22"/>
        </w:rPr>
        <w:t xml:space="preserve">Predicted (line) vs. observed (filled circle) groundfish discarded catch relative length frequency distributions </w:t>
      </w:r>
      <w:r>
        <w:rPr>
          <w:szCs w:val="22"/>
        </w:rPr>
        <w:t xml:space="preserve">for scenario 2 data </w:t>
      </w:r>
      <w:r w:rsidRPr="002A6F5A">
        <w:rPr>
          <w:szCs w:val="22"/>
        </w:rPr>
        <w:t>of golden king crab in the E</w:t>
      </w:r>
      <w:r>
        <w:rPr>
          <w:szCs w:val="22"/>
        </w:rPr>
        <w:t>AG</w:t>
      </w:r>
      <w:r w:rsidRPr="002A6F5A">
        <w:rPr>
          <w:szCs w:val="22"/>
        </w:rPr>
        <w:t>, 1995</w:t>
      </w:r>
      <w:r>
        <w:rPr>
          <w:szCs w:val="22"/>
        </w:rPr>
        <w:t>/96</w:t>
      </w:r>
      <w:r w:rsidRPr="002A6F5A">
        <w:rPr>
          <w:szCs w:val="22"/>
        </w:rPr>
        <w:t xml:space="preserve"> to 20</w:t>
      </w:r>
      <w:r>
        <w:rPr>
          <w:szCs w:val="22"/>
        </w:rPr>
        <w:t>12/13</w:t>
      </w:r>
      <w:r w:rsidRPr="002A6F5A">
        <w:rPr>
          <w:szCs w:val="22"/>
        </w:rPr>
        <w:t>.</w:t>
      </w:r>
      <w:r w:rsidRPr="00F0582A">
        <w:rPr>
          <w:bCs/>
          <w:color w:val="000000" w:themeColor="text1"/>
        </w:rPr>
        <w:t xml:space="preserve"> </w:t>
      </w:r>
      <w:r>
        <w:rPr>
          <w:bCs/>
          <w:color w:val="000000" w:themeColor="text1"/>
        </w:rPr>
        <w:t>Length group 1 is 103 mm CL.</w:t>
      </w:r>
    </w:p>
    <w:p w:rsidR="00B86BD8" w:rsidRDefault="00B86BD8">
      <w:r>
        <w:br w:type="page"/>
      </w:r>
    </w:p>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r>
        <w:rPr>
          <w:noProof/>
        </w:rPr>
        <w:drawing>
          <wp:inline distT="0" distB="0" distL="0" distR="0" wp14:anchorId="7599B700" wp14:editId="250E8193">
            <wp:extent cx="5486400" cy="3086100"/>
            <wp:effectExtent l="0" t="0" r="0" b="0"/>
            <wp:docPr id="3215576" name="Picture 3215576" descr="C:\Users\ssiddeek\Documents\MAY2014CPT\AssessmentMaterialsUpdatedNNfiles\Dutch8512RetEffectiveSSiz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Users\ssiddeek\Documents\MAY2014CPT\AssessmentMaterialsUpdatedNNfiles\Dutch8512RetEffectiveSSizeN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B86BD8" w:rsidRPr="007B690A" w:rsidRDefault="00B86BD8" w:rsidP="006B4EDE">
      <w:pPr>
        <w:pStyle w:val="Caption"/>
        <w:rPr>
          <w:szCs w:val="22"/>
        </w:rPr>
      </w:pPr>
      <w:r>
        <w:t xml:space="preserve">Figure 11. Predicted effective sample size vs. input sample size for retained catch length composition for scenarios 1 and 2 fit to </w:t>
      </w:r>
      <w:r w:rsidRPr="002A6F5A">
        <w:rPr>
          <w:szCs w:val="22"/>
        </w:rPr>
        <w:t xml:space="preserve">golden king crab </w:t>
      </w:r>
      <w:r>
        <w:rPr>
          <w:szCs w:val="22"/>
        </w:rPr>
        <w:t xml:space="preserve">data </w:t>
      </w:r>
      <w:r w:rsidRPr="002A6F5A">
        <w:rPr>
          <w:szCs w:val="22"/>
        </w:rPr>
        <w:t>in the E</w:t>
      </w:r>
      <w:r>
        <w:rPr>
          <w:szCs w:val="22"/>
        </w:rPr>
        <w:t>AG, 198</w:t>
      </w:r>
      <w:r w:rsidRPr="002A6F5A">
        <w:rPr>
          <w:szCs w:val="22"/>
        </w:rPr>
        <w:t>5</w:t>
      </w:r>
      <w:r>
        <w:rPr>
          <w:szCs w:val="22"/>
        </w:rPr>
        <w:t>/96</w:t>
      </w:r>
      <w:r w:rsidRPr="002A6F5A">
        <w:rPr>
          <w:szCs w:val="22"/>
        </w:rPr>
        <w:t xml:space="preserve"> to 20</w:t>
      </w:r>
      <w:r>
        <w:rPr>
          <w:szCs w:val="22"/>
        </w:rPr>
        <w:t>12/13</w:t>
      </w:r>
      <w:r w:rsidRPr="002A6F5A">
        <w:rPr>
          <w:szCs w:val="22"/>
        </w:rPr>
        <w:t>.</w:t>
      </w:r>
      <w:r>
        <w:rPr>
          <w:szCs w:val="22"/>
        </w:rPr>
        <w:t xml:space="preserve"> The red line is the 45</w:t>
      </w:r>
      <w:r w:rsidRPr="007B690A">
        <w:rPr>
          <w:szCs w:val="22"/>
          <w:vertAlign w:val="superscript"/>
        </w:rPr>
        <w:t>0</w:t>
      </w:r>
      <w:r>
        <w:rPr>
          <w:szCs w:val="22"/>
        </w:rPr>
        <w:t xml:space="preserve"> line passing through the origin.</w:t>
      </w:r>
    </w:p>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r>
        <w:rPr>
          <w:noProof/>
        </w:rPr>
        <w:lastRenderedPageBreak/>
        <w:drawing>
          <wp:inline distT="0" distB="0" distL="0" distR="0" wp14:anchorId="388DA092" wp14:editId="2C55D569">
            <wp:extent cx="5486400" cy="2930236"/>
            <wp:effectExtent l="0" t="0" r="0" b="3810"/>
            <wp:docPr id="64" name="Picture 64" descr="C:\Users\ssiddeek\Documents\MAY2014CPT\AssessmentMaterialsUpdatedNNfiles\Dutch8512TotalEffectiveSSiz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Users\ssiddeek\Documents\MAY2014CPT\AssessmentMaterialsUpdatedNNfiles\Dutch8512TotalEffectiveSSizeNN.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660" r="-2660"/>
                    <a:stretch/>
                  </pic:blipFill>
                  <pic:spPr bwMode="auto">
                    <a:xfrm>
                      <a:off x="0" y="0"/>
                      <a:ext cx="5486400" cy="2930236"/>
                    </a:xfrm>
                    <a:prstGeom prst="rect">
                      <a:avLst/>
                    </a:prstGeom>
                    <a:noFill/>
                    <a:ln>
                      <a:noFill/>
                    </a:ln>
                  </pic:spPr>
                </pic:pic>
              </a:graphicData>
            </a:graphic>
          </wp:inline>
        </w:drawing>
      </w:r>
    </w:p>
    <w:p w:rsidR="00B86BD8" w:rsidRPr="003A4B10" w:rsidRDefault="00B86BD8" w:rsidP="006B4EDE"/>
    <w:p w:rsidR="00B86BD8" w:rsidRPr="007B690A" w:rsidRDefault="00B86BD8" w:rsidP="006B4EDE">
      <w:pPr>
        <w:pStyle w:val="Caption"/>
        <w:rPr>
          <w:szCs w:val="22"/>
        </w:rPr>
      </w:pPr>
      <w:r>
        <w:t xml:space="preserve">Figure 12. Predicted effective sample size vs. input sample size for total catch length composition for scenarios 1 and 2 fits to </w:t>
      </w:r>
      <w:r w:rsidRPr="002A6F5A">
        <w:rPr>
          <w:szCs w:val="22"/>
        </w:rPr>
        <w:t xml:space="preserve">golden king crab </w:t>
      </w:r>
      <w:r>
        <w:rPr>
          <w:szCs w:val="22"/>
        </w:rPr>
        <w:t xml:space="preserve">data </w:t>
      </w:r>
      <w:r w:rsidRPr="002A6F5A">
        <w:rPr>
          <w:szCs w:val="22"/>
        </w:rPr>
        <w:t>in the E</w:t>
      </w:r>
      <w:r>
        <w:rPr>
          <w:szCs w:val="22"/>
        </w:rPr>
        <w:t>AG, 1990/91</w:t>
      </w:r>
      <w:r w:rsidRPr="002A6F5A">
        <w:rPr>
          <w:szCs w:val="22"/>
        </w:rPr>
        <w:t xml:space="preserve"> to 20</w:t>
      </w:r>
      <w:r>
        <w:rPr>
          <w:szCs w:val="22"/>
        </w:rPr>
        <w:t>12/13</w:t>
      </w:r>
      <w:r w:rsidRPr="002A6F5A">
        <w:rPr>
          <w:szCs w:val="22"/>
        </w:rPr>
        <w:t>.</w:t>
      </w:r>
      <w:r w:rsidRPr="007B690A">
        <w:rPr>
          <w:szCs w:val="22"/>
        </w:rPr>
        <w:t xml:space="preserve"> </w:t>
      </w:r>
      <w:r>
        <w:rPr>
          <w:szCs w:val="22"/>
        </w:rPr>
        <w:t>The red line is the 45</w:t>
      </w:r>
      <w:r w:rsidRPr="007B690A">
        <w:rPr>
          <w:szCs w:val="22"/>
          <w:vertAlign w:val="superscript"/>
        </w:rPr>
        <w:t>0</w:t>
      </w:r>
      <w:r>
        <w:rPr>
          <w:szCs w:val="22"/>
        </w:rPr>
        <w:t xml:space="preserve"> line passing through the origin.</w:t>
      </w:r>
    </w:p>
    <w:p w:rsidR="00B86BD8" w:rsidRDefault="00B86BD8" w:rsidP="006B4EDE">
      <w:pPr>
        <w:pStyle w:val="Caption"/>
        <w:rPr>
          <w:szCs w:val="22"/>
        </w:rPr>
      </w:pPr>
    </w:p>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r>
        <w:rPr>
          <w:noProof/>
        </w:rPr>
        <w:lastRenderedPageBreak/>
        <w:drawing>
          <wp:inline distT="0" distB="0" distL="0" distR="0" wp14:anchorId="73E8E4D9" wp14:editId="48A05284">
            <wp:extent cx="5486400" cy="3086100"/>
            <wp:effectExtent l="0" t="0" r="0" b="0"/>
            <wp:docPr id="69" name="Picture 69" descr="C:\Users\ssiddeek\Documents\MAY2014CPT\AssessmentMaterialsUpdatedNNfiles\Dutch8512GDiscardEffectiveSSiz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Users\ssiddeek\Documents\MAY2014CPT\AssessmentMaterialsUpdatedNNfiles\Dutch8512GDiscardEffectiveSSizeN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B86BD8" w:rsidRDefault="00B86BD8" w:rsidP="006B4EDE"/>
    <w:p w:rsidR="00B86BD8" w:rsidRDefault="00B86BD8" w:rsidP="006B4EDE"/>
    <w:p w:rsidR="00B86BD8" w:rsidRDefault="00B86BD8" w:rsidP="006B4EDE"/>
    <w:p w:rsidR="00B86BD8" w:rsidRDefault="00B86BD8" w:rsidP="006B4EDE"/>
    <w:p w:rsidR="00B86BD8" w:rsidRPr="007B690A" w:rsidRDefault="00B86BD8" w:rsidP="006B4EDE">
      <w:pPr>
        <w:pStyle w:val="Caption"/>
        <w:rPr>
          <w:szCs w:val="22"/>
        </w:rPr>
      </w:pPr>
      <w:r>
        <w:t xml:space="preserve">Figure 13. Predicted effective sample size vs. input sample size for groundfish discarded catch length composition for scenarios 1 and 2 fits to </w:t>
      </w:r>
      <w:r w:rsidRPr="002A6F5A">
        <w:rPr>
          <w:szCs w:val="22"/>
        </w:rPr>
        <w:t xml:space="preserve">golden king crab </w:t>
      </w:r>
      <w:r>
        <w:rPr>
          <w:szCs w:val="22"/>
        </w:rPr>
        <w:t xml:space="preserve">data </w:t>
      </w:r>
      <w:r w:rsidRPr="002A6F5A">
        <w:rPr>
          <w:szCs w:val="22"/>
        </w:rPr>
        <w:t>in the E</w:t>
      </w:r>
      <w:r>
        <w:rPr>
          <w:szCs w:val="22"/>
        </w:rPr>
        <w:t>AG, 1995/96</w:t>
      </w:r>
      <w:r w:rsidRPr="002A6F5A">
        <w:rPr>
          <w:szCs w:val="22"/>
        </w:rPr>
        <w:t xml:space="preserve"> to 20</w:t>
      </w:r>
      <w:r>
        <w:rPr>
          <w:szCs w:val="22"/>
        </w:rPr>
        <w:t>12/13</w:t>
      </w:r>
      <w:r w:rsidRPr="002A6F5A">
        <w:rPr>
          <w:szCs w:val="22"/>
        </w:rPr>
        <w:t>.</w:t>
      </w:r>
      <w:r w:rsidRPr="007B690A">
        <w:rPr>
          <w:szCs w:val="22"/>
        </w:rPr>
        <w:t xml:space="preserve"> </w:t>
      </w:r>
      <w:r>
        <w:rPr>
          <w:szCs w:val="22"/>
        </w:rPr>
        <w:t>The red line is the 45</w:t>
      </w:r>
      <w:r w:rsidRPr="007B690A">
        <w:rPr>
          <w:szCs w:val="22"/>
          <w:vertAlign w:val="superscript"/>
        </w:rPr>
        <w:t>0</w:t>
      </w:r>
      <w:r>
        <w:rPr>
          <w:szCs w:val="22"/>
        </w:rPr>
        <w:t xml:space="preserve"> line passing through the origin.</w:t>
      </w:r>
    </w:p>
    <w:p w:rsidR="00B86BD8" w:rsidRDefault="00B86BD8" w:rsidP="006B4EDE">
      <w:pPr>
        <w:pStyle w:val="Caption"/>
        <w:rPr>
          <w:szCs w:val="22"/>
        </w:rPr>
      </w:pPr>
    </w:p>
    <w:p w:rsidR="00B86BD8" w:rsidRPr="00A35CD1" w:rsidRDefault="00B86BD8" w:rsidP="006B4EDE"/>
    <w:p w:rsidR="00B86BD8" w:rsidRDefault="00B86BD8" w:rsidP="006B4EDE">
      <w:pPr>
        <w:rPr>
          <w:bCs/>
          <w:color w:val="000000" w:themeColor="text1"/>
        </w:rPr>
      </w:pPr>
    </w:p>
    <w:p w:rsidR="00B86BD8" w:rsidRDefault="00B86BD8" w:rsidP="006B4EDE">
      <w:pPr>
        <w:rPr>
          <w:bCs/>
          <w:color w:val="000000" w:themeColor="text1"/>
        </w:rPr>
      </w:pPr>
    </w:p>
    <w:p w:rsidR="00B86BD8" w:rsidRDefault="00B86BD8" w:rsidP="006B4EDE">
      <w:pPr>
        <w:rPr>
          <w:bCs/>
          <w:color w:val="000000" w:themeColor="text1"/>
        </w:rPr>
      </w:pPr>
    </w:p>
    <w:p w:rsidR="00B86BD8" w:rsidRDefault="00B86BD8" w:rsidP="006B4EDE">
      <w:pPr>
        <w:rPr>
          <w:bCs/>
          <w:color w:val="000000" w:themeColor="text1"/>
        </w:rPr>
      </w:pPr>
    </w:p>
    <w:p w:rsidR="00B86BD8" w:rsidRDefault="00B86BD8" w:rsidP="006B4EDE">
      <w:pPr>
        <w:rPr>
          <w:bCs/>
          <w:color w:val="000000" w:themeColor="text1"/>
        </w:rPr>
      </w:pPr>
    </w:p>
    <w:p w:rsidR="00B86BD8" w:rsidRDefault="00B86BD8" w:rsidP="006B4EDE">
      <w:pPr>
        <w:rPr>
          <w:bCs/>
          <w:color w:val="000000" w:themeColor="text1"/>
        </w:rPr>
      </w:pPr>
    </w:p>
    <w:p w:rsidR="00B86BD8" w:rsidRDefault="00B86BD8" w:rsidP="006B4EDE">
      <w:pPr>
        <w:rPr>
          <w:bCs/>
          <w:color w:val="000000" w:themeColor="text1"/>
        </w:rPr>
      </w:pPr>
    </w:p>
    <w:p w:rsidR="00B86BD8" w:rsidRDefault="00B86BD8" w:rsidP="006B4EDE">
      <w:pPr>
        <w:rPr>
          <w:bCs/>
          <w:color w:val="000000" w:themeColor="text1"/>
        </w:rPr>
      </w:pPr>
    </w:p>
    <w:p w:rsidR="00B86BD8" w:rsidRDefault="00B86BD8" w:rsidP="006B4EDE">
      <w:pPr>
        <w:rPr>
          <w:bCs/>
          <w:color w:val="000000" w:themeColor="text1"/>
        </w:rPr>
      </w:pPr>
    </w:p>
    <w:p w:rsidR="00B86BD8" w:rsidRDefault="00B86BD8" w:rsidP="006B4EDE">
      <w:pPr>
        <w:rPr>
          <w:bCs/>
          <w:color w:val="000000" w:themeColor="text1"/>
        </w:rPr>
      </w:pPr>
    </w:p>
    <w:p w:rsidR="00B86BD8" w:rsidRDefault="00B86BD8" w:rsidP="006B4EDE">
      <w:pPr>
        <w:rPr>
          <w:bCs/>
          <w:color w:val="000000" w:themeColor="text1"/>
        </w:rPr>
      </w:pPr>
    </w:p>
    <w:p w:rsidR="00B86BD8" w:rsidRDefault="00B86BD8" w:rsidP="006B4EDE">
      <w:pPr>
        <w:pStyle w:val="Caption"/>
      </w:pPr>
      <w:r>
        <w:rPr>
          <w:noProof/>
        </w:rPr>
        <w:lastRenderedPageBreak/>
        <w:drawing>
          <wp:inline distT="0" distB="0" distL="0" distR="0" wp14:anchorId="498A6B31" wp14:editId="5E3F1D73">
            <wp:extent cx="5486400" cy="3086100"/>
            <wp:effectExtent l="0" t="0" r="0" b="0"/>
            <wp:docPr id="95" name="Picture 95" descr="C:\Users\ssiddeek\Documents\MAY2014CPT\AssessmentMaterialsUpdatedNNfiles\Dutch8512Selectivity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Users\ssiddeek\Documents\MAY2014CPT\AssessmentMaterialsUpdatedNNfiles\Dutch8512SelectivityN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B86BD8" w:rsidRDefault="00B86BD8" w:rsidP="006B4EDE">
      <w:pPr>
        <w:pStyle w:val="Caption"/>
      </w:pPr>
      <w:r w:rsidRPr="00C24685">
        <w:t>Figure 1</w:t>
      </w:r>
      <w:r>
        <w:t>4</w:t>
      </w:r>
      <w:r w:rsidRPr="00C24685">
        <w:t>. Estimated total selecti</w:t>
      </w:r>
      <w:r>
        <w:t xml:space="preserve">vity (black solid line) and retained </w:t>
      </w:r>
      <w:r w:rsidRPr="00C24685">
        <w:t>selectivity (</w:t>
      </w:r>
      <w:r>
        <w:t>red dotted</w:t>
      </w:r>
      <w:r w:rsidRPr="00C24685">
        <w:t xml:space="preserve"> line) </w:t>
      </w:r>
      <w:r>
        <w:t>for pre- (top panel) and post- (bottom panel) rationalization periods under s</w:t>
      </w:r>
      <w:r w:rsidRPr="00C24685">
        <w:t>cenario</w:t>
      </w:r>
      <w:r>
        <w:t>s</w:t>
      </w:r>
      <w:r w:rsidRPr="00C24685">
        <w:t xml:space="preserve"> 1 </w:t>
      </w:r>
      <w:r>
        <w:t>and 2 fits of</w:t>
      </w:r>
      <w:r w:rsidRPr="00C24685">
        <w:t xml:space="preserve"> EAG</w:t>
      </w:r>
      <w:r>
        <w:t xml:space="preserve"> golden king crab data</w:t>
      </w:r>
      <w:r w:rsidRPr="00C24685">
        <w:t>.</w:t>
      </w:r>
    </w:p>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Pr>
        <w:sectPr w:rsidR="00B86BD8" w:rsidSect="00F07F3B">
          <w:pgSz w:w="12240" w:h="15840" w:code="1"/>
          <w:pgMar w:top="1440" w:right="1800" w:bottom="1440" w:left="1800" w:header="720" w:footer="720" w:gutter="0"/>
          <w:cols w:space="720"/>
          <w:docGrid w:linePitch="360"/>
        </w:sectPr>
      </w:pPr>
    </w:p>
    <w:p w:rsidR="00B86BD8" w:rsidRDefault="00B86BD8" w:rsidP="006B4EDE">
      <w:pPr>
        <w:rPr>
          <w:noProof/>
        </w:rPr>
      </w:pPr>
      <w:r w:rsidRPr="0081152D">
        <w:rPr>
          <w:noProof/>
        </w:rPr>
        <w:lastRenderedPageBreak/>
        <w:t xml:space="preserve"> </w:t>
      </w:r>
      <w:r>
        <w:rPr>
          <w:noProof/>
        </w:rPr>
        <w:drawing>
          <wp:inline distT="0" distB="0" distL="0" distR="0" wp14:anchorId="048CF222" wp14:editId="588A9B56">
            <wp:extent cx="3984771" cy="2466363"/>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rPr>
        <w:t xml:space="preserve"> </w:t>
      </w:r>
      <w:r>
        <w:rPr>
          <w:noProof/>
        </w:rPr>
        <w:drawing>
          <wp:inline distT="0" distB="0" distL="0" distR="0" wp14:anchorId="299142AD" wp14:editId="44B7A8B6">
            <wp:extent cx="4135772" cy="2466363"/>
            <wp:effectExtent l="0" t="0" r="0" b="0"/>
            <wp:docPr id="3215599" name="Chart 32155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86BD8" w:rsidRDefault="00B86BD8" w:rsidP="006B4EDE"/>
    <w:p w:rsidR="00B86BD8" w:rsidRDefault="00B86BD8" w:rsidP="006B4EDE">
      <w:r w:rsidRPr="0026671D">
        <w:t>Scenario 1</w:t>
      </w:r>
      <w:r>
        <w:tab/>
      </w:r>
      <w:r>
        <w:tab/>
      </w:r>
      <w:r>
        <w:tab/>
      </w:r>
      <w:r>
        <w:tab/>
      </w:r>
      <w:r>
        <w:tab/>
      </w:r>
      <w:r>
        <w:tab/>
      </w:r>
      <w:r>
        <w:tab/>
      </w:r>
      <w:r>
        <w:tab/>
        <w:t xml:space="preserve">      Scenario 2</w:t>
      </w:r>
    </w:p>
    <w:p w:rsidR="00B86BD8" w:rsidRDefault="00B86BD8" w:rsidP="006B4EDE">
      <w:r w:rsidRPr="002A3AC5">
        <w:rPr>
          <w:noProof/>
        </w:rPr>
        <w:t xml:space="preserve"> </w:t>
      </w:r>
    </w:p>
    <w:p w:rsidR="00B86BD8" w:rsidRDefault="00B86BD8" w:rsidP="006B4EDE">
      <w:pPr>
        <w:pStyle w:val="Caption"/>
      </w:pPr>
    </w:p>
    <w:p w:rsidR="00B86BD8" w:rsidRDefault="00B86BD8" w:rsidP="006B4EDE">
      <w:pPr>
        <w:pStyle w:val="Caption"/>
        <w:rPr>
          <w:szCs w:val="22"/>
        </w:rPr>
      </w:pPr>
      <w:r>
        <w:t xml:space="preserve">Figure 15. </w:t>
      </w:r>
      <w:r w:rsidRPr="00B01DE5">
        <w:rPr>
          <w:szCs w:val="22"/>
        </w:rPr>
        <w:t>Bubble plot</w:t>
      </w:r>
      <w:r>
        <w:rPr>
          <w:szCs w:val="22"/>
        </w:rPr>
        <w:t>s</w:t>
      </w:r>
      <w:r w:rsidRPr="00B01DE5">
        <w:rPr>
          <w:szCs w:val="22"/>
        </w:rPr>
        <w:t xml:space="preserve"> of standardized residuals of retained </w:t>
      </w:r>
      <w:r>
        <w:rPr>
          <w:szCs w:val="22"/>
        </w:rPr>
        <w:t xml:space="preserve">catch </w:t>
      </w:r>
      <w:r w:rsidRPr="00B01DE5">
        <w:rPr>
          <w:szCs w:val="22"/>
        </w:rPr>
        <w:t xml:space="preserve">length composition for </w:t>
      </w:r>
      <w:r>
        <w:rPr>
          <w:szCs w:val="22"/>
        </w:rPr>
        <w:t xml:space="preserve">scenarios 1 and 2 for </w:t>
      </w:r>
      <w:r w:rsidRPr="00B01DE5">
        <w:rPr>
          <w:szCs w:val="22"/>
        </w:rPr>
        <w:t>E</w:t>
      </w:r>
      <w:r>
        <w:rPr>
          <w:szCs w:val="22"/>
        </w:rPr>
        <w:t>AG</w:t>
      </w:r>
      <w:r w:rsidRPr="00B01DE5">
        <w:rPr>
          <w:szCs w:val="22"/>
        </w:rPr>
        <w:t xml:space="preserve"> golden king crab, 1985</w:t>
      </w:r>
      <w:r>
        <w:rPr>
          <w:szCs w:val="22"/>
        </w:rPr>
        <w:t>/86–</w:t>
      </w:r>
      <w:r w:rsidRPr="00B01DE5">
        <w:rPr>
          <w:szCs w:val="22"/>
        </w:rPr>
        <w:t>20</w:t>
      </w:r>
      <w:r>
        <w:rPr>
          <w:szCs w:val="22"/>
        </w:rPr>
        <w:t>12/13</w:t>
      </w:r>
      <w:r w:rsidRPr="00B01DE5">
        <w:rPr>
          <w:szCs w:val="22"/>
        </w:rPr>
        <w:t>.</w:t>
      </w:r>
    </w:p>
    <w:p w:rsidR="00B86BD8" w:rsidRPr="00E5297D" w:rsidRDefault="00B86BD8" w:rsidP="00D70C7B"/>
    <w:p w:rsidR="00B86BD8" w:rsidRDefault="00B86BD8" w:rsidP="006B4EDE"/>
    <w:p w:rsidR="00B86BD8" w:rsidRDefault="00B86BD8" w:rsidP="006B4EDE"/>
    <w:p w:rsidR="00B86BD8" w:rsidRDefault="00B86BD8" w:rsidP="006B4EDE">
      <w:r>
        <w:rPr>
          <w:noProof/>
        </w:rPr>
        <w:lastRenderedPageBreak/>
        <w:drawing>
          <wp:inline distT="0" distB="0" distL="0" distR="0" wp14:anchorId="682BCA22" wp14:editId="72F660ED">
            <wp:extent cx="4052455" cy="2763982"/>
            <wp:effectExtent l="0" t="0" r="5715" b="0"/>
            <wp:docPr id="3215603" name="Chart 3215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noProof/>
        </w:rPr>
        <w:drawing>
          <wp:inline distT="0" distB="0" distL="0" distR="0" wp14:anchorId="70F1577C" wp14:editId="75B625C2">
            <wp:extent cx="3825379" cy="2701255"/>
            <wp:effectExtent l="0" t="0" r="3810" b="4445"/>
            <wp:docPr id="3215604" name="Chart 3215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86BD8" w:rsidRPr="00E03AE3" w:rsidRDefault="00B86BD8" w:rsidP="006B4EDE">
      <w:r w:rsidRPr="00E03AE3">
        <w:rPr>
          <w:noProof/>
        </w:rPr>
        <w:t xml:space="preserve"> </w:t>
      </w:r>
    </w:p>
    <w:p w:rsidR="00B86BD8" w:rsidRDefault="00B86BD8" w:rsidP="006B4EDE">
      <w:r>
        <w:t>Scenario 1                                                                                                               Scenario 2</w:t>
      </w:r>
    </w:p>
    <w:p w:rsidR="00B86BD8" w:rsidRDefault="00B86BD8" w:rsidP="006B4EDE">
      <w:r w:rsidRPr="00BF4B38">
        <w:rPr>
          <w:noProof/>
        </w:rPr>
        <w:t xml:space="preserve"> </w:t>
      </w:r>
    </w:p>
    <w:p w:rsidR="00B86BD8" w:rsidRDefault="00B86BD8" w:rsidP="006B4EDE">
      <w:pPr>
        <w:pStyle w:val="Caption"/>
      </w:pPr>
    </w:p>
    <w:p w:rsidR="00B86BD8" w:rsidRDefault="00B86BD8" w:rsidP="006B4EDE">
      <w:pPr>
        <w:pStyle w:val="Caption"/>
        <w:rPr>
          <w:szCs w:val="22"/>
        </w:rPr>
      </w:pPr>
      <w:r>
        <w:t xml:space="preserve">Figure 16. </w:t>
      </w:r>
      <w:r w:rsidRPr="00B01DE5">
        <w:rPr>
          <w:szCs w:val="22"/>
        </w:rPr>
        <w:t>Bubble plot</w:t>
      </w:r>
      <w:r>
        <w:rPr>
          <w:szCs w:val="22"/>
        </w:rPr>
        <w:t>s</w:t>
      </w:r>
      <w:r w:rsidRPr="00B01DE5">
        <w:rPr>
          <w:szCs w:val="22"/>
        </w:rPr>
        <w:t xml:space="preserve"> of st</w:t>
      </w:r>
      <w:r>
        <w:rPr>
          <w:szCs w:val="22"/>
        </w:rPr>
        <w:t>andardized residuals of total catch</w:t>
      </w:r>
      <w:r w:rsidRPr="00B01DE5">
        <w:rPr>
          <w:szCs w:val="22"/>
        </w:rPr>
        <w:t xml:space="preserve"> length composition for </w:t>
      </w:r>
      <w:r>
        <w:rPr>
          <w:szCs w:val="22"/>
        </w:rPr>
        <w:t xml:space="preserve">scenarios 1 and 2 for </w:t>
      </w:r>
      <w:r w:rsidRPr="00B01DE5">
        <w:rPr>
          <w:szCs w:val="22"/>
        </w:rPr>
        <w:t>E</w:t>
      </w:r>
      <w:r>
        <w:rPr>
          <w:szCs w:val="22"/>
        </w:rPr>
        <w:t>AG golden king crab, 1990/91–</w:t>
      </w:r>
      <w:r w:rsidRPr="00B01DE5">
        <w:rPr>
          <w:szCs w:val="22"/>
        </w:rPr>
        <w:t>20</w:t>
      </w:r>
      <w:r>
        <w:rPr>
          <w:szCs w:val="22"/>
        </w:rPr>
        <w:t>12/13</w:t>
      </w:r>
      <w:r w:rsidRPr="00B01DE5">
        <w:rPr>
          <w:szCs w:val="22"/>
        </w:rPr>
        <w:t>.</w:t>
      </w:r>
    </w:p>
    <w:p w:rsidR="00B86BD8" w:rsidRDefault="00B86BD8" w:rsidP="006B4EDE">
      <w:pPr>
        <w:sectPr w:rsidR="00B86BD8" w:rsidSect="00D70C7B">
          <w:pgSz w:w="15840" w:h="12240" w:orient="landscape" w:code="1"/>
          <w:pgMar w:top="1800" w:right="1440" w:bottom="1800" w:left="1440" w:header="720" w:footer="720" w:gutter="0"/>
          <w:cols w:space="720"/>
          <w:docGrid w:linePitch="360"/>
        </w:sectPr>
      </w:pPr>
    </w:p>
    <w:p w:rsidR="00B86BD8" w:rsidRDefault="00B86BD8" w:rsidP="006B4EDE">
      <w:r>
        <w:rPr>
          <w:noProof/>
        </w:rPr>
        <w:lastRenderedPageBreak/>
        <w:drawing>
          <wp:inline distT="0" distB="0" distL="0" distR="0" wp14:anchorId="05814B25" wp14:editId="4C2C85EF">
            <wp:extent cx="7315200" cy="4114800"/>
            <wp:effectExtent l="0" t="0" r="0" b="0"/>
            <wp:docPr id="3215605" name="Picture 3215605" descr="C:\Users\ssiddeek\Documents\MAY2014CPT\AssessmentMaterialsUpdatedNNfiles\Dutch9512TagRec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C:\Users\ssiddeek\Documents\MAY2014CPT\AssessmentMaterialsUpdatedNNfiles\Dutch9512TagRecN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B86BD8" w:rsidRDefault="00B86BD8" w:rsidP="006B4EDE">
      <w:r>
        <w:t>Figure 17. Observed tag recaptures (open circle) vs. predicted tag recaptures (solid line) by size bin for scenarios 1 and 2 fits of EAG golden king crab data.</w:t>
      </w:r>
    </w:p>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
        <w:br w:type="page"/>
      </w:r>
    </w:p>
    <w:p w:rsidR="00B86BD8" w:rsidRDefault="00B86BD8" w:rsidP="006B4EDE">
      <w:r>
        <w:rPr>
          <w:noProof/>
        </w:rPr>
        <w:lastRenderedPageBreak/>
        <w:drawing>
          <wp:inline distT="0" distB="0" distL="0" distR="0" wp14:anchorId="631B0434" wp14:editId="1E7D2BB0">
            <wp:extent cx="7315200" cy="4114800"/>
            <wp:effectExtent l="0" t="0" r="0" b="0"/>
            <wp:docPr id="3215606" name="Picture 3215606" descr="C:\Users\ssiddeek\Documents\MAY2014CPT\AssessmentMaterialsUpdatedNNfiles\Dutch9512CPU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Users\ssiddeek\Documents\MAY2014CPT\AssessmentMaterialsUpdatedNNfiles\Dutch9512CPUEN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B86BD8" w:rsidRDefault="00B86BD8" w:rsidP="006B4EDE"/>
    <w:p w:rsidR="00B86BD8" w:rsidRDefault="00B86BD8" w:rsidP="006B4EDE">
      <w:r>
        <w:t>Figure 18. Comparison of input CPUE indices (open circles with two standard errors) with predicted CPUE indices (colored solid lines) for scenarios 1 and 2 for EAG golden king crab data.</w:t>
      </w:r>
    </w:p>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 w:rsidR="00B86BD8" w:rsidRDefault="00B86BD8" w:rsidP="006B4EDE">
      <w:pPr>
        <w:sectPr w:rsidR="00B86BD8" w:rsidSect="00D70C7B">
          <w:pgSz w:w="15840" w:h="12240" w:orient="landscape" w:code="1"/>
          <w:pgMar w:top="1800" w:right="1440" w:bottom="1800" w:left="1440" w:header="720" w:footer="720" w:gutter="0"/>
          <w:cols w:space="720"/>
          <w:docGrid w:linePitch="360"/>
        </w:sectPr>
      </w:pPr>
    </w:p>
    <w:p w:rsidR="00B86BD8" w:rsidRDefault="00B86BD8" w:rsidP="006B4EDE">
      <w:r w:rsidRPr="00F15E1A">
        <w:rPr>
          <w:noProof/>
        </w:rPr>
        <w:lastRenderedPageBreak/>
        <w:t xml:space="preserve"> </w:t>
      </w:r>
      <w:r>
        <w:rPr>
          <w:noProof/>
        </w:rPr>
        <w:drawing>
          <wp:inline distT="0" distB="0" distL="0" distR="0" wp14:anchorId="4301CEE3" wp14:editId="376AAD09">
            <wp:extent cx="3553691" cy="2732809"/>
            <wp:effectExtent l="0" t="0" r="8890" b="0"/>
            <wp:docPr id="3215607" name="Chart 3215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noProof/>
        </w:rPr>
        <w:drawing>
          <wp:inline distT="0" distB="0" distL="0" distR="0" wp14:anchorId="127D128E" wp14:editId="633D94B8">
            <wp:extent cx="4000500" cy="2732809"/>
            <wp:effectExtent l="0" t="0" r="0" b="0"/>
            <wp:docPr id="3215608" name="Chart 32156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86BD8" w:rsidRDefault="00B86BD8" w:rsidP="006B4EDE">
      <w:r>
        <w:t>Scenario 1</w:t>
      </w:r>
      <w:r>
        <w:tab/>
      </w:r>
      <w:r>
        <w:tab/>
      </w:r>
      <w:r>
        <w:tab/>
      </w:r>
      <w:r>
        <w:tab/>
      </w:r>
      <w:r>
        <w:tab/>
      </w:r>
      <w:r>
        <w:tab/>
      </w:r>
      <w:r>
        <w:tab/>
        <w:t xml:space="preserve">                  Scenario 2</w:t>
      </w:r>
    </w:p>
    <w:p w:rsidR="00B86BD8" w:rsidRDefault="00B86BD8" w:rsidP="006B4EDE"/>
    <w:p w:rsidR="00B86BD8" w:rsidRDefault="00B86BD8" w:rsidP="006B4EDE">
      <w:pPr>
        <w:rPr>
          <w:noProof/>
        </w:rPr>
      </w:pPr>
    </w:p>
    <w:p w:rsidR="00B86BD8" w:rsidRDefault="00B86BD8" w:rsidP="006B4EDE">
      <w:pPr>
        <w:pStyle w:val="Caption"/>
      </w:pPr>
    </w:p>
    <w:p w:rsidR="00B86BD8" w:rsidRDefault="00B86BD8" w:rsidP="006B4EDE">
      <w:pPr>
        <w:pStyle w:val="Caption"/>
        <w:rPr>
          <w:szCs w:val="22"/>
        </w:rPr>
      </w:pPr>
      <w:r>
        <w:t xml:space="preserve">Figure 19. </w:t>
      </w:r>
      <w:r w:rsidRPr="00B01DE5">
        <w:rPr>
          <w:szCs w:val="22"/>
        </w:rPr>
        <w:t xml:space="preserve">Estimated number of male recruits (millions of crabs ≥ 101 mm CL) to the golden king crab </w:t>
      </w:r>
      <w:r>
        <w:rPr>
          <w:szCs w:val="22"/>
        </w:rPr>
        <w:t xml:space="preserve">assessment model for scenarios 1 and 2 in </w:t>
      </w:r>
      <w:r w:rsidRPr="00B01DE5">
        <w:rPr>
          <w:szCs w:val="22"/>
        </w:rPr>
        <w:t>E</w:t>
      </w:r>
      <w:r>
        <w:rPr>
          <w:szCs w:val="22"/>
        </w:rPr>
        <w:t>AG</w:t>
      </w:r>
      <w:r w:rsidRPr="00B01DE5">
        <w:rPr>
          <w:szCs w:val="22"/>
        </w:rPr>
        <w:t>, 19</w:t>
      </w:r>
      <w:r>
        <w:rPr>
          <w:szCs w:val="22"/>
        </w:rPr>
        <w:t>86–2013</w:t>
      </w:r>
      <w:r w:rsidRPr="00B01DE5">
        <w:rPr>
          <w:szCs w:val="22"/>
        </w:rPr>
        <w:t>.</w:t>
      </w:r>
    </w:p>
    <w:p w:rsidR="00B86BD8" w:rsidRDefault="00B86BD8" w:rsidP="006B4EDE"/>
    <w:p w:rsidR="00B86BD8" w:rsidRDefault="00B86BD8" w:rsidP="006B4EDE">
      <w:r w:rsidRPr="00E539C0">
        <w:rPr>
          <w:noProof/>
        </w:rPr>
        <w:t xml:space="preserve"> </w:t>
      </w:r>
    </w:p>
    <w:p w:rsidR="00B86BD8" w:rsidRDefault="00B86BD8" w:rsidP="006B4EDE">
      <w:r>
        <w:rPr>
          <w:noProof/>
        </w:rPr>
        <w:lastRenderedPageBreak/>
        <w:drawing>
          <wp:inline distT="0" distB="0" distL="0" distR="0" wp14:anchorId="381F28EF" wp14:editId="1E722375">
            <wp:extent cx="3304309" cy="2535382"/>
            <wp:effectExtent l="0" t="0" r="0" b="0"/>
            <wp:docPr id="3215609" name="Chart 3215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noProof/>
        </w:rPr>
        <w:drawing>
          <wp:inline distT="0" distB="0" distL="0" distR="0" wp14:anchorId="1BC6EFAF" wp14:editId="39E5DE8C">
            <wp:extent cx="4062845" cy="2535382"/>
            <wp:effectExtent l="0" t="0" r="0" b="0"/>
            <wp:docPr id="3215610" name="Chart 3215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86BD8" w:rsidRDefault="00B86BD8" w:rsidP="006B4EDE"/>
    <w:p w:rsidR="00B86BD8" w:rsidRDefault="00B86BD8" w:rsidP="006B4EDE">
      <w:r w:rsidRPr="00E539C0">
        <w:t>Scenario 1</w:t>
      </w:r>
      <w:r>
        <w:tab/>
      </w:r>
      <w:r>
        <w:tab/>
      </w:r>
      <w:r>
        <w:tab/>
      </w:r>
      <w:r>
        <w:tab/>
      </w:r>
      <w:r>
        <w:tab/>
      </w:r>
      <w:r>
        <w:tab/>
        <w:t xml:space="preserve">                  Scenario 2</w:t>
      </w:r>
    </w:p>
    <w:p w:rsidR="00B86BD8" w:rsidRDefault="00B86BD8" w:rsidP="006B4EDE">
      <w:r w:rsidRPr="003C39C3">
        <w:rPr>
          <w:noProof/>
        </w:rPr>
        <w:t xml:space="preserve"> </w:t>
      </w:r>
    </w:p>
    <w:p w:rsidR="00B86BD8" w:rsidRPr="007B604A" w:rsidRDefault="00B86BD8" w:rsidP="006B4EDE">
      <w:pPr>
        <w:pStyle w:val="Caption"/>
        <w:rPr>
          <w:szCs w:val="22"/>
        </w:rPr>
      </w:pPr>
      <w:r>
        <w:t xml:space="preserve">Figure 20. </w:t>
      </w:r>
      <w:r>
        <w:rPr>
          <w:szCs w:val="22"/>
        </w:rPr>
        <w:t xml:space="preserve">Recruit distribution </w:t>
      </w:r>
      <w:r w:rsidRPr="00B01DE5">
        <w:rPr>
          <w:szCs w:val="22"/>
        </w:rPr>
        <w:t xml:space="preserve">to the golden king crab </w:t>
      </w:r>
      <w:r>
        <w:rPr>
          <w:szCs w:val="22"/>
        </w:rPr>
        <w:t xml:space="preserve">assessment model size group for scenarios 1 and 2 in </w:t>
      </w:r>
      <w:r w:rsidRPr="00B01DE5">
        <w:rPr>
          <w:szCs w:val="22"/>
        </w:rPr>
        <w:t>E</w:t>
      </w:r>
      <w:r>
        <w:rPr>
          <w:szCs w:val="22"/>
        </w:rPr>
        <w:t>AG</w:t>
      </w:r>
      <w:r w:rsidRPr="00B01DE5">
        <w:rPr>
          <w:szCs w:val="22"/>
        </w:rPr>
        <w:t>.</w:t>
      </w:r>
    </w:p>
    <w:p w:rsidR="00B86BD8" w:rsidRDefault="00B86BD8" w:rsidP="006B4EDE"/>
    <w:p w:rsidR="00B86BD8" w:rsidRDefault="00B86BD8" w:rsidP="006B4EDE">
      <w:r>
        <w:rPr>
          <w:noProof/>
        </w:rPr>
        <w:lastRenderedPageBreak/>
        <w:drawing>
          <wp:inline distT="0" distB="0" distL="0" distR="0" wp14:anchorId="2EF7C9B8" wp14:editId="730263BE">
            <wp:extent cx="7315200" cy="4114800"/>
            <wp:effectExtent l="0" t="0" r="0" b="0"/>
            <wp:docPr id="3215611" name="Picture 3215611" descr="C:\Users\ssiddeek\Documents\MAY2014CPT\AssessmentMaterialsUpdatedNNfiles\Dutch8512MMB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Users\ssiddeek\Documents\MAY2014CPT\AssessmentMaterialsUpdatedNNfiles\Dutch8512MMBNN.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B86BD8" w:rsidRPr="00E539C0" w:rsidRDefault="00B86BD8" w:rsidP="006B4EDE"/>
    <w:p w:rsidR="00B86BD8" w:rsidRDefault="00B86BD8" w:rsidP="006B4EDE">
      <w:pPr>
        <w:pStyle w:val="Caption"/>
        <w:rPr>
          <w:szCs w:val="22"/>
        </w:rPr>
      </w:pPr>
      <w:r>
        <w:t xml:space="preserve">Figure 21. </w:t>
      </w:r>
      <w:r w:rsidRPr="00D8226C">
        <w:rPr>
          <w:szCs w:val="22"/>
        </w:rPr>
        <w:t>Trends in golden king c</w:t>
      </w:r>
      <w:r>
        <w:rPr>
          <w:szCs w:val="22"/>
        </w:rPr>
        <w:t>rab mature</w:t>
      </w:r>
      <w:r w:rsidRPr="00D8226C">
        <w:rPr>
          <w:szCs w:val="22"/>
        </w:rPr>
        <w:t xml:space="preserve"> </w:t>
      </w:r>
      <w:r>
        <w:rPr>
          <w:szCs w:val="22"/>
        </w:rPr>
        <w:t xml:space="preserve">male biomass for scenarios 1 and 2 </w:t>
      </w:r>
      <w:r w:rsidRPr="00D8226C">
        <w:rPr>
          <w:szCs w:val="22"/>
        </w:rPr>
        <w:t>in the E</w:t>
      </w:r>
      <w:r>
        <w:rPr>
          <w:szCs w:val="22"/>
        </w:rPr>
        <w:t>AG</w:t>
      </w:r>
      <w:r w:rsidRPr="00D8226C">
        <w:rPr>
          <w:szCs w:val="22"/>
        </w:rPr>
        <w:t>, 1985</w:t>
      </w:r>
      <w:r>
        <w:rPr>
          <w:szCs w:val="22"/>
        </w:rPr>
        <w:t>/86–</w:t>
      </w:r>
      <w:r w:rsidRPr="00D8226C">
        <w:rPr>
          <w:szCs w:val="22"/>
        </w:rPr>
        <w:t>20</w:t>
      </w:r>
      <w:r>
        <w:rPr>
          <w:szCs w:val="22"/>
        </w:rPr>
        <w:t>12/13. M</w:t>
      </w:r>
      <w:r w:rsidRPr="00D8226C">
        <w:rPr>
          <w:szCs w:val="22"/>
        </w:rPr>
        <w:t>ature male crabs are ≥ 121 mm CL.</w:t>
      </w:r>
      <w:r>
        <w:rPr>
          <w:szCs w:val="22"/>
        </w:rPr>
        <w:t xml:space="preserve"> Estimates have one standard error confidence limits.</w:t>
      </w:r>
    </w:p>
    <w:p w:rsidR="00B86BD8" w:rsidRDefault="00B86BD8" w:rsidP="006B4EDE"/>
    <w:p w:rsidR="00B86BD8" w:rsidRDefault="00B86BD8" w:rsidP="006B4EDE"/>
    <w:p w:rsidR="00B86BD8" w:rsidRDefault="00B86BD8" w:rsidP="006B4EDE"/>
    <w:p w:rsidR="00B86BD8" w:rsidRDefault="00B86BD8" w:rsidP="006B4EDE"/>
    <w:p w:rsidR="00B86BD8" w:rsidRDefault="00B86BD8" w:rsidP="006B4EDE">
      <w:pPr>
        <w:pStyle w:val="Caption"/>
      </w:pPr>
      <w:r>
        <w:rPr>
          <w:noProof/>
        </w:rPr>
        <w:lastRenderedPageBreak/>
        <w:drawing>
          <wp:inline distT="0" distB="0" distL="0" distR="0" wp14:anchorId="3DB9704D" wp14:editId="0E16129E">
            <wp:extent cx="7315200" cy="4114800"/>
            <wp:effectExtent l="0" t="0" r="0" b="0"/>
            <wp:docPr id="3215612" name="Picture 3215612" descr="C:\Users\ssiddeek\Documents\MAY2014CPT\AssessmentMaterialsUpdatedNNfiles\Dutch8512LMB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ssiddeek\Documents\MAY2014CPT\AssessmentMaterialsUpdatedNNfiles\Dutch8512LMBN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B86BD8" w:rsidRDefault="00B86BD8" w:rsidP="006B4EDE">
      <w:pPr>
        <w:pStyle w:val="Caption"/>
        <w:rPr>
          <w:szCs w:val="22"/>
        </w:rPr>
      </w:pPr>
      <w:r>
        <w:t xml:space="preserve">Figure 22. </w:t>
      </w:r>
      <w:r w:rsidRPr="00D8226C">
        <w:rPr>
          <w:szCs w:val="22"/>
        </w:rPr>
        <w:t>Trends in golden king c</w:t>
      </w:r>
      <w:r>
        <w:rPr>
          <w:szCs w:val="22"/>
        </w:rPr>
        <w:t>rab legal</w:t>
      </w:r>
      <w:r w:rsidRPr="00D8226C">
        <w:rPr>
          <w:szCs w:val="22"/>
        </w:rPr>
        <w:t xml:space="preserve"> </w:t>
      </w:r>
      <w:r>
        <w:rPr>
          <w:szCs w:val="22"/>
        </w:rPr>
        <w:t xml:space="preserve">male biomass for scenarios 1 and 2 </w:t>
      </w:r>
      <w:r w:rsidRPr="00D8226C">
        <w:rPr>
          <w:szCs w:val="22"/>
        </w:rPr>
        <w:t>in the E</w:t>
      </w:r>
      <w:r>
        <w:rPr>
          <w:szCs w:val="22"/>
        </w:rPr>
        <w:t>AG</w:t>
      </w:r>
      <w:r w:rsidRPr="00D8226C">
        <w:rPr>
          <w:szCs w:val="22"/>
        </w:rPr>
        <w:t>, 1985</w:t>
      </w:r>
      <w:r>
        <w:rPr>
          <w:szCs w:val="22"/>
        </w:rPr>
        <w:t>/86–</w:t>
      </w:r>
      <w:r w:rsidRPr="00D8226C">
        <w:rPr>
          <w:szCs w:val="22"/>
        </w:rPr>
        <w:t>20</w:t>
      </w:r>
      <w:r>
        <w:rPr>
          <w:szCs w:val="22"/>
        </w:rPr>
        <w:t>12/13. Legal male crabs are ≥ 136</w:t>
      </w:r>
      <w:r w:rsidRPr="00D8226C">
        <w:rPr>
          <w:szCs w:val="22"/>
        </w:rPr>
        <w:t xml:space="preserve"> mm CL.</w:t>
      </w:r>
      <w:r>
        <w:rPr>
          <w:szCs w:val="22"/>
        </w:rPr>
        <w:t xml:space="preserve"> Estimates have one standard error confidence limits.</w:t>
      </w:r>
    </w:p>
    <w:p w:rsidR="00B86BD8" w:rsidRPr="004C1388" w:rsidRDefault="00B86BD8" w:rsidP="006B4EDE"/>
    <w:p w:rsidR="00B86BD8" w:rsidRDefault="00B86BD8" w:rsidP="006B4EDE"/>
    <w:p w:rsidR="00B86BD8" w:rsidRDefault="00B86BD8" w:rsidP="006B4EDE"/>
    <w:p w:rsidR="00B86BD8" w:rsidRDefault="00B86BD8" w:rsidP="006B4EDE"/>
    <w:p w:rsidR="00B86BD8" w:rsidRDefault="00B86BD8" w:rsidP="006B4EDE">
      <w:r w:rsidRPr="00852507">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rPr>
        <w:drawing>
          <wp:inline distT="0" distB="0" distL="0" distR="0" wp14:anchorId="7FD4E64D" wp14:editId="25940CF0">
            <wp:extent cx="7315200" cy="4114800"/>
            <wp:effectExtent l="0" t="0" r="0" b="0"/>
            <wp:docPr id="3215613" name="Picture 3215613" descr="C:\Users\ssiddeek\Documents\MAY2014CPT\AssessmentMaterialsUpdatedNNfiles\Dutch8512FishingMortality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C:\Users\ssiddeek\Documents\MAY2014CPT\AssessmentMaterialsUpdatedNNfiles\Dutch8512FishingMortalityN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B86BD8" w:rsidRDefault="00B86BD8" w:rsidP="006B4EDE">
      <w:pPr>
        <w:pStyle w:val="Caption"/>
        <w:rPr>
          <w:szCs w:val="22"/>
        </w:rPr>
      </w:pPr>
      <w:r>
        <w:t xml:space="preserve">Figure 23. </w:t>
      </w:r>
      <w:r w:rsidRPr="00D8226C">
        <w:rPr>
          <w:szCs w:val="22"/>
        </w:rPr>
        <w:t>Trend</w:t>
      </w:r>
      <w:r>
        <w:rPr>
          <w:szCs w:val="22"/>
        </w:rPr>
        <w:t xml:space="preserve">s in pot fishery full selection total </w:t>
      </w:r>
      <w:r w:rsidRPr="00D8226C">
        <w:rPr>
          <w:szCs w:val="22"/>
        </w:rPr>
        <w:t xml:space="preserve">fishing mortality of golden king crab </w:t>
      </w:r>
      <w:r>
        <w:rPr>
          <w:szCs w:val="22"/>
        </w:rPr>
        <w:t xml:space="preserve">for scenarios 1 and 2 </w:t>
      </w:r>
      <w:r w:rsidRPr="00D8226C">
        <w:rPr>
          <w:szCs w:val="22"/>
        </w:rPr>
        <w:t xml:space="preserve">in the </w:t>
      </w:r>
      <w:r>
        <w:rPr>
          <w:szCs w:val="22"/>
        </w:rPr>
        <w:t>EAG,</w:t>
      </w:r>
      <w:r w:rsidRPr="00D8226C">
        <w:rPr>
          <w:szCs w:val="22"/>
        </w:rPr>
        <w:t xml:space="preserve"> 1985</w:t>
      </w:r>
      <w:r>
        <w:rPr>
          <w:szCs w:val="22"/>
        </w:rPr>
        <w:t>–2012 (note: 1985 refers to the</w:t>
      </w:r>
      <w:r w:rsidRPr="00D8226C">
        <w:rPr>
          <w:szCs w:val="22"/>
        </w:rPr>
        <w:t>1985/86 fishery).</w:t>
      </w:r>
    </w:p>
    <w:p w:rsidR="00B86BD8" w:rsidRDefault="00B86BD8" w:rsidP="006B4EDE"/>
    <w:p w:rsidR="00B86BD8" w:rsidRDefault="00B86BD8" w:rsidP="006B4EDE"/>
    <w:p w:rsidR="00B86BD8" w:rsidRDefault="00B86BD8" w:rsidP="006B4EDE"/>
    <w:p w:rsidR="00B86BD8" w:rsidRDefault="00B86BD8" w:rsidP="006B4EDE"/>
    <w:p w:rsidR="00B86BD8" w:rsidRDefault="00B86BD8" w:rsidP="006B4EDE">
      <w:r w:rsidRPr="00726CA8">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rPr>
        <w:drawing>
          <wp:inline distT="0" distB="0" distL="0" distR="0" wp14:anchorId="4D9B47F4" wp14:editId="5924455D">
            <wp:extent cx="7315200" cy="4114800"/>
            <wp:effectExtent l="0" t="0" r="0" b="0"/>
            <wp:docPr id="3215614" name="Picture 3215614" descr="C:\Users\ssiddeek\Documents\MAY2014CPT\AssessmentMaterialsUpdatedNNfiles\Dutch8512RetCatch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Users\ssiddeek\Documents\MAY2014CPT\AssessmentMaterialsUpdatedNNfiles\Dutch8512RetCatchN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B86BD8" w:rsidRDefault="00B86BD8" w:rsidP="006B4EDE">
      <w:pPr>
        <w:pStyle w:val="Caption"/>
        <w:rPr>
          <w:szCs w:val="22"/>
        </w:rPr>
      </w:pPr>
      <w:r>
        <w:t xml:space="preserve">Figure 24. </w:t>
      </w:r>
      <w:r>
        <w:rPr>
          <w:szCs w:val="22"/>
        </w:rPr>
        <w:t>Observed (filled circle) vs. predicted (solid line) retained catch of golden king crab for scenarios 1 and 2 in the EAG, 1985–2012</w:t>
      </w:r>
      <w:r w:rsidRPr="00D8226C">
        <w:rPr>
          <w:szCs w:val="22"/>
        </w:rPr>
        <w:t>.</w:t>
      </w:r>
      <w:r w:rsidRPr="00D90BDF">
        <w:rPr>
          <w:szCs w:val="22"/>
        </w:rPr>
        <w:t xml:space="preserve"> </w:t>
      </w:r>
      <w:r>
        <w:rPr>
          <w:szCs w:val="22"/>
        </w:rPr>
        <w:t>(note: 1985 refers to the</w:t>
      </w:r>
      <w:r w:rsidRPr="00D8226C">
        <w:rPr>
          <w:szCs w:val="22"/>
        </w:rPr>
        <w:t>1985/86 fishery).</w:t>
      </w:r>
    </w:p>
    <w:p w:rsidR="00B86BD8" w:rsidRDefault="00B86BD8" w:rsidP="006B4EDE">
      <w:pPr>
        <w:pStyle w:val="Caption"/>
        <w:rPr>
          <w:szCs w:val="22"/>
        </w:rPr>
      </w:pPr>
    </w:p>
    <w:p w:rsidR="00B86BD8" w:rsidRDefault="00B86BD8" w:rsidP="006B4EDE"/>
    <w:p w:rsidR="00B86BD8" w:rsidRDefault="00B86BD8" w:rsidP="006B4EDE"/>
    <w:p w:rsidR="00B86BD8" w:rsidRDefault="00B86BD8" w:rsidP="006B4EDE"/>
    <w:p w:rsidR="00B86BD8" w:rsidRDefault="00B86BD8" w:rsidP="006B4EDE"/>
    <w:p w:rsidR="00B86BD8" w:rsidRPr="00447821" w:rsidRDefault="00B86BD8" w:rsidP="006B4EDE">
      <w:r w:rsidRPr="00726CA8">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rPr>
        <w:drawing>
          <wp:inline distT="0" distB="0" distL="0" distR="0" wp14:anchorId="7C716406" wp14:editId="25173178">
            <wp:extent cx="7315200" cy="4114800"/>
            <wp:effectExtent l="0" t="0" r="0" b="0"/>
            <wp:docPr id="3215615" name="Picture 3215615" descr="C:\Users\ssiddeek\Documents\MAY2014CPT\AssessmentMaterialsUpdatedNNfiles\Dutch8512TotalCatch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Users\ssiddeek\Documents\MAY2014CPT\AssessmentMaterialsUpdatedNNfiles\Dutch8512TotalCatchN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B86BD8" w:rsidRDefault="00B86BD8" w:rsidP="006B4EDE">
      <w:pPr>
        <w:pStyle w:val="Caption"/>
        <w:rPr>
          <w:szCs w:val="22"/>
        </w:rPr>
      </w:pPr>
      <w:r>
        <w:t xml:space="preserve">Figure 25. </w:t>
      </w:r>
      <w:r>
        <w:rPr>
          <w:szCs w:val="22"/>
        </w:rPr>
        <w:t>Observed (filled circle) vs. predicted (solid line) total catch of golden king crab for scenarios 1 and 2 in the EAG, 1990–2012</w:t>
      </w:r>
      <w:r w:rsidRPr="00D8226C">
        <w:rPr>
          <w:szCs w:val="22"/>
        </w:rPr>
        <w:t>.</w:t>
      </w:r>
      <w:r w:rsidRPr="00D90BDF">
        <w:rPr>
          <w:szCs w:val="22"/>
        </w:rPr>
        <w:t xml:space="preserve"> </w:t>
      </w:r>
      <w:r>
        <w:rPr>
          <w:szCs w:val="22"/>
        </w:rPr>
        <w:t>A handling mortality rate of  20% was applied to pot discarded catch and it was added to retained catch to get the total catch.</w:t>
      </w:r>
      <w:r w:rsidRPr="00AF2784">
        <w:rPr>
          <w:szCs w:val="22"/>
        </w:rPr>
        <w:t xml:space="preserve"> </w:t>
      </w:r>
      <w:r>
        <w:rPr>
          <w:szCs w:val="22"/>
        </w:rPr>
        <w:t>(note: 1990 refers to the</w:t>
      </w:r>
      <w:r w:rsidRPr="00D8226C">
        <w:rPr>
          <w:szCs w:val="22"/>
        </w:rPr>
        <w:t>19</w:t>
      </w:r>
      <w:r>
        <w:rPr>
          <w:szCs w:val="22"/>
        </w:rPr>
        <w:t>90/91</w:t>
      </w:r>
      <w:r w:rsidRPr="00D8226C">
        <w:rPr>
          <w:szCs w:val="22"/>
        </w:rPr>
        <w:t xml:space="preserve"> fishery).</w:t>
      </w:r>
    </w:p>
    <w:p w:rsidR="00B86BD8" w:rsidRDefault="00B86BD8" w:rsidP="006B4EDE">
      <w:pPr>
        <w:pStyle w:val="Caption"/>
        <w:rPr>
          <w:szCs w:val="22"/>
        </w:rPr>
      </w:pPr>
    </w:p>
    <w:p w:rsidR="00B86BD8" w:rsidRDefault="00B86BD8" w:rsidP="006B4EDE"/>
    <w:p w:rsidR="00B86BD8" w:rsidRDefault="00B86BD8" w:rsidP="006B4EDE"/>
    <w:p w:rsidR="00B86BD8" w:rsidRDefault="00B86BD8" w:rsidP="006B4EDE"/>
    <w:p w:rsidR="00B86BD8" w:rsidRDefault="00B86BD8" w:rsidP="006B4EDE"/>
    <w:p w:rsidR="00B86BD8" w:rsidRPr="00A4730A" w:rsidRDefault="00B86BD8" w:rsidP="006B4EDE">
      <w:r w:rsidRPr="00EE03E5">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1EE6E34E" wp14:editId="1AAADCC3">
            <wp:extent cx="7315200" cy="4114800"/>
            <wp:effectExtent l="0" t="0" r="0" b="0"/>
            <wp:docPr id="3215616" name="Picture 3215616" descr="C:\Users\ssiddeek\Documents\MAY2014CPT\AssessmentMaterialsUpdatedNNfiles\Dutch8512GDiscardCatch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C:\Users\ssiddeek\Documents\MAY2014CPT\AssessmentMaterialsUpdatedNNfiles\Dutch8512GDiscardCatchN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B86BD8" w:rsidRDefault="00B86BD8" w:rsidP="006B4EDE">
      <w:pPr>
        <w:pStyle w:val="Caption"/>
      </w:pPr>
      <w:r>
        <w:t xml:space="preserve">Figure 26. </w:t>
      </w:r>
      <w:r>
        <w:rPr>
          <w:szCs w:val="22"/>
        </w:rPr>
        <w:t>Observed (filled circle) vs. predicted (solid line) groundfish discarded catch of golden king crab for scenarios 1 and 2 in the EAG, 1990–2012</w:t>
      </w:r>
      <w:r w:rsidRPr="00D8226C">
        <w:rPr>
          <w:szCs w:val="22"/>
        </w:rPr>
        <w:t>.</w:t>
      </w:r>
      <w:r w:rsidRPr="00D90BDF">
        <w:rPr>
          <w:szCs w:val="22"/>
        </w:rPr>
        <w:t xml:space="preserve"> </w:t>
      </w:r>
      <w:r>
        <w:rPr>
          <w:szCs w:val="22"/>
        </w:rPr>
        <w:t>An average handling mortality rate of 65% (average of  80%  and 50%) was applied to groundfish discard.</w:t>
      </w:r>
      <w:r w:rsidRPr="00AF2784">
        <w:rPr>
          <w:szCs w:val="22"/>
        </w:rPr>
        <w:t xml:space="preserve"> </w:t>
      </w:r>
      <w:r>
        <w:rPr>
          <w:szCs w:val="22"/>
        </w:rPr>
        <w:t>(note: 1995 refers to the</w:t>
      </w:r>
      <w:r w:rsidRPr="00D8226C">
        <w:rPr>
          <w:szCs w:val="22"/>
        </w:rPr>
        <w:t>19</w:t>
      </w:r>
      <w:r>
        <w:rPr>
          <w:szCs w:val="22"/>
        </w:rPr>
        <w:t>9</w:t>
      </w:r>
      <w:r w:rsidRPr="00D8226C">
        <w:rPr>
          <w:szCs w:val="22"/>
        </w:rPr>
        <w:t>5/</w:t>
      </w:r>
      <w:r>
        <w:rPr>
          <w:szCs w:val="22"/>
        </w:rPr>
        <w:t>9</w:t>
      </w:r>
      <w:r w:rsidRPr="00D8226C">
        <w:rPr>
          <w:szCs w:val="22"/>
        </w:rPr>
        <w:t>6 fishery).</w:t>
      </w:r>
      <w:r>
        <w:br w:type="page"/>
      </w:r>
    </w:p>
    <w:p w:rsidR="00B86BD8" w:rsidRDefault="00B86BD8" w:rsidP="006B4EDE">
      <w:pPr>
        <w:rPr>
          <w:noProof/>
        </w:rPr>
      </w:pPr>
      <w:r w:rsidRPr="005332BD">
        <w:rPr>
          <w:noProof/>
        </w:rPr>
        <w:lastRenderedPageBreak/>
        <w:t xml:space="preserve">  </w:t>
      </w:r>
      <w:r>
        <w:rPr>
          <w:noProof/>
        </w:rPr>
        <w:drawing>
          <wp:inline distT="0" distB="0" distL="0" distR="0" wp14:anchorId="27E3EBE0" wp14:editId="6DDCAB57">
            <wp:extent cx="3719946" cy="2400300"/>
            <wp:effectExtent l="0" t="0" r="0" b="0"/>
            <wp:docPr id="3215617" name="Chart 3215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EE03E5">
        <w:rPr>
          <w:noProof/>
        </w:rPr>
        <w:t xml:space="preserve"> </w:t>
      </w:r>
      <w:r>
        <w:rPr>
          <w:noProof/>
        </w:rPr>
        <w:drawing>
          <wp:inline distT="0" distB="0" distL="0" distR="0" wp14:anchorId="45A626EF" wp14:editId="1230821B">
            <wp:extent cx="3948546" cy="2400300"/>
            <wp:effectExtent l="0" t="0" r="0" b="0"/>
            <wp:docPr id="3215618" name="Chart 3215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86BD8" w:rsidRDefault="00B86BD8" w:rsidP="006B4EDE">
      <w:pPr>
        <w:rPr>
          <w:noProof/>
        </w:rPr>
      </w:pPr>
      <w:r>
        <w:rPr>
          <w:noProof/>
        </w:rPr>
        <w:t xml:space="preserve">                  </w:t>
      </w:r>
      <w:r w:rsidRPr="005332BD">
        <w:rPr>
          <w:noProof/>
        </w:rPr>
        <w:t>Scenario 1</w:t>
      </w:r>
      <w:r>
        <w:rPr>
          <w:noProof/>
        </w:rPr>
        <w:tab/>
      </w:r>
      <w:r>
        <w:rPr>
          <w:noProof/>
        </w:rPr>
        <w:tab/>
      </w:r>
      <w:r>
        <w:rPr>
          <w:noProof/>
        </w:rPr>
        <w:tab/>
      </w:r>
      <w:r>
        <w:rPr>
          <w:noProof/>
        </w:rPr>
        <w:tab/>
      </w:r>
      <w:r>
        <w:rPr>
          <w:noProof/>
        </w:rPr>
        <w:tab/>
      </w:r>
      <w:r>
        <w:rPr>
          <w:noProof/>
        </w:rPr>
        <w:tab/>
      </w:r>
      <w:r>
        <w:rPr>
          <w:noProof/>
        </w:rPr>
        <w:tab/>
        <w:t xml:space="preserve">     Scenario 2</w:t>
      </w:r>
    </w:p>
    <w:p w:rsidR="00B86BD8" w:rsidRDefault="00B86BD8" w:rsidP="006B4EDE"/>
    <w:p w:rsidR="00B86BD8" w:rsidRDefault="00B86BD8" w:rsidP="006B4EDE">
      <w:r>
        <w:t xml:space="preserve">Figure 27. Retrospective fits of the model for removal of terminal year’s data for scenarios 1 and 2 for </w:t>
      </w:r>
      <w:r w:rsidRPr="007124D8">
        <w:t>golde</w:t>
      </w:r>
      <w:r>
        <w:t>n king crab in the EAG, 1985</w:t>
      </w:r>
      <w:r w:rsidRPr="007124D8">
        <w:t>–2012.</w:t>
      </w:r>
      <w:r>
        <w:t xml:space="preserve"> </w:t>
      </w:r>
    </w:p>
    <w:p w:rsidR="00B86BD8" w:rsidRDefault="00B86BD8" w:rsidP="006B4EDE"/>
    <w:p w:rsidR="00B86BD8" w:rsidRDefault="00B86BD8" w:rsidP="006B4EDE"/>
    <w:p w:rsidR="00B86BD8" w:rsidRDefault="00B86BD8" w:rsidP="006B4EDE">
      <w:r w:rsidRPr="00202540">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rPr>
        <w:drawing>
          <wp:inline distT="0" distB="0" distL="0" distR="0" wp14:anchorId="0676EA94" wp14:editId="1B11E079">
            <wp:extent cx="7315200" cy="4114800"/>
            <wp:effectExtent l="0" t="0" r="0" b="0"/>
            <wp:docPr id="3215642" name="Picture 3215642" descr="C:\Users\ssiddeek\Documents\MAY2014CPT\AssessmentMaterialsUpdatedNNfiles\Dutch8512predtotalprofil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C:\Users\ssiddeek\Documents\MAY2014CPT\AssessmentMaterialsUpdatedNNfiles\Dutch8512predtotalprofileNN.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B86BD8" w:rsidRDefault="00B86BD8" w:rsidP="006B4EDE">
      <w:pPr>
        <w:spacing w:line="360" w:lineRule="auto"/>
      </w:pPr>
    </w:p>
    <w:p w:rsidR="00B86BD8" w:rsidRDefault="00B86BD8" w:rsidP="006B4EDE">
      <w:pPr>
        <w:pStyle w:val="Caption"/>
        <w:rPr>
          <w:szCs w:val="22"/>
        </w:rPr>
      </w:pPr>
      <w:r w:rsidRPr="00427457">
        <w:rPr>
          <w:szCs w:val="22"/>
        </w:rPr>
        <w:t>Figure 2</w:t>
      </w:r>
      <w:r>
        <w:rPr>
          <w:szCs w:val="22"/>
        </w:rPr>
        <w:t>8</w:t>
      </w:r>
      <w:r w:rsidRPr="00427457">
        <w:rPr>
          <w:szCs w:val="22"/>
        </w:rPr>
        <w:t xml:space="preserve">. </w:t>
      </w:r>
      <w:r>
        <w:rPr>
          <w:szCs w:val="22"/>
        </w:rPr>
        <w:t xml:space="preserve">Probability distribution of total </w:t>
      </w:r>
      <w:r w:rsidRPr="00D8226C">
        <w:rPr>
          <w:szCs w:val="22"/>
        </w:rPr>
        <w:t>OFL based on 1985</w:t>
      </w:r>
      <w:r>
        <w:rPr>
          <w:szCs w:val="22"/>
        </w:rPr>
        <w:t>–</w:t>
      </w:r>
      <w:r w:rsidRPr="00D8226C">
        <w:rPr>
          <w:szCs w:val="22"/>
        </w:rPr>
        <w:t>20</w:t>
      </w:r>
      <w:r>
        <w:rPr>
          <w:szCs w:val="22"/>
        </w:rPr>
        <w:t>12</w:t>
      </w:r>
      <w:r w:rsidRPr="00D8226C">
        <w:rPr>
          <w:szCs w:val="22"/>
        </w:rPr>
        <w:t xml:space="preserve"> data </w:t>
      </w:r>
      <w:r>
        <w:rPr>
          <w:szCs w:val="22"/>
        </w:rPr>
        <w:t xml:space="preserve">for scenarios 1 and 2 </w:t>
      </w:r>
      <w:r w:rsidRPr="00D8226C">
        <w:rPr>
          <w:szCs w:val="22"/>
        </w:rPr>
        <w:t>for E</w:t>
      </w:r>
      <w:r>
        <w:rPr>
          <w:szCs w:val="22"/>
        </w:rPr>
        <w:t>AG</w:t>
      </w:r>
      <w:r w:rsidRPr="00D8226C">
        <w:rPr>
          <w:szCs w:val="22"/>
        </w:rPr>
        <w:t xml:space="preserve"> golden king crab.</w:t>
      </w:r>
      <w:r>
        <w:rPr>
          <w:szCs w:val="22"/>
        </w:rPr>
        <w:t xml:space="preserve"> Profile likelihood was used to create the probability distribution.</w:t>
      </w:r>
    </w:p>
    <w:p w:rsidR="00B86BD8" w:rsidRDefault="00B86BD8" w:rsidP="006B4EDE"/>
    <w:p w:rsidR="00B86BD8" w:rsidRDefault="00B86BD8" w:rsidP="006B4EDE"/>
    <w:p w:rsidR="00B86BD8" w:rsidRPr="0026671D" w:rsidRDefault="00B86BD8" w:rsidP="006B4EDE"/>
    <w:p w:rsidR="00B86BD8" w:rsidRDefault="00B86BD8">
      <w:pPr>
        <w:rPr>
          <w:snapToGrid w:val="0"/>
          <w:szCs w:val="24"/>
          <w:lang w:eastAsia="fr-FR"/>
        </w:rPr>
        <w:sectPr w:rsidR="00B86BD8" w:rsidSect="00F36499">
          <w:footerReference w:type="even" r:id="rId76"/>
          <w:footerReference w:type="default" r:id="rId77"/>
          <w:footerReference w:type="first" r:id="rId78"/>
          <w:pgSz w:w="15840" w:h="12240" w:orient="landscape" w:code="1"/>
          <w:pgMar w:top="1800" w:right="1440" w:bottom="1800" w:left="1440" w:header="720" w:footer="720" w:gutter="0"/>
          <w:cols w:space="720"/>
          <w:titlePg/>
          <w:docGrid w:linePitch="360"/>
        </w:sectPr>
      </w:pPr>
    </w:p>
    <w:p w:rsidR="00B86BD8" w:rsidRDefault="00B86BD8" w:rsidP="00BA71F0">
      <w:r>
        <w:rPr>
          <w:noProof/>
        </w:rPr>
        <w:lastRenderedPageBreak/>
        <w:drawing>
          <wp:inline distT="0" distB="0" distL="0" distR="0" wp14:anchorId="334D00F1" wp14:editId="2C29E57C">
            <wp:extent cx="5943600" cy="2556164"/>
            <wp:effectExtent l="0" t="0" r="0" b="0"/>
            <wp:docPr id="43" name="Picture 43" descr="C:\Users\ssiddeek\Documents\MAY2014CPT\AssessmentMaterials\wpotsampleNoInteractNegBinomCPUE95_04L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iddeek\Documents\MAY2014CPT\AssessmentMaterials\wpotsampleNoInteractNegBinomCPUE95_04LFig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2556164"/>
                    </a:xfrm>
                    <a:prstGeom prst="rect">
                      <a:avLst/>
                    </a:prstGeom>
                    <a:noFill/>
                    <a:ln>
                      <a:noFill/>
                    </a:ln>
                  </pic:spPr>
                </pic:pic>
              </a:graphicData>
            </a:graphic>
          </wp:inline>
        </w:drawing>
      </w:r>
      <w:r>
        <w:rPr>
          <w:noProof/>
        </w:rPr>
        <w:drawing>
          <wp:inline distT="0" distB="0" distL="0" distR="0" wp14:anchorId="5E5587E8" wp14:editId="124BC286">
            <wp:extent cx="5943598" cy="2400300"/>
            <wp:effectExtent l="0" t="0" r="635" b="0"/>
            <wp:docPr id="54" name="Picture 54" descr="C:\Users\ssiddeek\Documents\MAY2014CPT\AssessmentMaterials\epotsampleNoInteractNegBinomCPUE05_12L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siddeek\Documents\MAY2014CPT\AssessmentMaterials\epotsampleNoInteractNegBinomCPUE05_12LFig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400301"/>
                    </a:xfrm>
                    <a:prstGeom prst="rect">
                      <a:avLst/>
                    </a:prstGeom>
                    <a:noFill/>
                    <a:ln>
                      <a:noFill/>
                    </a:ln>
                  </pic:spPr>
                </pic:pic>
              </a:graphicData>
            </a:graphic>
          </wp:inline>
        </w:drawing>
      </w:r>
    </w:p>
    <w:p w:rsidR="00B86BD8" w:rsidRDefault="00B86BD8" w:rsidP="00BA71F0">
      <w:pPr>
        <w:pStyle w:val="Caption"/>
      </w:pPr>
      <w:r>
        <w:t xml:space="preserve">Figure 29. </w:t>
      </w:r>
      <w:r w:rsidRPr="00651D46">
        <w:t xml:space="preserve">Trends in </w:t>
      </w:r>
      <w:r>
        <w:t xml:space="preserve">arithmetic (nominal) and negative binomial CPUE indices </w:t>
      </w:r>
      <w:r w:rsidRPr="00651D46">
        <w:t>with two standard errors</w:t>
      </w:r>
      <w:r>
        <w:t xml:space="preserve"> of </w:t>
      </w:r>
      <w:r w:rsidRPr="00651D46">
        <w:t xml:space="preserve">Aleutian </w:t>
      </w:r>
      <w:r>
        <w:t>Islands golden king crab from</w:t>
      </w:r>
      <w:r w:rsidRPr="00651D46">
        <w:t xml:space="preserve"> </w:t>
      </w:r>
      <w:r>
        <w:t>W</w:t>
      </w:r>
      <w:r w:rsidRPr="00651D46">
        <w:t>AG</w:t>
      </w:r>
      <w:r w:rsidRPr="00BD214A">
        <w:t xml:space="preserve"> </w:t>
      </w:r>
      <w:r w:rsidRPr="00031D70">
        <w:t>(</w:t>
      </w:r>
      <w:r>
        <w:t>we</w:t>
      </w:r>
      <w:r w:rsidRPr="00031D70">
        <w:t>st of 174°W longitude)</w:t>
      </w:r>
      <w:r w:rsidRPr="00651D46">
        <w:t xml:space="preserve">. </w:t>
      </w:r>
      <w:r>
        <w:t>Top panel</w:t>
      </w:r>
      <w:r w:rsidRPr="00651D46">
        <w:t>: 1995/96</w:t>
      </w:r>
      <w:r>
        <w:rPr>
          <w:szCs w:val="22"/>
        </w:rPr>
        <w:t>–</w:t>
      </w:r>
      <w:r w:rsidRPr="00651D46">
        <w:t xml:space="preserve">2004/05 </w:t>
      </w:r>
      <w:r>
        <w:t>observer data and bottom panel</w:t>
      </w:r>
      <w:r w:rsidRPr="00651D46">
        <w:t>: 2005/06</w:t>
      </w:r>
      <w:r>
        <w:rPr>
          <w:szCs w:val="22"/>
        </w:rPr>
        <w:t>–</w:t>
      </w:r>
      <w:r w:rsidRPr="00651D46">
        <w:t xml:space="preserve">2012/13 </w:t>
      </w:r>
      <w:r>
        <w:t xml:space="preserve">observer </w:t>
      </w:r>
      <w:r w:rsidRPr="00651D46">
        <w:t>data.</w:t>
      </w:r>
      <w:r>
        <w:t xml:space="preserve"> Negative binomial indices: black line and Arithmetic indices</w:t>
      </w:r>
      <w:r w:rsidRPr="00651D46">
        <w:t xml:space="preserve">: red line. </w:t>
      </w:r>
    </w:p>
    <w:p w:rsidR="00B86BD8" w:rsidRDefault="00B86BD8" w:rsidP="00CB4027"/>
    <w:p w:rsidR="00B86BD8" w:rsidRDefault="00B86BD8" w:rsidP="00BA71F0">
      <w:pPr>
        <w:pStyle w:val="Caption"/>
      </w:pPr>
      <w:r>
        <w:rPr>
          <w:noProof/>
        </w:rPr>
        <w:lastRenderedPageBreak/>
        <w:drawing>
          <wp:inline distT="0" distB="0" distL="0" distR="0" wp14:anchorId="7F725017" wp14:editId="5F777226">
            <wp:extent cx="5486400" cy="7551280"/>
            <wp:effectExtent l="0" t="0" r="0" b="0"/>
            <wp:docPr id="3215643" name="Picture 321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7551280"/>
                    </a:xfrm>
                    <a:prstGeom prst="rect">
                      <a:avLst/>
                    </a:prstGeom>
                    <a:noFill/>
                    <a:ln>
                      <a:noFill/>
                    </a:ln>
                  </pic:spPr>
                </pic:pic>
              </a:graphicData>
            </a:graphic>
          </wp:inline>
        </w:drawing>
      </w:r>
    </w:p>
    <w:p w:rsidR="00B86BD8" w:rsidRDefault="00B86BD8" w:rsidP="00202540">
      <w:pPr>
        <w:rPr>
          <w:bCs/>
          <w:color w:val="000000" w:themeColor="text1"/>
        </w:rPr>
      </w:pPr>
      <w:r>
        <w:t xml:space="preserve">Figure 30. </w:t>
      </w:r>
      <w:r w:rsidRPr="00B01DE5">
        <w:rPr>
          <w:szCs w:val="22"/>
        </w:rPr>
        <w:t xml:space="preserve">Predicted (line) vs. observed (filled circle) retained catch relative length frequency distributions </w:t>
      </w:r>
      <w:r>
        <w:rPr>
          <w:szCs w:val="22"/>
        </w:rPr>
        <w:t xml:space="preserve">for scenario 1 data </w:t>
      </w:r>
      <w:r w:rsidRPr="00B01DE5">
        <w:rPr>
          <w:szCs w:val="22"/>
        </w:rPr>
        <w:t xml:space="preserve">of golden king crab in the </w:t>
      </w:r>
      <w:r>
        <w:rPr>
          <w:szCs w:val="22"/>
        </w:rPr>
        <w:t>WAG</w:t>
      </w:r>
      <w:r w:rsidRPr="00B01DE5">
        <w:rPr>
          <w:szCs w:val="22"/>
        </w:rPr>
        <w:t>, 19</w:t>
      </w:r>
      <w:r>
        <w:rPr>
          <w:szCs w:val="22"/>
        </w:rPr>
        <w:t>85/86</w:t>
      </w:r>
      <w:r w:rsidRPr="00B01DE5">
        <w:rPr>
          <w:szCs w:val="22"/>
        </w:rPr>
        <w:t xml:space="preserve"> </w:t>
      </w:r>
      <w:r>
        <w:rPr>
          <w:szCs w:val="22"/>
        </w:rPr>
        <w:t>–</w:t>
      </w:r>
      <w:r w:rsidRPr="00B01DE5">
        <w:rPr>
          <w:szCs w:val="22"/>
        </w:rPr>
        <w:t xml:space="preserve"> 20</w:t>
      </w:r>
      <w:r>
        <w:rPr>
          <w:szCs w:val="22"/>
        </w:rPr>
        <w:t>12/13</w:t>
      </w:r>
      <w:r w:rsidRPr="00B01DE5">
        <w:rPr>
          <w:szCs w:val="22"/>
        </w:rPr>
        <w:t>.</w:t>
      </w:r>
      <w:r>
        <w:rPr>
          <w:szCs w:val="22"/>
        </w:rPr>
        <w:t xml:space="preserve"> </w:t>
      </w:r>
      <w:r>
        <w:rPr>
          <w:bCs/>
          <w:color w:val="000000" w:themeColor="text1"/>
        </w:rPr>
        <w:t>Length group 1 is 103 mm CL.</w:t>
      </w:r>
    </w:p>
    <w:p w:rsidR="00B86BD8" w:rsidRDefault="00B86BD8" w:rsidP="00BA71F0">
      <w:pPr>
        <w:pStyle w:val="Caption"/>
        <w:rPr>
          <w:szCs w:val="22"/>
        </w:rPr>
      </w:pPr>
    </w:p>
    <w:p w:rsidR="00B86BD8" w:rsidRDefault="00B86BD8" w:rsidP="00BA71F0">
      <w:r>
        <w:rPr>
          <w:noProof/>
        </w:rPr>
        <w:lastRenderedPageBreak/>
        <w:drawing>
          <wp:inline distT="0" distB="0" distL="0" distR="0" wp14:anchorId="0462F5F3" wp14:editId="63820C18">
            <wp:extent cx="5486400" cy="7550785"/>
            <wp:effectExtent l="0" t="0" r="0" b="0"/>
            <wp:docPr id="3215644" name="Picture 321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7550785"/>
                    </a:xfrm>
                    <a:prstGeom prst="rect">
                      <a:avLst/>
                    </a:prstGeom>
                    <a:noFill/>
                    <a:ln>
                      <a:noFill/>
                    </a:ln>
                  </pic:spPr>
                </pic:pic>
              </a:graphicData>
            </a:graphic>
          </wp:inline>
        </w:drawing>
      </w:r>
    </w:p>
    <w:p w:rsidR="00B86BD8" w:rsidRDefault="00B86BD8" w:rsidP="00BA71F0">
      <w:r w:rsidRPr="00340667">
        <w:rPr>
          <w:bCs/>
          <w:color w:val="000000" w:themeColor="text1"/>
        </w:rPr>
        <w:t xml:space="preserve">Figure </w:t>
      </w:r>
      <w:r>
        <w:rPr>
          <w:bCs/>
          <w:color w:val="000000" w:themeColor="text1"/>
        </w:rPr>
        <w:t>31</w:t>
      </w:r>
      <w:r w:rsidRPr="00340667">
        <w:rPr>
          <w:bCs/>
          <w:color w:val="000000" w:themeColor="text1"/>
        </w:rPr>
        <w:t xml:space="preserve">. Predicted (line) vs. observed (filled circle) pot total catch relative length frequency distributions for </w:t>
      </w:r>
      <w:r>
        <w:rPr>
          <w:bCs/>
          <w:color w:val="000000" w:themeColor="text1"/>
        </w:rPr>
        <w:t>s</w:t>
      </w:r>
      <w:r w:rsidRPr="00340667">
        <w:rPr>
          <w:bCs/>
          <w:color w:val="000000" w:themeColor="text1"/>
        </w:rPr>
        <w:t xml:space="preserve">cenario 1 data of golden king crab in the </w:t>
      </w:r>
      <w:r>
        <w:rPr>
          <w:bCs/>
          <w:color w:val="000000" w:themeColor="text1"/>
        </w:rPr>
        <w:t>W</w:t>
      </w:r>
      <w:r w:rsidRPr="00340667">
        <w:rPr>
          <w:bCs/>
          <w:color w:val="000000" w:themeColor="text1"/>
        </w:rPr>
        <w:t>AG, 1990</w:t>
      </w:r>
      <w:r>
        <w:rPr>
          <w:bCs/>
          <w:color w:val="000000" w:themeColor="text1"/>
        </w:rPr>
        <w:t>/91</w:t>
      </w:r>
      <w:r w:rsidRPr="00340667">
        <w:rPr>
          <w:bCs/>
          <w:color w:val="000000" w:themeColor="text1"/>
        </w:rPr>
        <w:t xml:space="preserve"> </w:t>
      </w:r>
      <w:r>
        <w:t>–</w:t>
      </w:r>
      <w:r w:rsidRPr="00340667">
        <w:rPr>
          <w:bCs/>
          <w:color w:val="000000" w:themeColor="text1"/>
        </w:rPr>
        <w:t xml:space="preserve"> 2012</w:t>
      </w:r>
      <w:r>
        <w:rPr>
          <w:bCs/>
          <w:color w:val="000000" w:themeColor="text1"/>
        </w:rPr>
        <w:t>/13</w:t>
      </w:r>
      <w:r w:rsidRPr="00340667">
        <w:rPr>
          <w:bCs/>
          <w:color w:val="000000" w:themeColor="text1"/>
        </w:rPr>
        <w:t>.</w:t>
      </w:r>
      <w:r w:rsidRPr="00677DE1">
        <w:rPr>
          <w:bCs/>
          <w:color w:val="000000" w:themeColor="text1"/>
        </w:rPr>
        <w:t xml:space="preserve"> </w:t>
      </w:r>
      <w:r>
        <w:rPr>
          <w:bCs/>
          <w:color w:val="000000" w:themeColor="text1"/>
        </w:rPr>
        <w:t>Length group 1 is 103 mm CL.</w:t>
      </w:r>
    </w:p>
    <w:p w:rsidR="00B86BD8" w:rsidRDefault="00B86BD8" w:rsidP="00BA71F0"/>
    <w:p w:rsidR="00B86BD8" w:rsidRDefault="00B86BD8" w:rsidP="00BA71F0">
      <w:pPr>
        <w:rPr>
          <w:bCs/>
          <w:color w:val="000000" w:themeColor="text1"/>
        </w:rPr>
      </w:pPr>
    </w:p>
    <w:p w:rsidR="00B86BD8" w:rsidRDefault="00B86BD8" w:rsidP="00BA71F0">
      <w:pPr>
        <w:rPr>
          <w:bCs/>
          <w:color w:val="000000" w:themeColor="text1"/>
        </w:rPr>
      </w:pPr>
      <w:r w:rsidRPr="001156E9">
        <w:rPr>
          <w:bCs/>
          <w:noProof/>
          <w:color w:val="000000" w:themeColor="text1"/>
        </w:rPr>
        <w:lastRenderedPageBreak/>
        <w:drawing>
          <wp:inline distT="0" distB="0" distL="0" distR="0" wp14:anchorId="5562D61E" wp14:editId="4BBD28DF">
            <wp:extent cx="5486400" cy="7550785"/>
            <wp:effectExtent l="0" t="0" r="0" b="0"/>
            <wp:docPr id="3215645" name="Picture 321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7550785"/>
                    </a:xfrm>
                    <a:prstGeom prst="rect">
                      <a:avLst/>
                    </a:prstGeom>
                    <a:noFill/>
                    <a:ln>
                      <a:noFill/>
                    </a:ln>
                  </pic:spPr>
                </pic:pic>
              </a:graphicData>
            </a:graphic>
          </wp:inline>
        </w:drawing>
      </w:r>
    </w:p>
    <w:p w:rsidR="00B86BD8" w:rsidRDefault="00B86BD8" w:rsidP="00BA71F0">
      <w:pPr>
        <w:rPr>
          <w:bCs/>
          <w:color w:val="000000" w:themeColor="text1"/>
        </w:rPr>
      </w:pPr>
    </w:p>
    <w:p w:rsidR="00B86BD8" w:rsidRDefault="00B86BD8" w:rsidP="00677DE1">
      <w:pPr>
        <w:rPr>
          <w:bCs/>
          <w:color w:val="000000" w:themeColor="text1"/>
        </w:rPr>
      </w:pPr>
      <w:r>
        <w:t xml:space="preserve">Figure 32. </w:t>
      </w:r>
      <w:r w:rsidRPr="002A6F5A">
        <w:rPr>
          <w:szCs w:val="22"/>
        </w:rPr>
        <w:t xml:space="preserve">Predicted (line) vs. observed (filled circle) groundfish discarded catch relative length frequency distributions </w:t>
      </w:r>
      <w:r>
        <w:rPr>
          <w:szCs w:val="22"/>
        </w:rPr>
        <w:t xml:space="preserve">for scenario 1 data </w:t>
      </w:r>
      <w:r w:rsidRPr="002A6F5A">
        <w:rPr>
          <w:szCs w:val="22"/>
        </w:rPr>
        <w:t xml:space="preserve">of golden king crab in the </w:t>
      </w:r>
      <w:r>
        <w:rPr>
          <w:szCs w:val="22"/>
        </w:rPr>
        <w:t>WAG</w:t>
      </w:r>
      <w:r w:rsidRPr="002A6F5A">
        <w:rPr>
          <w:szCs w:val="22"/>
        </w:rPr>
        <w:t>, 1995</w:t>
      </w:r>
      <w:r>
        <w:rPr>
          <w:szCs w:val="22"/>
        </w:rPr>
        <w:t>/96</w:t>
      </w:r>
      <w:r w:rsidRPr="002A6F5A">
        <w:rPr>
          <w:szCs w:val="22"/>
        </w:rPr>
        <w:t xml:space="preserve"> </w:t>
      </w:r>
      <w:r>
        <w:rPr>
          <w:szCs w:val="22"/>
        </w:rPr>
        <w:t>–</w:t>
      </w:r>
      <w:r w:rsidRPr="002A6F5A">
        <w:rPr>
          <w:szCs w:val="22"/>
        </w:rPr>
        <w:t xml:space="preserve"> 20</w:t>
      </w:r>
      <w:r>
        <w:rPr>
          <w:szCs w:val="22"/>
        </w:rPr>
        <w:t>12/13</w:t>
      </w:r>
      <w:r w:rsidRPr="002A6F5A">
        <w:rPr>
          <w:szCs w:val="22"/>
        </w:rPr>
        <w:t>.</w:t>
      </w:r>
      <w:r w:rsidRPr="00677DE1">
        <w:rPr>
          <w:bCs/>
          <w:color w:val="000000" w:themeColor="text1"/>
        </w:rPr>
        <w:t xml:space="preserve"> </w:t>
      </w:r>
      <w:r>
        <w:rPr>
          <w:bCs/>
          <w:color w:val="000000" w:themeColor="text1"/>
        </w:rPr>
        <w:t>Length group 1 is 103 mm CL.</w:t>
      </w:r>
    </w:p>
    <w:p w:rsidR="00B86BD8" w:rsidRDefault="00B86BD8">
      <w:r>
        <w:rPr>
          <w:bCs/>
          <w:noProof/>
        </w:rPr>
        <w:lastRenderedPageBreak/>
        <w:drawing>
          <wp:inline distT="0" distB="0" distL="0" distR="0" wp14:anchorId="32D5C309" wp14:editId="4DA809CF">
            <wp:extent cx="5486400" cy="7550785"/>
            <wp:effectExtent l="0" t="0" r="0" b="0"/>
            <wp:docPr id="3215646" name="Picture 321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7550785"/>
                    </a:xfrm>
                    <a:prstGeom prst="rect">
                      <a:avLst/>
                    </a:prstGeom>
                    <a:noFill/>
                    <a:ln>
                      <a:noFill/>
                    </a:ln>
                  </pic:spPr>
                </pic:pic>
              </a:graphicData>
            </a:graphic>
          </wp:inline>
        </w:drawing>
      </w:r>
    </w:p>
    <w:p w:rsidR="00B86BD8" w:rsidRDefault="00B86BD8" w:rsidP="00BA71F0">
      <w:pPr>
        <w:pStyle w:val="Caption"/>
      </w:pPr>
    </w:p>
    <w:p w:rsidR="00B86BD8" w:rsidRDefault="00B86BD8" w:rsidP="00AA5B92">
      <w:pPr>
        <w:rPr>
          <w:bCs/>
          <w:color w:val="000000" w:themeColor="text1"/>
        </w:rPr>
      </w:pPr>
      <w:r>
        <w:t xml:space="preserve">Figure 33. </w:t>
      </w:r>
      <w:r w:rsidRPr="00B01DE5">
        <w:rPr>
          <w:szCs w:val="22"/>
        </w:rPr>
        <w:t xml:space="preserve">Predicted (line) vs. observed (filled circle) retained catch relative length frequency distributions </w:t>
      </w:r>
      <w:r>
        <w:rPr>
          <w:szCs w:val="22"/>
        </w:rPr>
        <w:t xml:space="preserve">for scenario 2 data </w:t>
      </w:r>
      <w:r w:rsidRPr="00B01DE5">
        <w:rPr>
          <w:szCs w:val="22"/>
        </w:rPr>
        <w:t xml:space="preserve">of golden king crab in the </w:t>
      </w:r>
      <w:r>
        <w:rPr>
          <w:szCs w:val="22"/>
        </w:rPr>
        <w:t>WAG</w:t>
      </w:r>
      <w:r w:rsidRPr="00B01DE5">
        <w:rPr>
          <w:szCs w:val="22"/>
        </w:rPr>
        <w:t>, 19</w:t>
      </w:r>
      <w:r>
        <w:rPr>
          <w:szCs w:val="22"/>
        </w:rPr>
        <w:t>85/86</w:t>
      </w:r>
      <w:r w:rsidRPr="00B01DE5">
        <w:rPr>
          <w:szCs w:val="22"/>
        </w:rPr>
        <w:t xml:space="preserve"> </w:t>
      </w:r>
      <w:r>
        <w:rPr>
          <w:szCs w:val="22"/>
        </w:rPr>
        <w:t>–</w:t>
      </w:r>
      <w:r w:rsidRPr="00B01DE5">
        <w:rPr>
          <w:szCs w:val="22"/>
        </w:rPr>
        <w:t xml:space="preserve"> 20</w:t>
      </w:r>
      <w:r>
        <w:rPr>
          <w:szCs w:val="22"/>
        </w:rPr>
        <w:t>12/13</w:t>
      </w:r>
      <w:r w:rsidRPr="00B01DE5">
        <w:rPr>
          <w:szCs w:val="22"/>
        </w:rPr>
        <w:t>.</w:t>
      </w:r>
      <w:r w:rsidRPr="00AA5B92">
        <w:rPr>
          <w:bCs/>
          <w:color w:val="000000" w:themeColor="text1"/>
        </w:rPr>
        <w:t xml:space="preserve"> </w:t>
      </w:r>
      <w:r>
        <w:rPr>
          <w:bCs/>
          <w:color w:val="000000" w:themeColor="text1"/>
        </w:rPr>
        <w:t>Length group 1 is 103 mm CL.</w:t>
      </w:r>
    </w:p>
    <w:p w:rsidR="00B86BD8" w:rsidRDefault="00B86BD8" w:rsidP="00BA71F0">
      <w:pPr>
        <w:rPr>
          <w:bCs/>
          <w:color w:val="000000" w:themeColor="text1"/>
        </w:rPr>
      </w:pPr>
      <w:r w:rsidRPr="00093FDC">
        <w:rPr>
          <w:bCs/>
          <w:noProof/>
          <w:color w:val="000000" w:themeColor="text1"/>
        </w:rPr>
        <w:lastRenderedPageBreak/>
        <w:drawing>
          <wp:inline distT="0" distB="0" distL="0" distR="0" wp14:anchorId="428D265C" wp14:editId="3C05814C">
            <wp:extent cx="5486400" cy="7550785"/>
            <wp:effectExtent l="0" t="0" r="0" b="0"/>
            <wp:docPr id="3215647" name="Picture 321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6400" cy="7550785"/>
                    </a:xfrm>
                    <a:prstGeom prst="rect">
                      <a:avLst/>
                    </a:prstGeom>
                    <a:noFill/>
                    <a:ln>
                      <a:noFill/>
                    </a:ln>
                  </pic:spPr>
                </pic:pic>
              </a:graphicData>
            </a:graphic>
          </wp:inline>
        </w:drawing>
      </w:r>
    </w:p>
    <w:p w:rsidR="00B86BD8" w:rsidRDefault="00B86BD8" w:rsidP="00AA5B92">
      <w:pPr>
        <w:rPr>
          <w:bCs/>
          <w:color w:val="000000" w:themeColor="text1"/>
        </w:rPr>
      </w:pPr>
      <w:r w:rsidRPr="00340667">
        <w:rPr>
          <w:bCs/>
          <w:color w:val="000000" w:themeColor="text1"/>
        </w:rPr>
        <w:t xml:space="preserve">Figure </w:t>
      </w:r>
      <w:r>
        <w:rPr>
          <w:bCs/>
          <w:color w:val="000000" w:themeColor="text1"/>
        </w:rPr>
        <w:t>34</w:t>
      </w:r>
      <w:r w:rsidRPr="00340667">
        <w:rPr>
          <w:bCs/>
          <w:color w:val="000000" w:themeColor="text1"/>
        </w:rPr>
        <w:t xml:space="preserve">. Predicted (line) vs. observed (filled circle) pot total catch relative length frequency distributions for </w:t>
      </w:r>
      <w:r>
        <w:rPr>
          <w:bCs/>
          <w:color w:val="000000" w:themeColor="text1"/>
        </w:rPr>
        <w:t>s</w:t>
      </w:r>
      <w:r w:rsidRPr="00340667">
        <w:rPr>
          <w:bCs/>
          <w:color w:val="000000" w:themeColor="text1"/>
        </w:rPr>
        <w:t xml:space="preserve">cenario </w:t>
      </w:r>
      <w:r>
        <w:rPr>
          <w:bCs/>
          <w:color w:val="000000" w:themeColor="text1"/>
        </w:rPr>
        <w:t>2</w:t>
      </w:r>
      <w:r w:rsidRPr="00340667">
        <w:rPr>
          <w:bCs/>
          <w:color w:val="000000" w:themeColor="text1"/>
        </w:rPr>
        <w:t xml:space="preserve"> data of golden king crab in the </w:t>
      </w:r>
      <w:r>
        <w:rPr>
          <w:bCs/>
          <w:color w:val="000000" w:themeColor="text1"/>
        </w:rPr>
        <w:t>W</w:t>
      </w:r>
      <w:r w:rsidRPr="00340667">
        <w:rPr>
          <w:bCs/>
          <w:color w:val="000000" w:themeColor="text1"/>
        </w:rPr>
        <w:t>AG, 1990</w:t>
      </w:r>
      <w:r>
        <w:rPr>
          <w:bCs/>
          <w:color w:val="000000" w:themeColor="text1"/>
        </w:rPr>
        <w:t>/91</w:t>
      </w:r>
      <w:r w:rsidRPr="00340667">
        <w:rPr>
          <w:bCs/>
          <w:color w:val="000000" w:themeColor="text1"/>
        </w:rPr>
        <w:t xml:space="preserve"> </w:t>
      </w:r>
      <w:r>
        <w:t>–</w:t>
      </w:r>
      <w:r w:rsidRPr="00340667">
        <w:rPr>
          <w:bCs/>
          <w:color w:val="000000" w:themeColor="text1"/>
        </w:rPr>
        <w:t xml:space="preserve"> 2012</w:t>
      </w:r>
      <w:r>
        <w:rPr>
          <w:bCs/>
          <w:color w:val="000000" w:themeColor="text1"/>
        </w:rPr>
        <w:t>/13</w:t>
      </w:r>
      <w:r w:rsidRPr="00340667">
        <w:rPr>
          <w:bCs/>
          <w:color w:val="000000" w:themeColor="text1"/>
        </w:rPr>
        <w:t>.</w:t>
      </w:r>
      <w:r w:rsidRPr="00AA5B92">
        <w:rPr>
          <w:szCs w:val="22"/>
        </w:rPr>
        <w:t xml:space="preserve"> </w:t>
      </w:r>
      <w:r w:rsidRPr="00AA5B92">
        <w:rPr>
          <w:bCs/>
          <w:color w:val="000000" w:themeColor="text1"/>
        </w:rPr>
        <w:t xml:space="preserve"> </w:t>
      </w:r>
      <w:r>
        <w:rPr>
          <w:bCs/>
          <w:color w:val="000000" w:themeColor="text1"/>
        </w:rPr>
        <w:t>Length group 1 is 103 mm CL.</w:t>
      </w:r>
    </w:p>
    <w:p w:rsidR="00B86BD8" w:rsidRDefault="00B86BD8" w:rsidP="00BA71F0">
      <w:pPr>
        <w:rPr>
          <w:bCs/>
          <w:color w:val="000000" w:themeColor="text1"/>
        </w:rPr>
      </w:pPr>
    </w:p>
    <w:p w:rsidR="00B86BD8" w:rsidRDefault="00B86BD8" w:rsidP="00BA71F0">
      <w:pPr>
        <w:rPr>
          <w:bCs/>
          <w:color w:val="000000" w:themeColor="text1"/>
        </w:rPr>
      </w:pPr>
    </w:p>
    <w:p w:rsidR="00B86BD8" w:rsidRDefault="00B86BD8" w:rsidP="00BA71F0">
      <w:pPr>
        <w:rPr>
          <w:bCs/>
          <w:color w:val="000000" w:themeColor="text1"/>
        </w:rPr>
      </w:pPr>
      <w:r w:rsidRPr="00093FDC">
        <w:rPr>
          <w:bCs/>
          <w:noProof/>
          <w:color w:val="000000" w:themeColor="text1"/>
        </w:rPr>
        <w:lastRenderedPageBreak/>
        <w:drawing>
          <wp:inline distT="0" distB="0" distL="0" distR="0" wp14:anchorId="3A3E0D56" wp14:editId="79927614">
            <wp:extent cx="5486400" cy="755078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6400" cy="7550785"/>
                    </a:xfrm>
                    <a:prstGeom prst="rect">
                      <a:avLst/>
                    </a:prstGeom>
                    <a:noFill/>
                    <a:ln>
                      <a:noFill/>
                    </a:ln>
                  </pic:spPr>
                </pic:pic>
              </a:graphicData>
            </a:graphic>
          </wp:inline>
        </w:drawing>
      </w:r>
    </w:p>
    <w:p w:rsidR="00B86BD8" w:rsidRDefault="00B86BD8" w:rsidP="00BA71F0">
      <w:pPr>
        <w:rPr>
          <w:bCs/>
          <w:color w:val="000000" w:themeColor="text1"/>
        </w:rPr>
      </w:pPr>
    </w:p>
    <w:p w:rsidR="00B86BD8" w:rsidRDefault="00B86BD8" w:rsidP="00AA5B92">
      <w:pPr>
        <w:rPr>
          <w:bCs/>
          <w:color w:val="000000" w:themeColor="text1"/>
        </w:rPr>
      </w:pPr>
      <w:r>
        <w:t xml:space="preserve">Figure 35. </w:t>
      </w:r>
      <w:r w:rsidRPr="002A6F5A">
        <w:rPr>
          <w:szCs w:val="22"/>
        </w:rPr>
        <w:t xml:space="preserve">Predicted (line) vs. observed (filled circle) groundfish discarded catch relative length frequency distributions </w:t>
      </w:r>
      <w:r>
        <w:rPr>
          <w:szCs w:val="22"/>
        </w:rPr>
        <w:t xml:space="preserve">for scenario 2 data </w:t>
      </w:r>
      <w:r w:rsidRPr="002A6F5A">
        <w:rPr>
          <w:szCs w:val="22"/>
        </w:rPr>
        <w:t xml:space="preserve">of golden king crab in the </w:t>
      </w:r>
      <w:r>
        <w:rPr>
          <w:szCs w:val="22"/>
        </w:rPr>
        <w:t>WAG</w:t>
      </w:r>
      <w:r w:rsidRPr="002A6F5A">
        <w:rPr>
          <w:szCs w:val="22"/>
        </w:rPr>
        <w:t>, 1995</w:t>
      </w:r>
      <w:r>
        <w:rPr>
          <w:szCs w:val="22"/>
        </w:rPr>
        <w:t>/96</w:t>
      </w:r>
      <w:r w:rsidRPr="002A6F5A">
        <w:rPr>
          <w:szCs w:val="22"/>
        </w:rPr>
        <w:t xml:space="preserve"> </w:t>
      </w:r>
      <w:r>
        <w:rPr>
          <w:szCs w:val="22"/>
        </w:rPr>
        <w:t>–</w:t>
      </w:r>
      <w:r w:rsidRPr="002A6F5A">
        <w:rPr>
          <w:szCs w:val="22"/>
        </w:rPr>
        <w:t xml:space="preserve"> 20</w:t>
      </w:r>
      <w:r>
        <w:rPr>
          <w:szCs w:val="22"/>
        </w:rPr>
        <w:t>12/13</w:t>
      </w:r>
      <w:r w:rsidRPr="002A6F5A">
        <w:rPr>
          <w:szCs w:val="22"/>
        </w:rPr>
        <w:t>.</w:t>
      </w:r>
      <w:r w:rsidRPr="00AA5B92">
        <w:rPr>
          <w:bCs/>
          <w:color w:val="000000" w:themeColor="text1"/>
        </w:rPr>
        <w:t xml:space="preserve"> </w:t>
      </w:r>
      <w:r w:rsidRPr="00340667">
        <w:rPr>
          <w:bCs/>
          <w:color w:val="000000" w:themeColor="text1"/>
        </w:rPr>
        <w:t>.</w:t>
      </w:r>
      <w:r w:rsidRPr="00AA5B92">
        <w:rPr>
          <w:szCs w:val="22"/>
        </w:rPr>
        <w:t xml:space="preserve"> </w:t>
      </w:r>
      <w:r w:rsidRPr="00AA5B92">
        <w:rPr>
          <w:bCs/>
          <w:color w:val="000000" w:themeColor="text1"/>
        </w:rPr>
        <w:t xml:space="preserve"> </w:t>
      </w:r>
      <w:r>
        <w:rPr>
          <w:bCs/>
          <w:color w:val="000000" w:themeColor="text1"/>
        </w:rPr>
        <w:t>Length group 1 is 103 mm CL.</w:t>
      </w:r>
    </w:p>
    <w:p w:rsidR="00B86BD8" w:rsidRDefault="00B86BD8" w:rsidP="00BA71F0">
      <w:pPr>
        <w:pStyle w:val="Caption"/>
        <w:rPr>
          <w:szCs w:val="22"/>
        </w:rPr>
      </w:pPr>
    </w:p>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r>
        <w:rPr>
          <w:noProof/>
        </w:rPr>
        <w:drawing>
          <wp:inline distT="0" distB="0" distL="0" distR="0" wp14:anchorId="02C8D54E" wp14:editId="6DABC45C">
            <wp:extent cx="5486400" cy="3086100"/>
            <wp:effectExtent l="0" t="0" r="0" b="0"/>
            <wp:docPr id="97" name="Picture 97" descr="C:\Users\ssiddeek\Documents\MAY2014CPT\AssessmentMaterialsUpdatedNNfiles\Adak8512RetEffectiveSSiz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C:\Users\ssiddeek\Documents\MAY2014CPT\AssessmentMaterialsUpdatedNNfiles\Adak8512RetEffectiveSSizeNN.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B86BD8" w:rsidRPr="007B690A" w:rsidRDefault="00B86BD8" w:rsidP="00BA71F0">
      <w:pPr>
        <w:pStyle w:val="Caption"/>
        <w:rPr>
          <w:szCs w:val="22"/>
        </w:rPr>
      </w:pPr>
      <w:r>
        <w:t xml:space="preserve">Figure 36. Predicted effective sample size vs. input sample size for retained catch length composition for scenarios and 2 fits to </w:t>
      </w:r>
      <w:r w:rsidRPr="002A6F5A">
        <w:rPr>
          <w:szCs w:val="22"/>
        </w:rPr>
        <w:t xml:space="preserve">golden king crab </w:t>
      </w:r>
      <w:r>
        <w:rPr>
          <w:szCs w:val="22"/>
        </w:rPr>
        <w:t xml:space="preserve">data </w:t>
      </w:r>
      <w:r w:rsidRPr="002A6F5A">
        <w:rPr>
          <w:szCs w:val="22"/>
        </w:rPr>
        <w:t xml:space="preserve">in the </w:t>
      </w:r>
      <w:r>
        <w:rPr>
          <w:szCs w:val="22"/>
        </w:rPr>
        <w:t>WAG, 198</w:t>
      </w:r>
      <w:r w:rsidRPr="002A6F5A">
        <w:rPr>
          <w:szCs w:val="22"/>
        </w:rPr>
        <w:t>5</w:t>
      </w:r>
      <w:r>
        <w:rPr>
          <w:szCs w:val="22"/>
        </w:rPr>
        <w:t>/96</w:t>
      </w:r>
      <w:r w:rsidRPr="002A6F5A">
        <w:rPr>
          <w:szCs w:val="22"/>
        </w:rPr>
        <w:t xml:space="preserve"> </w:t>
      </w:r>
      <w:r>
        <w:rPr>
          <w:szCs w:val="22"/>
        </w:rPr>
        <w:t>–</w:t>
      </w:r>
      <w:r w:rsidRPr="002A6F5A">
        <w:rPr>
          <w:szCs w:val="22"/>
        </w:rPr>
        <w:t xml:space="preserve"> 20</w:t>
      </w:r>
      <w:r>
        <w:rPr>
          <w:szCs w:val="22"/>
        </w:rPr>
        <w:t>12/13</w:t>
      </w:r>
      <w:r w:rsidRPr="002A6F5A">
        <w:rPr>
          <w:szCs w:val="22"/>
        </w:rPr>
        <w:t>.</w:t>
      </w:r>
      <w:r>
        <w:rPr>
          <w:szCs w:val="22"/>
        </w:rPr>
        <w:t xml:space="preserve"> The red line is the 45</w:t>
      </w:r>
      <w:r w:rsidRPr="007B690A">
        <w:rPr>
          <w:szCs w:val="22"/>
          <w:vertAlign w:val="superscript"/>
        </w:rPr>
        <w:t>0</w:t>
      </w:r>
      <w:r>
        <w:rPr>
          <w:szCs w:val="22"/>
        </w:rPr>
        <w:t xml:space="preserve"> line passing through the origin.</w:t>
      </w:r>
    </w:p>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Pr="003A4B10" w:rsidRDefault="00B86BD8" w:rsidP="00BA71F0">
      <w:r>
        <w:rPr>
          <w:noProof/>
        </w:rPr>
        <w:lastRenderedPageBreak/>
        <w:drawing>
          <wp:inline distT="0" distB="0" distL="0" distR="0" wp14:anchorId="7198F203" wp14:editId="13893FC6">
            <wp:extent cx="5486400" cy="3086100"/>
            <wp:effectExtent l="0" t="0" r="0" b="0"/>
            <wp:docPr id="98" name="Picture 98" descr="C:\Users\ssiddeek\Documents\MAY2014CPT\AssessmentMaterialsUpdatedNNfiles\Adak8512TotalEffectiveSSiz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C:\Users\ssiddeek\Documents\MAY2014CPT\AssessmentMaterialsUpdatedNNfiles\Adak8512TotalEffectiveSSizeNN.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B86BD8" w:rsidRPr="007B690A" w:rsidRDefault="00B86BD8" w:rsidP="00BA71F0">
      <w:pPr>
        <w:pStyle w:val="Caption"/>
        <w:rPr>
          <w:szCs w:val="22"/>
        </w:rPr>
      </w:pPr>
      <w:r>
        <w:t xml:space="preserve">Figure 37. Predicted effective sample size vs. input sample size for total catch length composition for scenarios 1 and 2 fits to </w:t>
      </w:r>
      <w:r w:rsidRPr="002A6F5A">
        <w:rPr>
          <w:szCs w:val="22"/>
        </w:rPr>
        <w:t xml:space="preserve">golden king crab </w:t>
      </w:r>
      <w:r>
        <w:rPr>
          <w:szCs w:val="22"/>
        </w:rPr>
        <w:t xml:space="preserve">data </w:t>
      </w:r>
      <w:r w:rsidRPr="002A6F5A">
        <w:rPr>
          <w:szCs w:val="22"/>
        </w:rPr>
        <w:t xml:space="preserve">in the </w:t>
      </w:r>
      <w:r>
        <w:rPr>
          <w:szCs w:val="22"/>
        </w:rPr>
        <w:t>WAG, 1990/91</w:t>
      </w:r>
      <w:r w:rsidRPr="002A6F5A">
        <w:rPr>
          <w:szCs w:val="22"/>
        </w:rPr>
        <w:t xml:space="preserve"> </w:t>
      </w:r>
      <w:r>
        <w:rPr>
          <w:szCs w:val="22"/>
        </w:rPr>
        <w:t>–</w:t>
      </w:r>
      <w:r w:rsidRPr="002A6F5A">
        <w:rPr>
          <w:szCs w:val="22"/>
        </w:rPr>
        <w:t xml:space="preserve"> 20</w:t>
      </w:r>
      <w:r>
        <w:rPr>
          <w:szCs w:val="22"/>
        </w:rPr>
        <w:t>12/13</w:t>
      </w:r>
      <w:r w:rsidRPr="002A6F5A">
        <w:rPr>
          <w:szCs w:val="22"/>
        </w:rPr>
        <w:t>.</w:t>
      </w:r>
      <w:r w:rsidRPr="007B690A">
        <w:rPr>
          <w:szCs w:val="22"/>
        </w:rPr>
        <w:t xml:space="preserve"> </w:t>
      </w:r>
      <w:r>
        <w:rPr>
          <w:szCs w:val="22"/>
        </w:rPr>
        <w:t>The red line is the 45</w:t>
      </w:r>
      <w:r w:rsidRPr="007B690A">
        <w:rPr>
          <w:szCs w:val="22"/>
          <w:vertAlign w:val="superscript"/>
        </w:rPr>
        <w:t>0</w:t>
      </w:r>
      <w:r>
        <w:rPr>
          <w:szCs w:val="22"/>
        </w:rPr>
        <w:t xml:space="preserve"> line passing through the origin.</w:t>
      </w:r>
    </w:p>
    <w:p w:rsidR="00B86BD8" w:rsidRDefault="00B86BD8" w:rsidP="00BA71F0">
      <w:pPr>
        <w:pStyle w:val="Caption"/>
        <w:rPr>
          <w:szCs w:val="22"/>
        </w:rPr>
      </w:pPr>
    </w:p>
    <w:p w:rsidR="00B86BD8" w:rsidRDefault="00B86BD8" w:rsidP="00BA71F0">
      <w:r>
        <w:rPr>
          <w:noProof/>
        </w:rPr>
        <w:drawing>
          <wp:inline distT="0" distB="0" distL="0" distR="0" wp14:anchorId="13604AF3" wp14:editId="702812B5">
            <wp:extent cx="5486400" cy="3086100"/>
            <wp:effectExtent l="0" t="0" r="0" b="0"/>
            <wp:docPr id="99" name="Picture 99" descr="C:\Users\ssiddeek\Documents\MAY2014CPT\AssessmentMaterialsUpdatedNNfiles\Adak8512GDiscardEffectiveSSiz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C:\Users\ssiddeek\Documents\MAY2014CPT\AssessmentMaterialsUpdatedNNfiles\Adak8512GDiscardEffectiveSSizeNN.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B86BD8" w:rsidRDefault="00B86BD8" w:rsidP="00BA71F0"/>
    <w:p w:rsidR="00B86BD8" w:rsidRDefault="00B86BD8" w:rsidP="00BA71F0"/>
    <w:p w:rsidR="00B86BD8" w:rsidRPr="007B690A" w:rsidRDefault="00B86BD8" w:rsidP="00BA71F0">
      <w:pPr>
        <w:pStyle w:val="Caption"/>
        <w:rPr>
          <w:szCs w:val="22"/>
        </w:rPr>
      </w:pPr>
      <w:r>
        <w:t xml:space="preserve">Figure 38. Predicted effective sample size vs. input sample size for groundfish discarded catch length composition for scenarios 1 and 2 fits to </w:t>
      </w:r>
      <w:r w:rsidRPr="002A6F5A">
        <w:rPr>
          <w:szCs w:val="22"/>
        </w:rPr>
        <w:t xml:space="preserve">golden king crab </w:t>
      </w:r>
      <w:r>
        <w:rPr>
          <w:szCs w:val="22"/>
        </w:rPr>
        <w:t xml:space="preserve">data </w:t>
      </w:r>
      <w:r w:rsidRPr="002A6F5A">
        <w:rPr>
          <w:szCs w:val="22"/>
        </w:rPr>
        <w:t xml:space="preserve">in the </w:t>
      </w:r>
      <w:r>
        <w:rPr>
          <w:szCs w:val="22"/>
        </w:rPr>
        <w:t>WAG, 1995/96</w:t>
      </w:r>
      <w:r w:rsidRPr="002A6F5A">
        <w:rPr>
          <w:szCs w:val="22"/>
        </w:rPr>
        <w:t xml:space="preserve"> </w:t>
      </w:r>
      <w:r>
        <w:rPr>
          <w:szCs w:val="22"/>
        </w:rPr>
        <w:t>–</w:t>
      </w:r>
      <w:r w:rsidRPr="002A6F5A">
        <w:rPr>
          <w:szCs w:val="22"/>
        </w:rPr>
        <w:t xml:space="preserve"> 20</w:t>
      </w:r>
      <w:r>
        <w:rPr>
          <w:szCs w:val="22"/>
        </w:rPr>
        <w:t>12/13</w:t>
      </w:r>
      <w:r w:rsidRPr="002A6F5A">
        <w:rPr>
          <w:szCs w:val="22"/>
        </w:rPr>
        <w:t>.</w:t>
      </w:r>
      <w:r w:rsidRPr="007B690A">
        <w:rPr>
          <w:szCs w:val="22"/>
        </w:rPr>
        <w:t xml:space="preserve"> </w:t>
      </w:r>
      <w:r>
        <w:rPr>
          <w:szCs w:val="22"/>
        </w:rPr>
        <w:t>The red line is the 45</w:t>
      </w:r>
      <w:r w:rsidRPr="007B690A">
        <w:rPr>
          <w:szCs w:val="22"/>
          <w:vertAlign w:val="superscript"/>
        </w:rPr>
        <w:t>0</w:t>
      </w:r>
      <w:r>
        <w:rPr>
          <w:szCs w:val="22"/>
        </w:rPr>
        <w:t xml:space="preserve"> line passing through the origin.</w:t>
      </w:r>
    </w:p>
    <w:p w:rsidR="00B86BD8" w:rsidRDefault="00B86BD8" w:rsidP="00BA71F0">
      <w:pPr>
        <w:pStyle w:val="Caption"/>
        <w:rPr>
          <w:szCs w:val="22"/>
        </w:rPr>
      </w:pPr>
    </w:p>
    <w:p w:rsidR="00B86BD8" w:rsidRPr="00A35CD1" w:rsidRDefault="00B86BD8" w:rsidP="00BA71F0"/>
    <w:p w:rsidR="00B86BD8" w:rsidRDefault="00B86BD8" w:rsidP="00BA71F0">
      <w:pPr>
        <w:rPr>
          <w:bCs/>
          <w:color w:val="000000" w:themeColor="text1"/>
        </w:rPr>
      </w:pPr>
    </w:p>
    <w:p w:rsidR="00B86BD8" w:rsidRDefault="00B86BD8" w:rsidP="00BA71F0">
      <w:pPr>
        <w:rPr>
          <w:bCs/>
          <w:color w:val="000000" w:themeColor="text1"/>
        </w:rPr>
      </w:pPr>
    </w:p>
    <w:p w:rsidR="00B86BD8" w:rsidRDefault="00B86BD8" w:rsidP="00BA71F0">
      <w:pPr>
        <w:rPr>
          <w:bCs/>
          <w:color w:val="000000" w:themeColor="text1"/>
        </w:rPr>
      </w:pPr>
    </w:p>
    <w:p w:rsidR="00B86BD8" w:rsidRDefault="00B86BD8" w:rsidP="00BA71F0">
      <w:pPr>
        <w:rPr>
          <w:bCs/>
          <w:color w:val="000000" w:themeColor="text1"/>
        </w:rPr>
      </w:pPr>
    </w:p>
    <w:p w:rsidR="00B86BD8" w:rsidRDefault="00B86BD8" w:rsidP="00BA71F0">
      <w:pPr>
        <w:rPr>
          <w:bCs/>
          <w:color w:val="000000" w:themeColor="text1"/>
        </w:rPr>
      </w:pPr>
    </w:p>
    <w:p w:rsidR="00B86BD8" w:rsidRDefault="00B86BD8" w:rsidP="00BA71F0">
      <w:pPr>
        <w:rPr>
          <w:bCs/>
          <w:color w:val="000000" w:themeColor="text1"/>
        </w:rPr>
      </w:pPr>
    </w:p>
    <w:p w:rsidR="00B86BD8" w:rsidRDefault="00B86BD8" w:rsidP="00BA71F0">
      <w:pPr>
        <w:rPr>
          <w:bCs/>
          <w:color w:val="000000" w:themeColor="text1"/>
        </w:rPr>
      </w:pPr>
    </w:p>
    <w:p w:rsidR="00B86BD8" w:rsidRDefault="00B86BD8" w:rsidP="00BA71F0">
      <w:pPr>
        <w:rPr>
          <w:bCs/>
          <w:color w:val="000000" w:themeColor="text1"/>
        </w:rPr>
      </w:pPr>
    </w:p>
    <w:p w:rsidR="00B86BD8" w:rsidRDefault="00B86BD8" w:rsidP="00BA71F0">
      <w:pPr>
        <w:rPr>
          <w:bCs/>
          <w:color w:val="000000" w:themeColor="text1"/>
        </w:rPr>
      </w:pPr>
      <w:r w:rsidRPr="00093FDC">
        <w:rPr>
          <w:bCs/>
          <w:noProof/>
          <w:color w:val="000000" w:themeColor="text1"/>
        </w:rPr>
        <w:drawing>
          <wp:inline distT="0" distB="0" distL="0" distR="0" wp14:anchorId="4C62A011" wp14:editId="7EA37ED1">
            <wp:extent cx="5486400" cy="3086100"/>
            <wp:effectExtent l="0" t="0" r="0" b="0"/>
            <wp:docPr id="100" name="Picture 100" descr="C:\Users\ssiddeek\Documents\MAY2014CPT\AssessmentMaterialsUpdatedNNfiles\Adak8512Selectivity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C:\Users\ssiddeek\Documents\MAY2014CPT\AssessmentMaterialsUpdatedNNfiles\Adak8512SelectivityNN.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B86BD8" w:rsidRDefault="00B86BD8" w:rsidP="00BA71F0">
      <w:pPr>
        <w:rPr>
          <w:bCs/>
          <w:color w:val="000000" w:themeColor="text1"/>
        </w:rPr>
      </w:pPr>
    </w:p>
    <w:p w:rsidR="00B86BD8" w:rsidRDefault="00B86BD8" w:rsidP="00BA71F0">
      <w:pPr>
        <w:rPr>
          <w:bCs/>
          <w:color w:val="000000" w:themeColor="text1"/>
        </w:rPr>
      </w:pPr>
    </w:p>
    <w:p w:rsidR="00B86BD8" w:rsidRDefault="00B86BD8" w:rsidP="00BA71F0">
      <w:pPr>
        <w:pStyle w:val="Caption"/>
      </w:pPr>
    </w:p>
    <w:p w:rsidR="00B86BD8" w:rsidRDefault="00B86BD8" w:rsidP="00BA71F0">
      <w:pPr>
        <w:pStyle w:val="Caption"/>
      </w:pPr>
      <w:r w:rsidRPr="00C24685">
        <w:t xml:space="preserve">Figure </w:t>
      </w:r>
      <w:r>
        <w:t>39</w:t>
      </w:r>
      <w:r w:rsidRPr="00C24685">
        <w:t>. Estimated total selecti</w:t>
      </w:r>
      <w:r>
        <w:t xml:space="preserve">vity (black solid line) and retained </w:t>
      </w:r>
      <w:r w:rsidRPr="00C24685">
        <w:t>selectivity (</w:t>
      </w:r>
      <w:r>
        <w:t>red dotted</w:t>
      </w:r>
      <w:r w:rsidRPr="00C24685">
        <w:t xml:space="preserve"> line) </w:t>
      </w:r>
      <w:r>
        <w:t>for pre- (top panel) and post- (bottom panel)  rationalization periods under</w:t>
      </w:r>
      <w:r w:rsidRPr="00C24685">
        <w:t xml:space="preserve"> </w:t>
      </w:r>
      <w:r>
        <w:t>s</w:t>
      </w:r>
      <w:r w:rsidRPr="00C24685">
        <w:t>cenario</w:t>
      </w:r>
      <w:r>
        <w:t>s</w:t>
      </w:r>
      <w:r w:rsidRPr="00C24685">
        <w:t xml:space="preserve"> 1 </w:t>
      </w:r>
      <w:r>
        <w:t>and 2 fits to</w:t>
      </w:r>
      <w:r w:rsidRPr="00C24685">
        <w:t xml:space="preserve"> </w:t>
      </w:r>
      <w:r>
        <w:t>W</w:t>
      </w:r>
      <w:r w:rsidRPr="00C24685">
        <w:t>AG</w:t>
      </w:r>
      <w:r>
        <w:t xml:space="preserve"> golden king crab data</w:t>
      </w:r>
      <w:r w:rsidRPr="00C24685">
        <w:t>.</w:t>
      </w:r>
    </w:p>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Pr>
        <w:sectPr w:rsidR="00B86BD8" w:rsidSect="00202540">
          <w:pgSz w:w="12240" w:h="15840" w:code="1"/>
          <w:pgMar w:top="1440" w:right="1800" w:bottom="1440" w:left="1800" w:header="720" w:footer="720" w:gutter="0"/>
          <w:cols w:space="720"/>
          <w:titlePg/>
          <w:docGrid w:linePitch="360"/>
        </w:sectPr>
      </w:pPr>
    </w:p>
    <w:p w:rsidR="00B86BD8" w:rsidRDefault="00B86BD8" w:rsidP="00BA71F0">
      <w:r w:rsidRPr="0081152D">
        <w:rPr>
          <w:noProof/>
        </w:rPr>
        <w:lastRenderedPageBreak/>
        <w:t xml:space="preserve"> </w:t>
      </w:r>
      <w:r>
        <w:rPr>
          <w:noProof/>
        </w:rPr>
        <w:drawing>
          <wp:inline distT="0" distB="0" distL="0" distR="0" wp14:anchorId="1F497872" wp14:editId="609E79EA">
            <wp:extent cx="3605645" cy="2514600"/>
            <wp:effectExtent l="0" t="0" r="0" b="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noProof/>
        </w:rPr>
        <w:drawing>
          <wp:inline distT="0" distB="0" distL="0" distR="0" wp14:anchorId="3DB11B5F" wp14:editId="4E73E3C7">
            <wp:extent cx="3813464" cy="2504209"/>
            <wp:effectExtent l="0" t="0" r="0" b="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86BD8" w:rsidRDefault="00B86BD8" w:rsidP="00BA71F0">
      <w:r>
        <w:t xml:space="preserve">                 </w:t>
      </w:r>
      <w:r w:rsidRPr="0026671D">
        <w:t>Scenario 1</w:t>
      </w:r>
      <w:r>
        <w:tab/>
      </w:r>
      <w:r>
        <w:tab/>
      </w:r>
      <w:r>
        <w:tab/>
      </w:r>
      <w:r>
        <w:tab/>
      </w:r>
      <w:r>
        <w:tab/>
      </w:r>
      <w:r>
        <w:tab/>
      </w:r>
      <w:r>
        <w:tab/>
        <w:t>Scenario 2</w:t>
      </w:r>
    </w:p>
    <w:p w:rsidR="00B86BD8" w:rsidRDefault="00B86BD8" w:rsidP="00BA71F0">
      <w:pPr>
        <w:rPr>
          <w:noProof/>
        </w:rPr>
      </w:pPr>
      <w:r w:rsidRPr="002A3AC5">
        <w:rPr>
          <w:noProof/>
        </w:rPr>
        <w:t xml:space="preserve"> </w:t>
      </w:r>
    </w:p>
    <w:p w:rsidR="00B86BD8" w:rsidRDefault="00B86BD8" w:rsidP="00BA71F0"/>
    <w:p w:rsidR="00B86BD8" w:rsidRDefault="00B86BD8" w:rsidP="00BA71F0">
      <w:pPr>
        <w:pStyle w:val="Caption"/>
        <w:rPr>
          <w:szCs w:val="22"/>
        </w:rPr>
      </w:pPr>
      <w:r>
        <w:t xml:space="preserve">Figure 40. </w:t>
      </w:r>
      <w:r w:rsidRPr="00B01DE5">
        <w:rPr>
          <w:szCs w:val="22"/>
        </w:rPr>
        <w:t>Bubble plot</w:t>
      </w:r>
      <w:r>
        <w:rPr>
          <w:szCs w:val="22"/>
        </w:rPr>
        <w:t>s</w:t>
      </w:r>
      <w:r w:rsidRPr="00B01DE5">
        <w:rPr>
          <w:szCs w:val="22"/>
        </w:rPr>
        <w:t xml:space="preserve"> of standardized residuals of retained </w:t>
      </w:r>
      <w:r>
        <w:rPr>
          <w:szCs w:val="22"/>
        </w:rPr>
        <w:t xml:space="preserve">catch </w:t>
      </w:r>
      <w:r w:rsidRPr="00B01DE5">
        <w:rPr>
          <w:szCs w:val="22"/>
        </w:rPr>
        <w:t xml:space="preserve">length composition for </w:t>
      </w:r>
      <w:r>
        <w:rPr>
          <w:szCs w:val="22"/>
        </w:rPr>
        <w:t>scenarios 1 and 2 for WAG</w:t>
      </w:r>
      <w:r w:rsidRPr="00B01DE5">
        <w:rPr>
          <w:szCs w:val="22"/>
        </w:rPr>
        <w:t xml:space="preserve"> golden king crab, 1985</w:t>
      </w:r>
      <w:r>
        <w:rPr>
          <w:szCs w:val="22"/>
        </w:rPr>
        <w:t>/86–</w:t>
      </w:r>
      <w:r w:rsidRPr="00B01DE5">
        <w:rPr>
          <w:szCs w:val="22"/>
        </w:rPr>
        <w:t>20</w:t>
      </w:r>
      <w:r>
        <w:rPr>
          <w:szCs w:val="22"/>
        </w:rPr>
        <w:t>12/13</w:t>
      </w:r>
      <w:r w:rsidRPr="00B01DE5">
        <w:rPr>
          <w:szCs w:val="22"/>
        </w:rPr>
        <w:t>.</w:t>
      </w:r>
    </w:p>
    <w:p w:rsidR="00B86BD8" w:rsidRDefault="00B86BD8" w:rsidP="00BA71F0"/>
    <w:p w:rsidR="00B86BD8" w:rsidRDefault="00B86BD8" w:rsidP="00BA71F0">
      <w:pPr>
        <w:rPr>
          <w:noProof/>
        </w:rPr>
      </w:pPr>
      <w:r w:rsidRPr="00E03AE3">
        <w:rPr>
          <w:noProof/>
        </w:rPr>
        <w:lastRenderedPageBreak/>
        <w:t xml:space="preserve"> </w:t>
      </w:r>
      <w:r>
        <w:rPr>
          <w:noProof/>
        </w:rPr>
        <w:drawing>
          <wp:inline distT="0" distB="0" distL="0" distR="0" wp14:anchorId="311D1846" wp14:editId="4438FBA3">
            <wp:extent cx="3730336" cy="2597728"/>
            <wp:effectExtent l="0" t="0" r="3810" b="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noProof/>
        </w:rPr>
        <w:drawing>
          <wp:inline distT="0" distB="0" distL="0" distR="0" wp14:anchorId="68521BB2" wp14:editId="30FD5AD3">
            <wp:extent cx="4229100" cy="2608118"/>
            <wp:effectExtent l="0" t="0" r="0" b="1905"/>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B86BD8" w:rsidRDefault="00B86BD8" w:rsidP="00BA71F0">
      <w:pPr>
        <w:rPr>
          <w:noProof/>
        </w:rPr>
      </w:pPr>
    </w:p>
    <w:p w:rsidR="00B86BD8" w:rsidRDefault="00B86BD8" w:rsidP="00BA71F0">
      <w:r>
        <w:t>Scenario 1                                                                                                   Scenario 2</w:t>
      </w:r>
    </w:p>
    <w:p w:rsidR="00B86BD8" w:rsidRDefault="00B86BD8" w:rsidP="00BA71F0">
      <w:r w:rsidRPr="00BF4B38">
        <w:rPr>
          <w:noProof/>
        </w:rPr>
        <w:t xml:space="preserve"> </w:t>
      </w:r>
    </w:p>
    <w:p w:rsidR="00B86BD8" w:rsidRDefault="00B86BD8" w:rsidP="00BA71F0">
      <w:pPr>
        <w:pStyle w:val="Caption"/>
        <w:rPr>
          <w:szCs w:val="22"/>
        </w:rPr>
      </w:pPr>
      <w:r>
        <w:t xml:space="preserve">Figure 41. </w:t>
      </w:r>
      <w:r w:rsidRPr="00B01DE5">
        <w:rPr>
          <w:szCs w:val="22"/>
        </w:rPr>
        <w:t>Bubble plot</w:t>
      </w:r>
      <w:r>
        <w:rPr>
          <w:szCs w:val="22"/>
        </w:rPr>
        <w:t>s</w:t>
      </w:r>
      <w:r w:rsidRPr="00B01DE5">
        <w:rPr>
          <w:szCs w:val="22"/>
        </w:rPr>
        <w:t xml:space="preserve"> of st</w:t>
      </w:r>
      <w:r>
        <w:rPr>
          <w:szCs w:val="22"/>
        </w:rPr>
        <w:t>andardized residuals of total catch</w:t>
      </w:r>
      <w:r w:rsidRPr="00B01DE5">
        <w:rPr>
          <w:szCs w:val="22"/>
        </w:rPr>
        <w:t xml:space="preserve"> length composition for </w:t>
      </w:r>
      <w:r>
        <w:rPr>
          <w:szCs w:val="22"/>
        </w:rPr>
        <w:t>scenarios 1 and 2 for WAG golden king crab, 1990/91–</w:t>
      </w:r>
      <w:r w:rsidRPr="00B01DE5">
        <w:rPr>
          <w:szCs w:val="22"/>
        </w:rPr>
        <w:t>20</w:t>
      </w:r>
      <w:r>
        <w:rPr>
          <w:szCs w:val="22"/>
        </w:rPr>
        <w:t>12/13</w:t>
      </w:r>
      <w:r w:rsidRPr="00B01DE5">
        <w:rPr>
          <w:szCs w:val="22"/>
        </w:rPr>
        <w:t>.</w:t>
      </w:r>
    </w:p>
    <w:p w:rsidR="00B86BD8" w:rsidRDefault="00B86BD8" w:rsidP="00BA71F0">
      <w:pPr>
        <w:sectPr w:rsidR="00B86BD8" w:rsidSect="00093FDC">
          <w:pgSz w:w="15840" w:h="12240" w:orient="landscape" w:code="1"/>
          <w:pgMar w:top="1800" w:right="1440" w:bottom="1800" w:left="1440" w:header="720" w:footer="720" w:gutter="0"/>
          <w:cols w:space="720"/>
          <w:docGrid w:linePitch="360"/>
        </w:sectPr>
      </w:pPr>
    </w:p>
    <w:p w:rsidR="00B86BD8" w:rsidRDefault="00B86BD8" w:rsidP="00BA71F0">
      <w:r>
        <w:rPr>
          <w:noProof/>
        </w:rPr>
        <w:lastRenderedPageBreak/>
        <w:drawing>
          <wp:anchor distT="0" distB="0" distL="114300" distR="114300" simplePos="0" relativeHeight="251660288" behindDoc="1" locked="0" layoutInCell="1" allowOverlap="1" wp14:anchorId="2750CB20" wp14:editId="618D413F">
            <wp:simplePos x="0" y="0"/>
            <wp:positionH relativeFrom="column">
              <wp:posOffset>66675</wp:posOffset>
            </wp:positionH>
            <wp:positionV relativeFrom="paragraph">
              <wp:posOffset>123190</wp:posOffset>
            </wp:positionV>
            <wp:extent cx="7315200" cy="4114800"/>
            <wp:effectExtent l="0" t="0" r="0" b="0"/>
            <wp:wrapTopAndBottom/>
            <wp:docPr id="137" name="Picture 137" descr="C:\Users\ssiddeek\Documents\MAY2014CPT\AssessmentMaterialsUpdatedNNfiles\Adak9512TagRec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C:\Users\ssiddeek\Documents\MAY2014CPT\AssessmentMaterialsUpdatedNNfiles\Adak9512TagRecNN.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BD8" w:rsidRDefault="00B86BD8" w:rsidP="00BA71F0">
      <w:r>
        <w:t>Figure 42. Observed tag recaptures (open circle) vs. predicted tag recaptures (solid line) by size bin for scenarios 1 and 2 fits of WAG golden king crab data.</w:t>
      </w:r>
    </w:p>
    <w:p w:rsidR="00B86BD8" w:rsidRDefault="00B86BD8" w:rsidP="00BA71F0"/>
    <w:p w:rsidR="00B86BD8" w:rsidRDefault="00B86BD8" w:rsidP="00BA71F0"/>
    <w:p w:rsidR="00B86BD8" w:rsidRDefault="00B86BD8" w:rsidP="00BA71F0">
      <w:r>
        <w:lastRenderedPageBreak/>
        <w:t>.</w:t>
      </w:r>
      <w:r>
        <w:rPr>
          <w:noProof/>
        </w:rPr>
        <w:drawing>
          <wp:inline distT="0" distB="0" distL="0" distR="0" wp14:anchorId="6D912FE4" wp14:editId="75E7326A">
            <wp:extent cx="7315200" cy="4114800"/>
            <wp:effectExtent l="0" t="0" r="0" b="0"/>
            <wp:docPr id="138" name="Picture 138" descr="C:\Users\ssiddeek\Documents\MAY2014CPT\AssessmentMaterialsUpdatedNNfiles\Adak9512CPU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C:\Users\ssiddeek\Documents\MAY2014CPT\AssessmentMaterialsUpdatedNNfiles\Adak9512CPUENN.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B86BD8" w:rsidRDefault="00B86BD8" w:rsidP="00BA71F0">
      <w:pPr>
        <w:pStyle w:val="Caption"/>
        <w:rPr>
          <w:szCs w:val="22"/>
        </w:rPr>
      </w:pPr>
      <w:r>
        <w:t>Figure 43. Comparison of input CPUE indices (open circles with two standard errors) with predicted CPUE indices (colored solid lines) for scenarios 1 and 2 for WAG golden king crab data.</w:t>
      </w:r>
      <w:r w:rsidRPr="00300763">
        <w:rPr>
          <w:szCs w:val="22"/>
        </w:rPr>
        <w:t xml:space="preserve"> </w:t>
      </w:r>
      <w:r>
        <w:rPr>
          <w:szCs w:val="22"/>
        </w:rPr>
        <w:t>1995/96–</w:t>
      </w:r>
      <w:r w:rsidRPr="00B01DE5">
        <w:rPr>
          <w:szCs w:val="22"/>
        </w:rPr>
        <w:t>20</w:t>
      </w:r>
      <w:r>
        <w:rPr>
          <w:szCs w:val="22"/>
        </w:rPr>
        <w:t>12/13</w:t>
      </w:r>
      <w:r w:rsidRPr="00B01DE5">
        <w:rPr>
          <w:szCs w:val="22"/>
        </w:rPr>
        <w:t>.</w:t>
      </w:r>
    </w:p>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r w:rsidRPr="00F15E1A">
        <w:rPr>
          <w:noProof/>
        </w:rPr>
        <w:lastRenderedPageBreak/>
        <w:t xml:space="preserve"> </w:t>
      </w:r>
      <w:r>
        <w:rPr>
          <w:noProof/>
        </w:rPr>
        <w:drawing>
          <wp:inline distT="0" distB="0" distL="0" distR="0" wp14:anchorId="4185FEA0" wp14:editId="4C860C2D">
            <wp:extent cx="3844636" cy="2369127"/>
            <wp:effectExtent l="0" t="0" r="3810" b="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noProof/>
        </w:rPr>
        <w:drawing>
          <wp:inline distT="0" distB="0" distL="0" distR="0" wp14:anchorId="5BF72EED" wp14:editId="34D0101E">
            <wp:extent cx="3875809" cy="2348345"/>
            <wp:effectExtent l="0" t="0" r="0" b="0"/>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86BD8" w:rsidRDefault="00B86BD8" w:rsidP="00BA71F0">
      <w:r>
        <w:t xml:space="preserve">                       Scenario 1</w:t>
      </w:r>
      <w:r>
        <w:tab/>
      </w:r>
      <w:r>
        <w:tab/>
      </w:r>
      <w:r>
        <w:tab/>
      </w:r>
      <w:r>
        <w:tab/>
      </w:r>
      <w:r>
        <w:tab/>
      </w:r>
      <w:r>
        <w:tab/>
      </w:r>
      <w:r>
        <w:tab/>
        <w:t xml:space="preserve">          Scenario 2</w:t>
      </w:r>
    </w:p>
    <w:p w:rsidR="00B86BD8" w:rsidRDefault="00B86BD8" w:rsidP="00BA71F0"/>
    <w:p w:rsidR="00B86BD8" w:rsidRDefault="00B86BD8" w:rsidP="00BA71F0">
      <w:pPr>
        <w:pStyle w:val="Caption"/>
        <w:rPr>
          <w:szCs w:val="22"/>
        </w:rPr>
      </w:pPr>
      <w:r>
        <w:t xml:space="preserve">Figure 44. </w:t>
      </w:r>
      <w:r w:rsidRPr="00B01DE5">
        <w:rPr>
          <w:szCs w:val="22"/>
        </w:rPr>
        <w:t xml:space="preserve">Estimated number of male recruits (millions of crabs ≥ 101 mm CL) to the golden king crab </w:t>
      </w:r>
      <w:r>
        <w:rPr>
          <w:szCs w:val="22"/>
        </w:rPr>
        <w:t>assessment model for scenarios 1 and 2  in WAG</w:t>
      </w:r>
      <w:r w:rsidRPr="00B01DE5">
        <w:rPr>
          <w:szCs w:val="22"/>
        </w:rPr>
        <w:t>, 19</w:t>
      </w:r>
      <w:r>
        <w:rPr>
          <w:szCs w:val="22"/>
        </w:rPr>
        <w:t>86–2013</w:t>
      </w:r>
      <w:r w:rsidRPr="00B01DE5">
        <w:rPr>
          <w:szCs w:val="22"/>
        </w:rPr>
        <w:t>.</w:t>
      </w:r>
    </w:p>
    <w:p w:rsidR="00B86BD8" w:rsidRDefault="00B86BD8" w:rsidP="00BA71F0">
      <w:r>
        <w:rPr>
          <w:noProof/>
        </w:rPr>
        <w:lastRenderedPageBreak/>
        <w:drawing>
          <wp:inline distT="0" distB="0" distL="0" distR="0" wp14:anchorId="7AE5B2CD" wp14:editId="59096D04">
            <wp:extent cx="3771900" cy="3127664"/>
            <wp:effectExtent l="0" t="0" r="0"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noProof/>
        </w:rPr>
        <w:drawing>
          <wp:inline distT="0" distB="0" distL="0" distR="0" wp14:anchorId="1E17B47E" wp14:editId="0E73F6DB">
            <wp:extent cx="3605645" cy="3096491"/>
            <wp:effectExtent l="0" t="0" r="0" b="889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86BD8" w:rsidRDefault="00B86BD8" w:rsidP="00BA71F0">
      <w:r w:rsidRPr="00E539C0">
        <w:rPr>
          <w:noProof/>
        </w:rPr>
        <w:t xml:space="preserve"> </w:t>
      </w:r>
    </w:p>
    <w:p w:rsidR="00B86BD8" w:rsidRDefault="00B86BD8" w:rsidP="00BA71F0">
      <w:r>
        <w:t xml:space="preserve">      </w:t>
      </w:r>
      <w:r w:rsidRPr="00E539C0">
        <w:t>Scenario 1</w:t>
      </w:r>
      <w:r>
        <w:tab/>
      </w:r>
      <w:r>
        <w:tab/>
      </w:r>
      <w:r>
        <w:tab/>
      </w:r>
      <w:r>
        <w:tab/>
      </w:r>
      <w:r>
        <w:tab/>
      </w:r>
      <w:r>
        <w:tab/>
        <w:t xml:space="preserve">                                    Scenario 2</w:t>
      </w:r>
    </w:p>
    <w:p w:rsidR="00B86BD8" w:rsidRDefault="00B86BD8" w:rsidP="00BA71F0">
      <w:r w:rsidRPr="003C39C3">
        <w:rPr>
          <w:noProof/>
        </w:rPr>
        <w:t xml:space="preserve"> </w:t>
      </w:r>
    </w:p>
    <w:p w:rsidR="00B86BD8" w:rsidRPr="007B604A" w:rsidRDefault="00B86BD8" w:rsidP="00BA71F0">
      <w:pPr>
        <w:pStyle w:val="Caption"/>
        <w:rPr>
          <w:szCs w:val="22"/>
        </w:rPr>
      </w:pPr>
      <w:r>
        <w:t xml:space="preserve">Figure 45. </w:t>
      </w:r>
      <w:r>
        <w:rPr>
          <w:szCs w:val="22"/>
        </w:rPr>
        <w:t xml:space="preserve">Recruit distribution </w:t>
      </w:r>
      <w:r w:rsidRPr="00B01DE5">
        <w:rPr>
          <w:szCs w:val="22"/>
        </w:rPr>
        <w:t xml:space="preserve">to the golden king crab </w:t>
      </w:r>
      <w:r>
        <w:rPr>
          <w:szCs w:val="22"/>
        </w:rPr>
        <w:t>assessment model size group for scenarios 1 and 2 in WAG</w:t>
      </w:r>
      <w:r w:rsidRPr="00B01DE5">
        <w:rPr>
          <w:szCs w:val="22"/>
        </w:rPr>
        <w:t>.</w:t>
      </w:r>
    </w:p>
    <w:p w:rsidR="00B86BD8" w:rsidRDefault="00B86BD8" w:rsidP="00BA71F0"/>
    <w:p w:rsidR="00B86BD8" w:rsidRDefault="00B86BD8" w:rsidP="00BA71F0">
      <w:r>
        <w:rPr>
          <w:noProof/>
        </w:rPr>
        <w:lastRenderedPageBreak/>
        <w:drawing>
          <wp:inline distT="0" distB="0" distL="0" distR="0" wp14:anchorId="408BD485" wp14:editId="4F64D5E5">
            <wp:extent cx="7315200" cy="4114800"/>
            <wp:effectExtent l="0" t="0" r="0" b="0"/>
            <wp:docPr id="143" name="Picture 143" descr="C:\Users\ssiddeek\Documents\MAY2014CPT\AssessmentMaterialsUpdatedNNfiles\Adak8512MMB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C:\Users\ssiddeek\Documents\MAY2014CPT\AssessmentMaterialsUpdatedNNfiles\Adak8512MMBNN.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B86BD8" w:rsidRPr="00E539C0" w:rsidRDefault="00B86BD8" w:rsidP="00BA71F0"/>
    <w:p w:rsidR="00B86BD8" w:rsidRDefault="00B86BD8" w:rsidP="00BA71F0">
      <w:pPr>
        <w:pStyle w:val="Caption"/>
        <w:rPr>
          <w:szCs w:val="22"/>
        </w:rPr>
      </w:pPr>
      <w:r>
        <w:t xml:space="preserve">Figure 46. </w:t>
      </w:r>
      <w:r w:rsidRPr="00D8226C">
        <w:rPr>
          <w:szCs w:val="22"/>
        </w:rPr>
        <w:t>Trends in golden king c</w:t>
      </w:r>
      <w:r>
        <w:rPr>
          <w:szCs w:val="22"/>
        </w:rPr>
        <w:t>rab mature</w:t>
      </w:r>
      <w:r w:rsidRPr="00D8226C">
        <w:rPr>
          <w:szCs w:val="22"/>
        </w:rPr>
        <w:t xml:space="preserve"> </w:t>
      </w:r>
      <w:r>
        <w:rPr>
          <w:szCs w:val="22"/>
        </w:rPr>
        <w:t xml:space="preserve">male biomass for scenarios 1 and 2 </w:t>
      </w:r>
      <w:r w:rsidRPr="00D8226C">
        <w:rPr>
          <w:szCs w:val="22"/>
        </w:rPr>
        <w:t xml:space="preserve">in the </w:t>
      </w:r>
      <w:r>
        <w:rPr>
          <w:szCs w:val="22"/>
        </w:rPr>
        <w:t>WAG</w:t>
      </w:r>
      <w:r w:rsidRPr="00D8226C">
        <w:rPr>
          <w:szCs w:val="22"/>
        </w:rPr>
        <w:t>, 1985</w:t>
      </w:r>
      <w:r>
        <w:rPr>
          <w:szCs w:val="22"/>
        </w:rPr>
        <w:t>/86–</w:t>
      </w:r>
      <w:r w:rsidRPr="00D8226C">
        <w:rPr>
          <w:szCs w:val="22"/>
        </w:rPr>
        <w:t>20</w:t>
      </w:r>
      <w:r>
        <w:rPr>
          <w:szCs w:val="22"/>
        </w:rPr>
        <w:t>12/13. M</w:t>
      </w:r>
      <w:r w:rsidRPr="00D8226C">
        <w:rPr>
          <w:szCs w:val="22"/>
        </w:rPr>
        <w:t>ature male crabs are ≥ 121 mm CL.</w:t>
      </w:r>
      <w:r>
        <w:rPr>
          <w:szCs w:val="22"/>
        </w:rPr>
        <w:t xml:space="preserve"> Estimates have one standard error confidence limits.</w:t>
      </w:r>
    </w:p>
    <w:p w:rsidR="00B86BD8" w:rsidRDefault="00B86BD8" w:rsidP="00BA71F0"/>
    <w:p w:rsidR="00B86BD8" w:rsidRDefault="00B86BD8" w:rsidP="00BA71F0"/>
    <w:p w:rsidR="00B86BD8" w:rsidRDefault="00B86BD8" w:rsidP="00BA71F0"/>
    <w:p w:rsidR="00B86BD8" w:rsidRDefault="00B86BD8" w:rsidP="00BA71F0"/>
    <w:p w:rsidR="00B86BD8" w:rsidRDefault="00B86BD8" w:rsidP="00BA71F0">
      <w:pPr>
        <w:pStyle w:val="Caption"/>
      </w:pPr>
      <w:r>
        <w:rPr>
          <w:noProof/>
        </w:rPr>
        <w:lastRenderedPageBreak/>
        <w:drawing>
          <wp:inline distT="0" distB="0" distL="0" distR="0" wp14:anchorId="6A6E9B63" wp14:editId="304C2611">
            <wp:extent cx="7315200" cy="4114800"/>
            <wp:effectExtent l="0" t="0" r="0" b="0"/>
            <wp:docPr id="144" name="Picture 144" descr="C:\Users\ssiddeek\Documents\MAY2014CPT\AssessmentMaterialsUpdatedNNfiles\Adak8512LMB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C:\Users\ssiddeek\Documents\MAY2014CPT\AssessmentMaterialsUpdatedNNfiles\Adak8512LMBNN.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B86BD8" w:rsidRDefault="00B86BD8" w:rsidP="00867894">
      <w:pPr>
        <w:pStyle w:val="Caption"/>
        <w:rPr>
          <w:szCs w:val="22"/>
        </w:rPr>
      </w:pPr>
      <w:r>
        <w:t xml:space="preserve">Figure 47. </w:t>
      </w:r>
      <w:r w:rsidRPr="00D8226C">
        <w:rPr>
          <w:szCs w:val="22"/>
        </w:rPr>
        <w:t>Trends in golden king c</w:t>
      </w:r>
      <w:r>
        <w:rPr>
          <w:szCs w:val="22"/>
        </w:rPr>
        <w:t>rab legal</w:t>
      </w:r>
      <w:r w:rsidRPr="00D8226C">
        <w:rPr>
          <w:szCs w:val="22"/>
        </w:rPr>
        <w:t xml:space="preserve"> </w:t>
      </w:r>
      <w:r>
        <w:rPr>
          <w:szCs w:val="22"/>
        </w:rPr>
        <w:t xml:space="preserve">male biomass for scenarios 1 and 2 </w:t>
      </w:r>
      <w:r w:rsidRPr="00D8226C">
        <w:rPr>
          <w:szCs w:val="22"/>
        </w:rPr>
        <w:t xml:space="preserve">in the </w:t>
      </w:r>
      <w:r>
        <w:rPr>
          <w:szCs w:val="22"/>
        </w:rPr>
        <w:t>WAG</w:t>
      </w:r>
      <w:r w:rsidRPr="00D8226C">
        <w:rPr>
          <w:szCs w:val="22"/>
        </w:rPr>
        <w:t>, 1985</w:t>
      </w:r>
      <w:r>
        <w:rPr>
          <w:szCs w:val="22"/>
        </w:rPr>
        <w:t>/86–</w:t>
      </w:r>
      <w:r w:rsidRPr="00D8226C">
        <w:rPr>
          <w:szCs w:val="22"/>
        </w:rPr>
        <w:t>20</w:t>
      </w:r>
      <w:r>
        <w:rPr>
          <w:szCs w:val="22"/>
        </w:rPr>
        <w:t>12/13. Legal male crabs are ≥ 136</w:t>
      </w:r>
      <w:r w:rsidRPr="00D8226C">
        <w:rPr>
          <w:szCs w:val="22"/>
        </w:rPr>
        <w:t xml:space="preserve"> mm CL.</w:t>
      </w:r>
      <w:r>
        <w:rPr>
          <w:szCs w:val="22"/>
        </w:rPr>
        <w:t xml:space="preserve"> Estimates have one standard error confidence limits.</w:t>
      </w:r>
    </w:p>
    <w:p w:rsidR="00B86BD8" w:rsidRDefault="00B86BD8" w:rsidP="00BA71F0">
      <w:pPr>
        <w:pStyle w:val="Caption"/>
        <w:rPr>
          <w:szCs w:val="22"/>
        </w:rPr>
      </w:pPr>
    </w:p>
    <w:p w:rsidR="00B86BD8" w:rsidRPr="004C1388" w:rsidRDefault="00B86BD8" w:rsidP="00BA71F0"/>
    <w:p w:rsidR="00B86BD8" w:rsidRDefault="00B86BD8" w:rsidP="00BA71F0"/>
    <w:p w:rsidR="00B86BD8" w:rsidRDefault="00B86BD8" w:rsidP="00BA71F0"/>
    <w:p w:rsidR="00B86BD8" w:rsidRDefault="00B86BD8" w:rsidP="00BA71F0">
      <w:r>
        <w:rPr>
          <w:noProof/>
        </w:rPr>
        <w:lastRenderedPageBreak/>
        <w:drawing>
          <wp:inline distT="0" distB="0" distL="0" distR="0" wp14:anchorId="0CB52419" wp14:editId="1C367819">
            <wp:extent cx="7315200" cy="4114800"/>
            <wp:effectExtent l="0" t="0" r="0" b="0"/>
            <wp:docPr id="145" name="Picture 145" descr="C:\Users\ssiddeek\Documents\MAY2014CPT\AssessmentMaterialsUpdatedNNfiles\Adak8512FishingMortality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C:\Users\ssiddeek\Documents\MAY2014CPT\AssessmentMaterialsUpdatedNNfiles\Adak8512FishingMortalityNN.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B86BD8" w:rsidRDefault="00B86BD8" w:rsidP="00BA71F0"/>
    <w:p w:rsidR="00B86BD8" w:rsidRDefault="00B86BD8" w:rsidP="00BA71F0">
      <w:pPr>
        <w:pStyle w:val="Caption"/>
        <w:rPr>
          <w:szCs w:val="22"/>
        </w:rPr>
      </w:pPr>
      <w:r>
        <w:t xml:space="preserve">Figure 48. </w:t>
      </w:r>
      <w:r w:rsidRPr="00D8226C">
        <w:rPr>
          <w:szCs w:val="22"/>
        </w:rPr>
        <w:t>Trend</w:t>
      </w:r>
      <w:r>
        <w:rPr>
          <w:szCs w:val="22"/>
        </w:rPr>
        <w:t xml:space="preserve">s in pot fishery full selection total </w:t>
      </w:r>
      <w:r w:rsidRPr="00D8226C">
        <w:rPr>
          <w:szCs w:val="22"/>
        </w:rPr>
        <w:t xml:space="preserve">fishing mortality of golden king crab </w:t>
      </w:r>
      <w:r>
        <w:rPr>
          <w:szCs w:val="22"/>
        </w:rPr>
        <w:t xml:space="preserve">for scenarios 1 and 2 </w:t>
      </w:r>
      <w:r w:rsidRPr="00D8226C">
        <w:rPr>
          <w:szCs w:val="22"/>
        </w:rPr>
        <w:t xml:space="preserve">in the </w:t>
      </w:r>
      <w:r>
        <w:rPr>
          <w:szCs w:val="22"/>
        </w:rPr>
        <w:t>WAG,</w:t>
      </w:r>
      <w:r w:rsidRPr="00D8226C">
        <w:rPr>
          <w:szCs w:val="22"/>
        </w:rPr>
        <w:t xml:space="preserve"> 1985</w:t>
      </w:r>
      <w:r>
        <w:rPr>
          <w:szCs w:val="22"/>
        </w:rPr>
        <w:t>–2012 (note: 1985 refers to the</w:t>
      </w:r>
      <w:r w:rsidRPr="00D8226C">
        <w:rPr>
          <w:szCs w:val="22"/>
        </w:rPr>
        <w:t>1985/86 fishery).</w:t>
      </w:r>
    </w:p>
    <w:p w:rsidR="00B86BD8" w:rsidRDefault="00B86BD8" w:rsidP="00BA71F0"/>
    <w:p w:rsidR="00B86BD8" w:rsidRDefault="00B86BD8" w:rsidP="00BA71F0"/>
    <w:p w:rsidR="00B86BD8" w:rsidRDefault="00B86BD8" w:rsidP="00BA71F0"/>
    <w:p w:rsidR="00B86BD8" w:rsidRDefault="00B86BD8" w:rsidP="00BA71F0"/>
    <w:p w:rsidR="00B86BD8" w:rsidRDefault="00B86BD8" w:rsidP="00BA71F0">
      <w:r>
        <w:rPr>
          <w:noProof/>
        </w:rPr>
        <w:lastRenderedPageBreak/>
        <w:drawing>
          <wp:inline distT="0" distB="0" distL="0" distR="0" wp14:anchorId="70AA2694" wp14:editId="4A96F141">
            <wp:extent cx="7315200" cy="2147581"/>
            <wp:effectExtent l="0" t="0" r="0" b="5080"/>
            <wp:docPr id="146" name="Picture 146" descr="C:\Users\ssiddeek\Documents\MAY2014CPT\AssessmentMaterialsUpdatedNNfiles\Adak8512RetCatch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C:\Users\ssiddeek\Documents\MAY2014CPT\AssessmentMaterialsUpdatedNNfiles\Adak8512RetCatchNN.jpg"/>
                    <pic:cNvPicPr>
                      <a:picLocks noChangeAspect="1" noChangeArrowheads="1"/>
                    </pic:cNvPicPr>
                  </pic:nvPicPr>
                  <pic:blipFill rotWithShape="1">
                    <a:blip r:embed="rId103">
                      <a:extLst>
                        <a:ext uri="{28A0092B-C50C-407E-A947-70E740481C1C}">
                          <a14:useLocalDpi xmlns:a14="http://schemas.microsoft.com/office/drawing/2010/main" val="0"/>
                        </a:ext>
                      </a:extLst>
                    </a:blip>
                    <a:srcRect b="44885"/>
                    <a:stretch/>
                  </pic:blipFill>
                  <pic:spPr bwMode="auto">
                    <a:xfrm>
                      <a:off x="0" y="0"/>
                      <a:ext cx="7315200" cy="2147581"/>
                    </a:xfrm>
                    <a:prstGeom prst="rect">
                      <a:avLst/>
                    </a:prstGeom>
                    <a:noFill/>
                    <a:ln>
                      <a:noFill/>
                    </a:ln>
                    <a:extLst>
                      <a:ext uri="{53640926-AAD7-44D8-BBD7-CCE9431645EC}">
                        <a14:shadowObscured xmlns:a14="http://schemas.microsoft.com/office/drawing/2010/main"/>
                      </a:ext>
                    </a:extLst>
                  </pic:spPr>
                </pic:pic>
              </a:graphicData>
            </a:graphic>
          </wp:inline>
        </w:drawing>
      </w:r>
    </w:p>
    <w:p w:rsidR="00B86BD8" w:rsidRDefault="00B86BD8" w:rsidP="00BA71F0">
      <w:pPr>
        <w:pStyle w:val="Caption"/>
        <w:rPr>
          <w:szCs w:val="22"/>
        </w:rPr>
      </w:pPr>
      <w:r>
        <w:t xml:space="preserve">Figure 49. </w:t>
      </w:r>
      <w:r>
        <w:rPr>
          <w:szCs w:val="22"/>
        </w:rPr>
        <w:t>Observed (filled circle) vs. predicted (solid line) retained catch of golden king crab for scenarios 1 to 4 in the WAG, 1985–2012</w:t>
      </w:r>
      <w:r w:rsidRPr="00D8226C">
        <w:rPr>
          <w:szCs w:val="22"/>
        </w:rPr>
        <w:t>.</w:t>
      </w:r>
      <w:r w:rsidRPr="00D90BDF">
        <w:rPr>
          <w:szCs w:val="22"/>
        </w:rPr>
        <w:t xml:space="preserve"> </w:t>
      </w:r>
      <w:r>
        <w:rPr>
          <w:szCs w:val="22"/>
        </w:rPr>
        <w:t>(note: 1985 refers to the</w:t>
      </w:r>
      <w:r w:rsidRPr="00D8226C">
        <w:rPr>
          <w:szCs w:val="22"/>
        </w:rPr>
        <w:t>1985/86 fishery).</w:t>
      </w:r>
    </w:p>
    <w:p w:rsidR="00B86BD8" w:rsidRDefault="00B86BD8" w:rsidP="00BA71F0">
      <w:pPr>
        <w:pStyle w:val="Caption"/>
        <w:rPr>
          <w:szCs w:val="22"/>
        </w:rPr>
      </w:pPr>
    </w:p>
    <w:p w:rsidR="00B86BD8" w:rsidRDefault="00B86BD8" w:rsidP="00BA71F0"/>
    <w:p w:rsidR="00B86BD8" w:rsidRDefault="00B86BD8" w:rsidP="00BA71F0"/>
    <w:p w:rsidR="00B86BD8" w:rsidRDefault="00B86BD8" w:rsidP="00BA71F0"/>
    <w:p w:rsidR="00B86BD8" w:rsidRDefault="00B86BD8" w:rsidP="00BA71F0"/>
    <w:p w:rsidR="00B86BD8" w:rsidRPr="00447821" w:rsidRDefault="00B86BD8" w:rsidP="00BA71F0">
      <w:r w:rsidRPr="00867894">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rPr>
        <w:drawing>
          <wp:inline distT="0" distB="0" distL="0" distR="0" wp14:anchorId="1BB21D43" wp14:editId="1B19543B">
            <wp:extent cx="7315200" cy="4114800"/>
            <wp:effectExtent l="0" t="0" r="0" b="0"/>
            <wp:docPr id="147" name="Picture 147" descr="C:\Users\ssiddeek\Documents\MAY2014CPT\AssessmentMaterialsUpdatedNNfiles\Adak8512TotalCatch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C:\Users\ssiddeek\Documents\MAY2014CPT\AssessmentMaterialsUpdatedNNfiles\Adak8512TotalCatchNN.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B86BD8" w:rsidRDefault="00B86BD8" w:rsidP="00BA71F0">
      <w:pPr>
        <w:pStyle w:val="Caption"/>
        <w:rPr>
          <w:szCs w:val="22"/>
        </w:rPr>
      </w:pPr>
      <w:r>
        <w:t xml:space="preserve">Figure 50. </w:t>
      </w:r>
      <w:r>
        <w:rPr>
          <w:szCs w:val="22"/>
        </w:rPr>
        <w:t>Observed (filled circle) vs. predicted (solid line) total catch of golden king crab for scenarios 1 and 2 in the WAG, 1990–2012</w:t>
      </w:r>
      <w:r w:rsidRPr="00D8226C">
        <w:rPr>
          <w:szCs w:val="22"/>
        </w:rPr>
        <w:t>.</w:t>
      </w:r>
      <w:r w:rsidRPr="00D90BDF">
        <w:rPr>
          <w:szCs w:val="22"/>
        </w:rPr>
        <w:t xml:space="preserve"> </w:t>
      </w:r>
      <w:r>
        <w:rPr>
          <w:szCs w:val="22"/>
        </w:rPr>
        <w:t>A handling mortality rate of  20% was applied to pot discarded catch and it was added to retained catch to get the total catch.</w:t>
      </w:r>
      <w:r w:rsidRPr="00AF2784">
        <w:rPr>
          <w:szCs w:val="22"/>
        </w:rPr>
        <w:t xml:space="preserve"> </w:t>
      </w:r>
      <w:r>
        <w:rPr>
          <w:szCs w:val="22"/>
        </w:rPr>
        <w:t>(note: 1990 refers to the</w:t>
      </w:r>
      <w:r w:rsidRPr="00D8226C">
        <w:rPr>
          <w:szCs w:val="22"/>
        </w:rPr>
        <w:t>19</w:t>
      </w:r>
      <w:r>
        <w:rPr>
          <w:szCs w:val="22"/>
        </w:rPr>
        <w:t>90/91</w:t>
      </w:r>
      <w:r w:rsidRPr="00D8226C">
        <w:rPr>
          <w:szCs w:val="22"/>
        </w:rPr>
        <w:t xml:space="preserve"> fishery).</w:t>
      </w:r>
    </w:p>
    <w:p w:rsidR="00B86BD8" w:rsidRDefault="00B86BD8" w:rsidP="00BA71F0"/>
    <w:p w:rsidR="00B86BD8" w:rsidRDefault="00B86BD8" w:rsidP="00BA71F0"/>
    <w:p w:rsidR="00B86BD8" w:rsidRDefault="00B86BD8" w:rsidP="00BA71F0"/>
    <w:p w:rsidR="00B86BD8" w:rsidRDefault="00B86BD8" w:rsidP="00BA71F0"/>
    <w:p w:rsidR="00B86BD8" w:rsidRPr="00A4730A" w:rsidRDefault="00B86BD8" w:rsidP="00BA71F0">
      <w:r w:rsidRPr="00867894">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rPr>
        <w:drawing>
          <wp:inline distT="0" distB="0" distL="0" distR="0" wp14:anchorId="35C11A73" wp14:editId="4C207E66">
            <wp:extent cx="7315200" cy="4114800"/>
            <wp:effectExtent l="0" t="0" r="0" b="0"/>
            <wp:docPr id="148" name="Picture 148" descr="C:\Users\ssiddeek\Documents\MAY2014CPT\AssessmentMaterialsUpdatedNNfiles\Adak8512GDiscardCatch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C:\Users\ssiddeek\Documents\MAY2014CPT\AssessmentMaterialsUpdatedNNfiles\Adak8512GDiscardCatchNN.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B86BD8" w:rsidRDefault="00B86BD8" w:rsidP="00BA71F0">
      <w:pPr>
        <w:pStyle w:val="Caption"/>
      </w:pPr>
      <w:r>
        <w:t xml:space="preserve">Figure 51. </w:t>
      </w:r>
      <w:r>
        <w:rPr>
          <w:szCs w:val="22"/>
        </w:rPr>
        <w:t>Observed (filled circle) vs. predicted (solid line) groundfish discarded catch of golden king crab for scenarios 1 and 2 in the WAG, 1990–2012</w:t>
      </w:r>
      <w:r w:rsidRPr="00D8226C">
        <w:rPr>
          <w:szCs w:val="22"/>
        </w:rPr>
        <w:t>.</w:t>
      </w:r>
      <w:r w:rsidRPr="00D90BDF">
        <w:rPr>
          <w:szCs w:val="22"/>
        </w:rPr>
        <w:t xml:space="preserve"> </w:t>
      </w:r>
      <w:r>
        <w:rPr>
          <w:szCs w:val="22"/>
        </w:rPr>
        <w:t>An average handling mortality rate of 65% (average of  80%  and 50%) was applied to groundfish discard.</w:t>
      </w:r>
      <w:r w:rsidRPr="00AF2784">
        <w:rPr>
          <w:szCs w:val="22"/>
        </w:rPr>
        <w:t xml:space="preserve"> </w:t>
      </w:r>
      <w:r>
        <w:rPr>
          <w:szCs w:val="22"/>
        </w:rPr>
        <w:t>(note: 1995 refers to the</w:t>
      </w:r>
      <w:r w:rsidRPr="00D8226C">
        <w:rPr>
          <w:szCs w:val="22"/>
        </w:rPr>
        <w:t>19</w:t>
      </w:r>
      <w:r>
        <w:rPr>
          <w:szCs w:val="22"/>
        </w:rPr>
        <w:t>9</w:t>
      </w:r>
      <w:r w:rsidRPr="00D8226C">
        <w:rPr>
          <w:szCs w:val="22"/>
        </w:rPr>
        <w:t>5/</w:t>
      </w:r>
      <w:r>
        <w:rPr>
          <w:szCs w:val="22"/>
        </w:rPr>
        <w:t>9</w:t>
      </w:r>
      <w:r w:rsidRPr="00D8226C">
        <w:rPr>
          <w:szCs w:val="22"/>
        </w:rPr>
        <w:t>6 fishery).</w:t>
      </w:r>
      <w:r>
        <w:br w:type="page"/>
      </w:r>
    </w:p>
    <w:p w:rsidR="00B86BD8" w:rsidRDefault="00B86BD8" w:rsidP="00BA71F0">
      <w:pPr>
        <w:rPr>
          <w:noProof/>
        </w:rPr>
      </w:pPr>
      <w:r w:rsidRPr="005332BD">
        <w:rPr>
          <w:noProof/>
        </w:rPr>
        <w:lastRenderedPageBreak/>
        <w:t xml:space="preserve">  </w:t>
      </w:r>
      <w:r>
        <w:rPr>
          <w:noProof/>
        </w:rPr>
        <w:drawing>
          <wp:inline distT="0" distB="0" distL="0" distR="0" wp14:anchorId="159DF9FB" wp14:editId="688BCD60">
            <wp:extent cx="4572000" cy="2840355"/>
            <wp:effectExtent l="0" t="0" r="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B86BD8" w:rsidRDefault="00B86BD8" w:rsidP="00BA71F0">
      <w:pPr>
        <w:rPr>
          <w:noProof/>
        </w:rPr>
      </w:pPr>
    </w:p>
    <w:p w:rsidR="00B86BD8" w:rsidRDefault="00B86BD8" w:rsidP="00BA71F0">
      <w:pPr>
        <w:rPr>
          <w:noProof/>
        </w:rPr>
      </w:pPr>
      <w:r>
        <w:rPr>
          <w:noProof/>
        </w:rPr>
        <w:tab/>
      </w:r>
      <w:r>
        <w:rPr>
          <w:noProof/>
        </w:rPr>
        <w:tab/>
      </w:r>
      <w:r>
        <w:rPr>
          <w:noProof/>
        </w:rPr>
        <w:tab/>
      </w:r>
      <w:r>
        <w:rPr>
          <w:noProof/>
        </w:rPr>
        <w:tab/>
      </w:r>
      <w:r>
        <w:rPr>
          <w:noProof/>
        </w:rPr>
        <w:tab/>
      </w:r>
      <w:r>
        <w:rPr>
          <w:noProof/>
        </w:rPr>
        <w:tab/>
      </w:r>
    </w:p>
    <w:p w:rsidR="00B86BD8" w:rsidRDefault="00B86BD8" w:rsidP="00BA71F0">
      <w:r>
        <w:t xml:space="preserve">Figure 52. Retrospective fits of mature male biomass by the model when terminal year’s data were systematically removed until 2008/09 for scenario 1 for </w:t>
      </w:r>
      <w:r w:rsidRPr="007124D8">
        <w:t>golde</w:t>
      </w:r>
      <w:r>
        <w:t>n king crab in the WAG, 1985</w:t>
      </w:r>
      <w:r w:rsidRPr="007124D8">
        <w:t>–2012.</w:t>
      </w:r>
      <w:r>
        <w:t xml:space="preserve"> </w:t>
      </w:r>
    </w:p>
    <w:p w:rsidR="00B86BD8" w:rsidRDefault="00B86BD8" w:rsidP="00BA71F0"/>
    <w:p w:rsidR="00B86BD8" w:rsidRDefault="00B86BD8" w:rsidP="00BA71F0"/>
    <w:p w:rsidR="00B86BD8" w:rsidRDefault="00B86BD8" w:rsidP="00BA71F0"/>
    <w:p w:rsidR="00B86BD8" w:rsidRDefault="00B86BD8" w:rsidP="00BA71F0">
      <w:pPr>
        <w:rPr>
          <w:noProof/>
        </w:rPr>
      </w:pPr>
    </w:p>
    <w:p w:rsidR="00B86BD8" w:rsidRDefault="00B86BD8" w:rsidP="00BA71F0">
      <w:pPr>
        <w:rPr>
          <w:noProof/>
        </w:rPr>
      </w:pPr>
    </w:p>
    <w:p w:rsidR="00B86BD8" w:rsidRDefault="00B86BD8" w:rsidP="00BA71F0">
      <w:pPr>
        <w:rPr>
          <w:noProof/>
        </w:rPr>
      </w:pPr>
    </w:p>
    <w:p w:rsidR="00B86BD8" w:rsidRDefault="00B86BD8" w:rsidP="00BA71F0">
      <w:pPr>
        <w:rPr>
          <w:noProof/>
        </w:rPr>
      </w:pPr>
    </w:p>
    <w:p w:rsidR="00B86BD8" w:rsidRDefault="00B86BD8" w:rsidP="00BA71F0">
      <w:pPr>
        <w:rPr>
          <w:noProof/>
        </w:rPr>
      </w:pPr>
    </w:p>
    <w:p w:rsidR="00B86BD8" w:rsidRDefault="00B86BD8" w:rsidP="00BA71F0">
      <w:pPr>
        <w:rPr>
          <w:noProof/>
        </w:rPr>
      </w:pPr>
    </w:p>
    <w:p w:rsidR="00B86BD8" w:rsidRDefault="00B86BD8" w:rsidP="00BA71F0">
      <w:pPr>
        <w:rPr>
          <w:noProof/>
        </w:rPr>
      </w:pPr>
    </w:p>
    <w:p w:rsidR="00B86BD8" w:rsidRDefault="00B86BD8" w:rsidP="00BA71F0">
      <w:pPr>
        <w:rPr>
          <w:noProof/>
        </w:rPr>
      </w:pPr>
    </w:p>
    <w:p w:rsidR="00B86BD8" w:rsidRDefault="00B86BD8" w:rsidP="00BA71F0">
      <w:pPr>
        <w:rPr>
          <w:noProof/>
        </w:rPr>
      </w:pPr>
    </w:p>
    <w:p w:rsidR="00B86BD8" w:rsidRDefault="00B86BD8" w:rsidP="00BA71F0">
      <w:pPr>
        <w:rPr>
          <w:noProof/>
        </w:rPr>
      </w:pPr>
    </w:p>
    <w:p w:rsidR="00B86BD8" w:rsidRDefault="00B86BD8" w:rsidP="00BA71F0">
      <w:pPr>
        <w:rPr>
          <w:noProof/>
        </w:rPr>
      </w:pPr>
    </w:p>
    <w:p w:rsidR="00B86BD8" w:rsidRDefault="00B86BD8" w:rsidP="00BA71F0"/>
    <w:p w:rsidR="00B86BD8" w:rsidRDefault="00B86BD8" w:rsidP="00BA71F0">
      <w:pPr>
        <w:spacing w:line="360" w:lineRule="auto"/>
      </w:pPr>
      <w:r w:rsidRPr="00FB4E2B">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77C13015" wp14:editId="495E94C8">
            <wp:extent cx="7315200" cy="4114800"/>
            <wp:effectExtent l="0" t="0" r="0" b="0"/>
            <wp:docPr id="150" name="Picture 150" descr="C:\Users\ssiddeek\Documents\MAY2014CPT\AssessmentMaterialsUpdatedNNfiles\Adak8512predtotalprofil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C:\Users\ssiddeek\Documents\MAY2014CPT\AssessmentMaterialsUpdatedNNfiles\Adak8512predtotalprofileNN.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B86BD8" w:rsidRDefault="00B86BD8" w:rsidP="00BA71F0">
      <w:r w:rsidRPr="00427457">
        <w:rPr>
          <w:szCs w:val="22"/>
        </w:rPr>
        <w:t xml:space="preserve">Figure </w:t>
      </w:r>
      <w:r>
        <w:rPr>
          <w:szCs w:val="22"/>
        </w:rPr>
        <w:t>53</w:t>
      </w:r>
      <w:r w:rsidRPr="00427457">
        <w:rPr>
          <w:szCs w:val="22"/>
        </w:rPr>
        <w:t xml:space="preserve">. </w:t>
      </w:r>
      <w:r>
        <w:rPr>
          <w:szCs w:val="22"/>
        </w:rPr>
        <w:t xml:space="preserve">Probability distribution of total </w:t>
      </w:r>
      <w:r w:rsidRPr="00D8226C">
        <w:rPr>
          <w:szCs w:val="22"/>
        </w:rPr>
        <w:t>OFL based on 1985</w:t>
      </w:r>
      <w:r>
        <w:rPr>
          <w:szCs w:val="22"/>
        </w:rPr>
        <w:t>–</w:t>
      </w:r>
      <w:r w:rsidRPr="00D8226C">
        <w:rPr>
          <w:szCs w:val="22"/>
        </w:rPr>
        <w:t>20</w:t>
      </w:r>
      <w:r>
        <w:rPr>
          <w:szCs w:val="22"/>
        </w:rPr>
        <w:t>12</w:t>
      </w:r>
      <w:r w:rsidRPr="00D8226C">
        <w:rPr>
          <w:szCs w:val="22"/>
        </w:rPr>
        <w:t xml:space="preserve"> data </w:t>
      </w:r>
      <w:r>
        <w:rPr>
          <w:szCs w:val="22"/>
        </w:rPr>
        <w:t xml:space="preserve">for scenarios 1 and 2 </w:t>
      </w:r>
      <w:r w:rsidRPr="00D8226C">
        <w:rPr>
          <w:szCs w:val="22"/>
        </w:rPr>
        <w:t xml:space="preserve">for </w:t>
      </w:r>
      <w:r>
        <w:rPr>
          <w:szCs w:val="22"/>
        </w:rPr>
        <w:t>WAG</w:t>
      </w:r>
      <w:r w:rsidRPr="00D8226C">
        <w:rPr>
          <w:szCs w:val="22"/>
        </w:rPr>
        <w:t xml:space="preserve"> golden king crab.</w:t>
      </w:r>
      <w:r>
        <w:rPr>
          <w:szCs w:val="22"/>
        </w:rPr>
        <w:t xml:space="preserve"> Profile likelihood was used to create the probability distribution.</w:t>
      </w:r>
    </w:p>
    <w:p w:rsidR="00B86BD8" w:rsidRDefault="00B86BD8" w:rsidP="00BA71F0">
      <w:pPr>
        <w:sectPr w:rsidR="00B86BD8" w:rsidSect="004854D9">
          <w:pgSz w:w="15840" w:h="12240" w:orient="landscape" w:code="1"/>
          <w:pgMar w:top="1800" w:right="1440" w:bottom="1800" w:left="1440" w:header="720" w:footer="720" w:gutter="0"/>
          <w:cols w:space="720"/>
          <w:docGrid w:linePitch="360"/>
        </w:sectPr>
      </w:pPr>
    </w:p>
    <w:p w:rsidR="00B86BD8" w:rsidRDefault="00B86BD8" w:rsidP="00BA71F0">
      <w:pPr>
        <w:rPr>
          <w:sz w:val="24"/>
          <w:szCs w:val="24"/>
        </w:rPr>
      </w:pPr>
      <w:r>
        <w:rPr>
          <w:sz w:val="24"/>
          <w:szCs w:val="24"/>
        </w:rPr>
        <w:lastRenderedPageBreak/>
        <w:t>A</w:t>
      </w:r>
      <w:r w:rsidRPr="00BD24E1">
        <w:rPr>
          <w:sz w:val="24"/>
          <w:szCs w:val="24"/>
        </w:rPr>
        <w:t xml:space="preserve">ppendix A:  Integrated  model </w:t>
      </w:r>
    </w:p>
    <w:p w:rsidR="00B86BD8" w:rsidRPr="00BD24E1" w:rsidRDefault="00B86BD8" w:rsidP="00BA71F0">
      <w:pPr>
        <w:rPr>
          <w:sz w:val="24"/>
          <w:szCs w:val="24"/>
        </w:rPr>
      </w:pPr>
    </w:p>
    <w:p w:rsidR="00B86BD8" w:rsidRPr="00BB0D61" w:rsidRDefault="00B86BD8" w:rsidP="00BA71F0">
      <w:pPr>
        <w:rPr>
          <w:sz w:val="22"/>
          <w:szCs w:val="22"/>
        </w:rPr>
      </w:pPr>
      <w:r w:rsidRPr="00BB0D61">
        <w:rPr>
          <w:sz w:val="22"/>
          <w:szCs w:val="22"/>
        </w:rPr>
        <w:t>Aleutian Islands Golden King Crab (</w:t>
      </w:r>
      <w:r w:rsidRPr="00BB0D61">
        <w:rPr>
          <w:i/>
          <w:sz w:val="22"/>
          <w:szCs w:val="22"/>
        </w:rPr>
        <w:t>Lithodes aequispinus</w:t>
      </w:r>
      <w:r w:rsidRPr="00BB0D61">
        <w:rPr>
          <w:sz w:val="22"/>
          <w:szCs w:val="22"/>
        </w:rPr>
        <w:t xml:space="preserve">) Stock Assessment Model Development- East of </w:t>
      </w:r>
      <w:r w:rsidRPr="001C6404">
        <w:rPr>
          <w:szCs w:val="24"/>
        </w:rPr>
        <w:t>174</w:t>
      </w:r>
      <w:r w:rsidRPr="001C6404">
        <w:rPr>
          <w:szCs w:val="24"/>
          <w:vertAlign w:val="superscript"/>
        </w:rPr>
        <w:sym w:font="Symbol" w:char="F0B0"/>
      </w:r>
      <w:r>
        <w:rPr>
          <w:szCs w:val="24"/>
        </w:rPr>
        <w:t>W</w:t>
      </w:r>
      <w:r w:rsidRPr="00BB0D61">
        <w:rPr>
          <w:sz w:val="22"/>
          <w:szCs w:val="22"/>
        </w:rPr>
        <w:t xml:space="preserve"> (EAG) and west of </w:t>
      </w:r>
      <w:r w:rsidRPr="001C6404">
        <w:rPr>
          <w:szCs w:val="24"/>
        </w:rPr>
        <w:t>174</w:t>
      </w:r>
      <w:r w:rsidRPr="001C6404">
        <w:rPr>
          <w:szCs w:val="24"/>
          <w:vertAlign w:val="superscript"/>
        </w:rPr>
        <w:sym w:font="Symbol" w:char="F0B0"/>
      </w:r>
      <w:r>
        <w:rPr>
          <w:szCs w:val="24"/>
        </w:rPr>
        <w:t>W</w:t>
      </w:r>
      <w:r w:rsidRPr="00BB0D61">
        <w:rPr>
          <w:sz w:val="22"/>
          <w:szCs w:val="22"/>
        </w:rPr>
        <w:t xml:space="preserve"> (WAG) Aleutian Island stocks</w:t>
      </w:r>
    </w:p>
    <w:p w:rsidR="00B86BD8" w:rsidRDefault="00B86BD8" w:rsidP="00BA71F0">
      <w:pPr>
        <w:rPr>
          <w:sz w:val="22"/>
          <w:szCs w:val="22"/>
        </w:rPr>
      </w:pPr>
    </w:p>
    <w:p w:rsidR="00B86BD8" w:rsidRPr="00D21EA7" w:rsidRDefault="00B86BD8" w:rsidP="00BA71F0">
      <w:pPr>
        <w:rPr>
          <w:b/>
          <w:sz w:val="22"/>
          <w:szCs w:val="22"/>
        </w:rPr>
      </w:pPr>
      <w:r w:rsidRPr="00D21EA7">
        <w:rPr>
          <w:b/>
          <w:sz w:val="22"/>
          <w:szCs w:val="22"/>
        </w:rPr>
        <w:t>Basic population dynamics</w:t>
      </w:r>
    </w:p>
    <w:p w:rsidR="00B86BD8" w:rsidRDefault="00B86BD8" w:rsidP="00BA71F0">
      <w:pPr>
        <w:rPr>
          <w:sz w:val="22"/>
          <w:szCs w:val="22"/>
        </w:rPr>
      </w:pPr>
      <w:r w:rsidRPr="00663265">
        <w:rPr>
          <w:sz w:val="22"/>
          <w:szCs w:val="22"/>
        </w:rPr>
        <w:t xml:space="preserve">The annual </w:t>
      </w:r>
      <w:r>
        <w:rPr>
          <w:sz w:val="22"/>
          <w:szCs w:val="22"/>
        </w:rPr>
        <w:t xml:space="preserve">[male] </w:t>
      </w:r>
      <w:r w:rsidRPr="00663265">
        <w:rPr>
          <w:sz w:val="22"/>
          <w:szCs w:val="22"/>
        </w:rPr>
        <w:t xml:space="preserve">abundances by size </w:t>
      </w:r>
      <w:r>
        <w:rPr>
          <w:sz w:val="22"/>
          <w:szCs w:val="22"/>
        </w:rPr>
        <w:t>a</w:t>
      </w:r>
      <w:r w:rsidRPr="00663265">
        <w:rPr>
          <w:sz w:val="22"/>
          <w:szCs w:val="22"/>
        </w:rPr>
        <w:t xml:space="preserve">re modeled </w:t>
      </w:r>
      <w:r>
        <w:rPr>
          <w:sz w:val="22"/>
          <w:szCs w:val="22"/>
        </w:rPr>
        <w:t xml:space="preserve"> using the equation:</w:t>
      </w:r>
    </w:p>
    <w:p w:rsidR="00B86BD8" w:rsidRPr="00663265" w:rsidRDefault="00B86BD8" w:rsidP="00BA71F0">
      <w:pPr>
        <w:rPr>
          <w:sz w:val="22"/>
          <w:szCs w:val="22"/>
        </w:rPr>
      </w:pPr>
    </w:p>
    <w:p w:rsidR="00B86BD8" w:rsidRDefault="009374C7" w:rsidP="00BA71F0">
      <w:pPr>
        <w:spacing w:before="120" w:after="120"/>
        <w:jc w:val="center"/>
        <w:rPr>
          <w:sz w:val="22"/>
          <w:szCs w:val="22"/>
        </w:rPr>
      </w:pP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t+1,j</m:t>
            </m:r>
          </m:sub>
        </m:sSub>
        <m:r>
          <w:rPr>
            <w:rFonts w:ascii="Cambria Math" w:hAnsi="Cambria Math"/>
            <w:sz w:val="22"/>
            <w:szCs w:val="22"/>
          </w:rPr>
          <m:t xml:space="preserve">= </m:t>
        </m:r>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j</m:t>
            </m:r>
          </m:sup>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t,i</m:t>
                </m:r>
              </m:sub>
            </m:sSub>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-M</m:t>
                </m:r>
              </m:sup>
            </m:sSup>
          </m:e>
        </m:nary>
        <m:r>
          <w:rPr>
            <w:rFonts w:ascii="Cambria Math" w:hAnsi="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C</m:t>
                </m:r>
              </m:e>
            </m:acc>
          </m:e>
          <m:sub>
            <m:r>
              <w:rPr>
                <w:rFonts w:ascii="Cambria Math" w:hAnsi="Cambria Math"/>
                <w:sz w:val="22"/>
                <w:szCs w:val="22"/>
              </w:rPr>
              <m:t>t,i</m:t>
            </m:r>
          </m:sub>
        </m:sSub>
        <m:r>
          <w:rPr>
            <w:rFonts w:ascii="Cambria Math" w:hAnsi="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D</m:t>
                </m:r>
              </m:e>
            </m:acc>
          </m:e>
          <m:sub>
            <m:r>
              <w:rPr>
                <w:rFonts w:ascii="Cambria Math" w:hAnsi="Cambria Math"/>
                <w:sz w:val="22"/>
                <w:szCs w:val="22"/>
              </w:rPr>
              <m:t>t,i</m:t>
            </m:r>
          </m:sub>
        </m:sSub>
        <m:r>
          <w:rPr>
            <w:rFonts w:ascii="Cambria Math" w:hAnsi="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Tr</m:t>
                </m:r>
              </m:e>
            </m:acc>
          </m:e>
          <m:sub>
            <m:r>
              <w:rPr>
                <w:rFonts w:ascii="Cambria Math" w:hAnsi="Cambria Math"/>
                <w:sz w:val="22"/>
                <w:szCs w:val="22"/>
              </w:rPr>
              <m:t>t,i</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e</m:t>
            </m:r>
          </m:e>
          <m: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-1</m:t>
                </m:r>
              </m:e>
            </m:d>
            <m:r>
              <w:rPr>
                <w:rFonts w:ascii="Cambria Math" w:hAnsi="Cambria Math"/>
                <w:sz w:val="22"/>
                <w:szCs w:val="22"/>
              </w:rPr>
              <m:t>M</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t+1,j</m:t>
            </m:r>
          </m:sub>
        </m:sSub>
      </m:oMath>
      <w:r w:rsidR="00B86BD8">
        <w:rPr>
          <w:sz w:val="22"/>
          <w:szCs w:val="22"/>
        </w:rPr>
        <w:t xml:space="preserve">                                    (1)</w:t>
      </w:r>
    </w:p>
    <w:p w:rsidR="00B86BD8" w:rsidRPr="00663265" w:rsidRDefault="00B86BD8" w:rsidP="00BA71F0">
      <w:pPr>
        <w:spacing w:before="120" w:after="120"/>
        <w:jc w:val="right"/>
        <w:rPr>
          <w:sz w:val="22"/>
          <w:szCs w:val="22"/>
        </w:rPr>
      </w:pPr>
    </w:p>
    <w:p w:rsidR="00B86BD8" w:rsidRDefault="00B86BD8" w:rsidP="00BA71F0">
      <w:pPr>
        <w:jc w:val="both"/>
        <w:rPr>
          <w:sz w:val="22"/>
          <w:szCs w:val="22"/>
        </w:rPr>
      </w:pPr>
      <w:r w:rsidRPr="00663265">
        <w:rPr>
          <w:sz w:val="22"/>
          <w:szCs w:val="22"/>
        </w:rPr>
        <w:t xml:space="preserve">where  </w:t>
      </w:r>
      <w:r w:rsidRPr="0064080E">
        <w:rPr>
          <w:position w:val="-12"/>
          <w:sz w:val="22"/>
          <w:szCs w:val="22"/>
        </w:rPr>
        <w:object w:dxaOrig="400" w:dyaOrig="360">
          <v:shape id="_x0000_i1037" type="#_x0000_t75" style="width:18.8pt;height:17.75pt" o:ole="">
            <v:imagedata r:id="rId108" o:title=""/>
          </v:shape>
          <o:OLEObject Type="Embed" ProgID="Equation.3" ShapeID="_x0000_i1037" DrawAspect="Content" ObjectID="_1460439710" r:id="rId109"/>
        </w:object>
      </w:r>
      <w:r>
        <w:rPr>
          <w:sz w:val="22"/>
          <w:szCs w:val="22"/>
        </w:rPr>
        <w:t xml:space="preserve"> is the number of [male] crab in</w:t>
      </w:r>
      <w:r w:rsidRPr="00663265">
        <w:rPr>
          <w:sz w:val="22"/>
          <w:szCs w:val="22"/>
        </w:rPr>
        <w:t xml:space="preserve"> length class </w:t>
      </w:r>
      <w:r>
        <w:rPr>
          <w:i/>
          <w:sz w:val="22"/>
          <w:szCs w:val="22"/>
        </w:rPr>
        <w:t xml:space="preserve">i </w:t>
      </w:r>
      <w:r w:rsidRPr="00663265">
        <w:rPr>
          <w:sz w:val="22"/>
          <w:szCs w:val="22"/>
        </w:rPr>
        <w:t xml:space="preserve">on 1 July (start of biological year coincided with mid survey time) </w:t>
      </w:r>
      <w:r>
        <w:rPr>
          <w:sz w:val="22"/>
          <w:szCs w:val="22"/>
        </w:rPr>
        <w:t>of</w:t>
      </w:r>
      <w:r w:rsidRPr="00663265">
        <w:rPr>
          <w:sz w:val="22"/>
          <w:szCs w:val="22"/>
        </w:rPr>
        <w:t xml:space="preserve"> year </w:t>
      </w:r>
      <w:r w:rsidRPr="00663265">
        <w:rPr>
          <w:i/>
          <w:sz w:val="22"/>
          <w:szCs w:val="22"/>
        </w:rPr>
        <w:t>t</w:t>
      </w:r>
      <w:r w:rsidRPr="00663265">
        <w:rPr>
          <w:sz w:val="22"/>
          <w:szCs w:val="22"/>
        </w:rPr>
        <w:t xml:space="preserve">; </w:t>
      </w:r>
      <w:r w:rsidRPr="0064080E">
        <w:rPr>
          <w:b/>
          <w:position w:val="-12"/>
          <w:sz w:val="28"/>
          <w:szCs w:val="28"/>
        </w:rPr>
        <w:object w:dxaOrig="360" w:dyaOrig="400">
          <v:shape id="_x0000_i1038" type="#_x0000_t75" style="width:17.75pt;height:18.8pt" o:ole="">
            <v:imagedata r:id="rId110" o:title=""/>
          </v:shape>
          <o:OLEObject Type="Embed" ProgID="Equation.3" ShapeID="_x0000_i1038" DrawAspect="Content" ObjectID="_1460439711" r:id="rId111"/>
        </w:object>
      </w:r>
      <w:r>
        <w:rPr>
          <w:sz w:val="22"/>
          <w:szCs w:val="22"/>
        </w:rPr>
        <w:t>,</w:t>
      </w:r>
      <w:r w:rsidRPr="007D7AE6">
        <w:rPr>
          <w:sz w:val="22"/>
          <w:szCs w:val="22"/>
        </w:rPr>
        <w:t xml:space="preserve"> </w:t>
      </w:r>
      <w:r w:rsidRPr="0064080E">
        <w:rPr>
          <w:position w:val="-12"/>
          <w:sz w:val="22"/>
          <w:szCs w:val="22"/>
        </w:rPr>
        <w:object w:dxaOrig="380" w:dyaOrig="400">
          <v:shape id="_x0000_i1039" type="#_x0000_t75" style="width:17.75pt;height:18.8pt" o:ole="">
            <v:imagedata r:id="rId112" o:title=""/>
          </v:shape>
          <o:OLEObject Type="Embed" ProgID="Equation.3" ShapeID="_x0000_i1039" DrawAspect="Content" ObjectID="_1460439712" r:id="rId113"/>
        </w:object>
      </w:r>
      <w:r>
        <w:rPr>
          <w:position w:val="-14"/>
          <w:sz w:val="22"/>
          <w:szCs w:val="22"/>
        </w:rPr>
        <w:t xml:space="preserve"> </w:t>
      </w:r>
      <w:r>
        <w:rPr>
          <w:sz w:val="22"/>
          <w:szCs w:val="22"/>
        </w:rPr>
        <w:t xml:space="preserve">, and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T</m:t>
                </m:r>
              </m:e>
            </m:acc>
            <m:r>
              <w:rPr>
                <w:rFonts w:ascii="Cambria Math" w:hAnsi="Cambria Math"/>
                <w:sz w:val="22"/>
                <w:szCs w:val="22"/>
              </w:rPr>
              <m:t>r</m:t>
            </m:r>
          </m:e>
          <m:sub>
            <m:r>
              <w:rPr>
                <w:rFonts w:ascii="Cambria Math" w:hAnsi="Cambria Math"/>
                <w:sz w:val="22"/>
                <w:szCs w:val="22"/>
              </w:rPr>
              <m:t>t,i</m:t>
            </m:r>
          </m:sub>
        </m:sSub>
      </m:oMath>
      <w:r>
        <w:rPr>
          <w:sz w:val="22"/>
          <w:szCs w:val="22"/>
        </w:rPr>
        <w:t xml:space="preserve">  </w:t>
      </w:r>
      <w:r>
        <w:t xml:space="preserve">are respectively the </w:t>
      </w:r>
      <w:r>
        <w:rPr>
          <w:sz w:val="22"/>
          <w:szCs w:val="22"/>
        </w:rPr>
        <w:t xml:space="preserve">predicted fishery retained, pot fishery </w:t>
      </w:r>
      <w:r w:rsidRPr="007D7AE6">
        <w:rPr>
          <w:sz w:val="22"/>
          <w:szCs w:val="22"/>
        </w:rPr>
        <w:t>discard dead</w:t>
      </w:r>
      <w:r>
        <w:rPr>
          <w:sz w:val="22"/>
          <w:szCs w:val="22"/>
        </w:rPr>
        <w:t xml:space="preserve">, and groundfish fishery discard dead </w:t>
      </w:r>
      <w:r w:rsidRPr="007D7AE6">
        <w:rPr>
          <w:sz w:val="22"/>
          <w:szCs w:val="22"/>
        </w:rPr>
        <w:t>catches</w:t>
      </w:r>
      <w:r>
        <w:rPr>
          <w:sz w:val="22"/>
          <w:szCs w:val="22"/>
        </w:rPr>
        <w:t xml:space="preserve"> </w:t>
      </w:r>
      <w:r w:rsidRPr="00663265">
        <w:rPr>
          <w:sz w:val="22"/>
          <w:szCs w:val="22"/>
        </w:rPr>
        <w:t xml:space="preserve">in length class </w:t>
      </w:r>
      <w:r>
        <w:rPr>
          <w:i/>
          <w:sz w:val="22"/>
          <w:szCs w:val="22"/>
        </w:rPr>
        <w:t>i</w:t>
      </w:r>
      <w:r w:rsidRPr="00663265">
        <w:rPr>
          <w:sz w:val="22"/>
          <w:szCs w:val="22"/>
        </w:rPr>
        <w:t xml:space="preserve"> </w:t>
      </w:r>
      <w:r>
        <w:rPr>
          <w:sz w:val="22"/>
          <w:szCs w:val="22"/>
        </w:rPr>
        <w:t>during</w:t>
      </w:r>
      <w:r w:rsidRPr="00663265">
        <w:rPr>
          <w:sz w:val="22"/>
          <w:szCs w:val="22"/>
        </w:rPr>
        <w:t xml:space="preserve"> year </w:t>
      </w:r>
      <w:r w:rsidRPr="00663265">
        <w:rPr>
          <w:i/>
          <w:sz w:val="22"/>
          <w:szCs w:val="22"/>
        </w:rPr>
        <w:t>t</w:t>
      </w:r>
      <w:r w:rsidRPr="00663265">
        <w:rPr>
          <w:sz w:val="22"/>
          <w:szCs w:val="22"/>
        </w:rPr>
        <w:t>;</w:t>
      </w:r>
      <w:r>
        <w:rPr>
          <w:sz w:val="22"/>
          <w:szCs w:val="22"/>
        </w:rPr>
        <w:t xml:space="preserve">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D</m:t>
                </m:r>
              </m:e>
            </m:acc>
          </m:e>
          <m:sub>
            <m:r>
              <w:rPr>
                <w:rFonts w:ascii="Cambria Math" w:hAnsi="Cambria Math"/>
                <w:sz w:val="22"/>
                <w:szCs w:val="22"/>
              </w:rPr>
              <m:t>t,i</m:t>
            </m:r>
          </m:sub>
        </m:sSub>
      </m:oMath>
      <w:r>
        <w:rPr>
          <w:sz w:val="22"/>
          <w:szCs w:val="22"/>
        </w:rPr>
        <w:t xml:space="preserve"> is estimated from the total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T</m:t>
                </m:r>
              </m:e>
            </m:acc>
          </m:e>
          <m:sub>
            <m:r>
              <w:rPr>
                <w:rFonts w:ascii="Cambria Math" w:hAnsi="Cambria Math"/>
                <w:sz w:val="22"/>
                <w:szCs w:val="22"/>
              </w:rPr>
              <m:t>t,i</m:t>
            </m:r>
          </m:sub>
        </m:sSub>
      </m:oMath>
      <w:r>
        <w:rPr>
          <w:sz w:val="22"/>
          <w:szCs w:val="22"/>
        </w:rPr>
        <w:t>) and the retained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T</m:t>
                </m:r>
              </m:e>
            </m:acc>
          </m:e>
          <m:sub>
            <m:r>
              <w:rPr>
                <w:rFonts w:ascii="Cambria Math" w:hAnsi="Cambria Math"/>
                <w:sz w:val="22"/>
                <w:szCs w:val="22"/>
              </w:rPr>
              <m:t>t,i</m:t>
            </m:r>
          </m:sub>
        </m:sSub>
      </m:oMath>
      <w:r>
        <w:rPr>
          <w:sz w:val="22"/>
          <w:szCs w:val="22"/>
        </w:rPr>
        <w:t xml:space="preserve">) catch by the equation (2c).  </w:t>
      </w:r>
      <w:r w:rsidRPr="00E03F31">
        <w:rPr>
          <w:position w:val="-14"/>
          <w:sz w:val="22"/>
          <w:szCs w:val="22"/>
        </w:rPr>
        <w:object w:dxaOrig="420" w:dyaOrig="380">
          <v:shape id="_x0000_i1040" type="#_x0000_t75" style="width:20.85pt;height:17.75pt" o:ole="">
            <v:imagedata r:id="rId114" o:title=""/>
          </v:shape>
          <o:OLEObject Type="Embed" ProgID="Equation.DSMT4" ShapeID="_x0000_i1040" DrawAspect="Content" ObjectID="_1460439713" r:id="rId115"/>
        </w:object>
      </w:r>
      <w:r>
        <w:rPr>
          <w:sz w:val="22"/>
          <w:szCs w:val="22"/>
        </w:rPr>
        <w:t xml:space="preserve"> is the probability in length-class </w:t>
      </w:r>
      <w:r w:rsidRPr="00E03F31">
        <w:rPr>
          <w:i/>
          <w:sz w:val="22"/>
          <w:szCs w:val="22"/>
        </w:rPr>
        <w:t>i</w:t>
      </w:r>
      <w:r>
        <w:rPr>
          <w:sz w:val="22"/>
          <w:szCs w:val="22"/>
        </w:rPr>
        <w:t xml:space="preserve"> growing into length-class </w:t>
      </w:r>
      <w:r w:rsidRPr="00E03F31">
        <w:rPr>
          <w:i/>
          <w:sz w:val="22"/>
          <w:szCs w:val="22"/>
        </w:rPr>
        <w:t>j</w:t>
      </w:r>
      <w:r>
        <w:rPr>
          <w:sz w:val="22"/>
          <w:szCs w:val="22"/>
        </w:rPr>
        <w:t xml:space="preserve"> during the year;</w:t>
      </w:r>
      <w:r w:rsidRPr="00663265">
        <w:rPr>
          <w:sz w:val="22"/>
          <w:szCs w:val="22"/>
        </w:rPr>
        <w:t xml:space="preserve"> </w:t>
      </w:r>
      <w:r w:rsidRPr="00663265">
        <w:rPr>
          <w:i/>
          <w:sz w:val="22"/>
          <w:szCs w:val="22"/>
        </w:rPr>
        <w:t>y</w:t>
      </w:r>
      <w:r w:rsidRPr="00663265">
        <w:rPr>
          <w:i/>
          <w:sz w:val="22"/>
          <w:szCs w:val="22"/>
          <w:vertAlign w:val="subscript"/>
        </w:rPr>
        <w:t>t</w:t>
      </w:r>
      <w:r w:rsidRPr="00663265">
        <w:rPr>
          <w:sz w:val="22"/>
          <w:szCs w:val="22"/>
          <w:vertAlign w:val="subscript"/>
        </w:rPr>
        <w:t xml:space="preserve"> </w:t>
      </w:r>
      <w:r w:rsidRPr="00663265">
        <w:rPr>
          <w:sz w:val="22"/>
          <w:szCs w:val="22"/>
        </w:rPr>
        <w:t xml:space="preserve"> is elapsed time period from 1 July to the mid –point of fishing period in year </w:t>
      </w:r>
      <w:r w:rsidRPr="00663265">
        <w:rPr>
          <w:i/>
          <w:sz w:val="22"/>
          <w:szCs w:val="22"/>
        </w:rPr>
        <w:t>t</w:t>
      </w:r>
      <w:r w:rsidRPr="00663265">
        <w:rPr>
          <w:sz w:val="22"/>
          <w:szCs w:val="22"/>
        </w:rPr>
        <w:t xml:space="preserve">; and </w:t>
      </w:r>
      <w:r w:rsidRPr="00663265">
        <w:rPr>
          <w:i/>
          <w:sz w:val="22"/>
          <w:szCs w:val="22"/>
        </w:rPr>
        <w:t xml:space="preserve">M </w:t>
      </w:r>
      <w:r w:rsidRPr="00663265">
        <w:rPr>
          <w:sz w:val="22"/>
          <w:szCs w:val="22"/>
        </w:rPr>
        <w:t xml:space="preserve">is instantaneous </w:t>
      </w:r>
      <w:r>
        <w:rPr>
          <w:sz w:val="22"/>
          <w:szCs w:val="22"/>
        </w:rPr>
        <w:t xml:space="preserve">rate of </w:t>
      </w:r>
      <w:r w:rsidRPr="00663265">
        <w:rPr>
          <w:sz w:val="22"/>
          <w:szCs w:val="22"/>
        </w:rPr>
        <w:t xml:space="preserve">natural mortality. </w:t>
      </w:r>
    </w:p>
    <w:p w:rsidR="00B86BD8" w:rsidRDefault="00B86BD8" w:rsidP="00BA71F0">
      <w:pPr>
        <w:jc w:val="both"/>
        <w:rPr>
          <w:sz w:val="22"/>
          <w:szCs w:val="22"/>
        </w:rPr>
      </w:pPr>
    </w:p>
    <w:p w:rsidR="00B86BD8" w:rsidRDefault="00B86BD8" w:rsidP="00BA71F0">
      <w:pPr>
        <w:ind w:firstLine="360"/>
        <w:jc w:val="both"/>
        <w:rPr>
          <w:sz w:val="22"/>
          <w:szCs w:val="22"/>
        </w:rPr>
      </w:pPr>
      <w:r>
        <w:rPr>
          <w:sz w:val="22"/>
          <w:szCs w:val="22"/>
        </w:rPr>
        <w:t>The catches are predicted using the equations</w:t>
      </w:r>
    </w:p>
    <w:p w:rsidR="00B86BD8" w:rsidRDefault="00B86BD8" w:rsidP="00BA71F0">
      <w:pPr>
        <w:ind w:firstLine="360"/>
        <w:jc w:val="both"/>
        <w:rPr>
          <w:sz w:val="22"/>
          <w:szCs w:val="22"/>
        </w:rPr>
      </w:pPr>
      <w:r>
        <w:rPr>
          <w:sz w:val="22"/>
          <w:szCs w:val="22"/>
        </w:rPr>
        <w:t xml:space="preserve"> </w:t>
      </w:r>
    </w:p>
    <w:p w:rsidR="00B86BD8" w:rsidRDefault="009374C7" w:rsidP="00BA71F0">
      <w:pPr>
        <w:ind w:firstLine="360"/>
        <w:jc w:val="both"/>
        <w:rPr>
          <w:sz w:val="22"/>
          <w:szCs w:val="22"/>
        </w:rPr>
      </w:pP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T</m:t>
                </m:r>
              </m:e>
            </m:acc>
          </m:e>
          <m:sub>
            <m:r>
              <w:rPr>
                <w:rFonts w:ascii="Cambria Math" w:hAnsi="Cambria Math"/>
                <w:sz w:val="22"/>
                <w:szCs w:val="22"/>
              </w:rPr>
              <m:t>t,j</m:t>
            </m:r>
          </m:sub>
        </m:sSub>
        <m:r>
          <w:rPr>
            <w:rFonts w:ascii="Cambria Math" w:hAnsi="Cambria Math"/>
            <w:sz w:val="22"/>
            <w:szCs w:val="22"/>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t</m:t>
                </m:r>
              </m:sub>
            </m:sSub>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t,j</m:t>
                </m:r>
              </m:sub>
              <m:sup>
                <m:r>
                  <w:rPr>
                    <w:rFonts w:ascii="Cambria Math" w:hAnsi="Cambria Math"/>
                    <w:sz w:val="22"/>
                    <w:szCs w:val="22"/>
                  </w:rPr>
                  <m:t>T</m:t>
                </m:r>
              </m:sup>
            </m:sSubSup>
          </m:num>
          <m:den>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t,j</m:t>
                </m:r>
              </m:sub>
            </m:sSub>
          </m:den>
        </m:f>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t,j</m:t>
            </m:r>
          </m:sub>
        </m:sSub>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M</m:t>
            </m:r>
          </m:sup>
        </m:sSup>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t,j</m:t>
                </m:r>
              </m:sub>
            </m:sSub>
          </m:sup>
        </m:sSup>
        <m:r>
          <w:rPr>
            <w:rFonts w:ascii="Cambria Math" w:hAnsi="Cambria Math"/>
            <w:sz w:val="22"/>
            <w:szCs w:val="22"/>
          </w:rPr>
          <m:t>)</m:t>
        </m:r>
      </m:oMath>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t xml:space="preserve">     (2a)</w:t>
      </w:r>
    </w:p>
    <w:p w:rsidR="00B86BD8" w:rsidRDefault="00B86BD8" w:rsidP="00BA71F0">
      <w:pPr>
        <w:ind w:firstLine="360"/>
        <w:jc w:val="both"/>
        <w:rPr>
          <w:sz w:val="22"/>
          <w:szCs w:val="22"/>
        </w:rPr>
      </w:pPr>
    </w:p>
    <w:p w:rsidR="00B86BD8" w:rsidRDefault="009374C7" w:rsidP="00BA71F0">
      <w:pPr>
        <w:ind w:firstLine="360"/>
        <w:jc w:val="both"/>
        <w:rPr>
          <w:sz w:val="22"/>
          <w:szCs w:val="22"/>
        </w:rPr>
      </w:pP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C</m:t>
                </m:r>
              </m:e>
            </m:acc>
          </m:e>
          <m:sub>
            <m:r>
              <w:rPr>
                <w:rFonts w:ascii="Cambria Math" w:hAnsi="Cambria Math"/>
                <w:sz w:val="22"/>
                <w:szCs w:val="22"/>
              </w:rPr>
              <m:t>t,j</m:t>
            </m:r>
          </m:sub>
        </m:sSub>
        <m:r>
          <w:rPr>
            <w:rFonts w:ascii="Cambria Math" w:hAnsi="Cambria Math"/>
            <w:sz w:val="22"/>
            <w:szCs w:val="22"/>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t</m:t>
                </m:r>
              </m:sub>
            </m:sSub>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t,j</m:t>
                </m:r>
              </m:sub>
              <m:sup>
                <m:r>
                  <w:rPr>
                    <w:rFonts w:ascii="Cambria Math" w:hAnsi="Cambria Math"/>
                    <w:sz w:val="22"/>
                    <w:szCs w:val="22"/>
                  </w:rPr>
                  <m:t>T</m:t>
                </m:r>
              </m:sup>
            </m:sSubSup>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t,j</m:t>
                </m:r>
              </m:sub>
              <m:sup>
                <m:r>
                  <w:rPr>
                    <w:rFonts w:ascii="Cambria Math" w:hAnsi="Cambria Math"/>
                    <w:sz w:val="22"/>
                    <w:szCs w:val="22"/>
                  </w:rPr>
                  <m:t>r</m:t>
                </m:r>
              </m:sup>
            </m:sSubSup>
          </m:num>
          <m:den>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t,j</m:t>
                </m:r>
              </m:sub>
            </m:sSub>
          </m:den>
        </m:f>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t,j</m:t>
            </m:r>
          </m:sub>
        </m:sSub>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M</m:t>
            </m:r>
          </m:sup>
        </m:sSup>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t,j</m:t>
                </m:r>
              </m:sub>
            </m:sSub>
          </m:sup>
        </m:sSup>
        <m:r>
          <w:rPr>
            <w:rFonts w:ascii="Cambria Math" w:hAnsi="Cambria Math"/>
            <w:sz w:val="22"/>
            <w:szCs w:val="22"/>
          </w:rPr>
          <m:t>)</m:t>
        </m:r>
      </m:oMath>
      <w:r w:rsidR="00B86BD8">
        <w:rPr>
          <w:sz w:val="22"/>
          <w:szCs w:val="22"/>
        </w:rPr>
        <w:t xml:space="preserve">                                                                                   (2b)</w:t>
      </w:r>
    </w:p>
    <w:p w:rsidR="00B86BD8" w:rsidRDefault="009374C7" w:rsidP="00BA71F0">
      <w:pPr>
        <w:ind w:firstLine="360"/>
        <w:jc w:val="both"/>
        <w:rPr>
          <w:sz w:val="22"/>
          <w:szCs w:val="22"/>
        </w:rPr>
      </w:pP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D</m:t>
                </m:r>
              </m:e>
            </m:acc>
          </m:e>
          <m:sub>
            <m:r>
              <w:rPr>
                <w:rFonts w:ascii="Cambria Math" w:hAnsi="Cambria Math"/>
                <w:sz w:val="22"/>
                <w:szCs w:val="22"/>
              </w:rPr>
              <m:t xml:space="preserve">t,j </m:t>
            </m:r>
          </m:sub>
        </m:sSub>
        <m:r>
          <w:rPr>
            <w:rFonts w:ascii="Cambria Math" w:hAnsi="Cambria Math"/>
            <w:sz w:val="22"/>
            <w:szCs w:val="22"/>
          </w:rPr>
          <m:t>= 0.2(</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T</m:t>
                </m:r>
              </m:e>
            </m:acc>
          </m:e>
          <m:sub>
            <m:r>
              <w:rPr>
                <w:rFonts w:ascii="Cambria Math" w:hAnsi="Cambria Math"/>
                <w:sz w:val="22"/>
                <w:szCs w:val="22"/>
              </w:rPr>
              <m:t>t,j</m:t>
            </m:r>
          </m:sub>
        </m:sSub>
        <m:r>
          <w:rPr>
            <w:rFonts w:ascii="Cambria Math" w:hAnsi="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C</m:t>
                </m:r>
              </m:e>
            </m:acc>
          </m:e>
          <m:sub>
            <m:r>
              <w:rPr>
                <w:rFonts w:ascii="Cambria Math" w:hAnsi="Cambria Math"/>
                <w:sz w:val="22"/>
                <w:szCs w:val="22"/>
              </w:rPr>
              <m:t>t,j</m:t>
            </m:r>
          </m:sub>
        </m:sSub>
        <m:r>
          <w:rPr>
            <w:rFonts w:ascii="Cambria Math" w:hAnsi="Cambria Math"/>
            <w:sz w:val="22"/>
            <w:szCs w:val="22"/>
          </w:rPr>
          <m:t>)</m:t>
        </m:r>
      </m:oMath>
      <w:r w:rsidR="00B86BD8">
        <w:rPr>
          <w:sz w:val="22"/>
          <w:szCs w:val="22"/>
        </w:rPr>
        <w:t xml:space="preserve"> </w:t>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t xml:space="preserve">      (2c)</w:t>
      </w:r>
    </w:p>
    <w:p w:rsidR="00B86BD8" w:rsidRDefault="00B86BD8" w:rsidP="00BA71F0">
      <w:pPr>
        <w:ind w:firstLine="360"/>
        <w:jc w:val="both"/>
        <w:rPr>
          <w:sz w:val="22"/>
          <w:szCs w:val="22"/>
        </w:rPr>
      </w:pPr>
    </w:p>
    <w:p w:rsidR="00B86BD8" w:rsidRDefault="00B86BD8" w:rsidP="00BA71F0">
      <w:pPr>
        <w:ind w:firstLine="360"/>
        <w:jc w:val="both"/>
        <w:rPr>
          <w:sz w:val="22"/>
          <w:szCs w:val="22"/>
        </w:rPr>
      </w:pPr>
    </w:p>
    <w:p w:rsidR="00B86BD8" w:rsidRDefault="009374C7" w:rsidP="00BA71F0">
      <w:pPr>
        <w:ind w:firstLine="360"/>
        <w:jc w:val="both"/>
        <w:rPr>
          <w:sz w:val="22"/>
          <w:szCs w:val="22"/>
        </w:rPr>
      </w:pP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Tr</m:t>
                </m:r>
              </m:e>
            </m:acc>
          </m:e>
          <m:sub>
            <m:r>
              <w:rPr>
                <w:rFonts w:ascii="Cambria Math" w:hAnsi="Cambria Math"/>
                <w:sz w:val="22"/>
                <w:szCs w:val="22"/>
              </w:rPr>
              <m:t>t,j</m:t>
            </m:r>
          </m:sub>
        </m:sSub>
        <m:r>
          <w:rPr>
            <w:rFonts w:ascii="Cambria Math" w:hAnsi="Cambria Math"/>
            <w:sz w:val="22"/>
            <w:szCs w:val="22"/>
          </w:rPr>
          <m:t>= 0.8</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hAnsi="Cambria Math"/>
                    <w:sz w:val="22"/>
                    <w:szCs w:val="22"/>
                  </w:rPr>
                  <m:t>F</m:t>
                </m:r>
              </m:e>
              <m:sub>
                <m:r>
                  <w:rPr>
                    <w:rFonts w:ascii="Cambria Math" w:hAnsi="Cambria Math"/>
                    <w:sz w:val="22"/>
                    <w:szCs w:val="22"/>
                  </w:rPr>
                  <m:t>t</m:t>
                </m:r>
              </m:sub>
              <m:sup>
                <m:r>
                  <w:rPr>
                    <w:rFonts w:ascii="Cambria Math" w:hAnsi="Cambria Math"/>
                    <w:sz w:val="22"/>
                    <w:szCs w:val="22"/>
                  </w:rPr>
                  <m:t>Tr</m:t>
                </m:r>
              </m:sup>
            </m:sSubSup>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j</m:t>
                </m:r>
              </m:sub>
              <m:sup>
                <m:r>
                  <w:rPr>
                    <w:rFonts w:ascii="Cambria Math" w:hAnsi="Cambria Math"/>
                    <w:sz w:val="22"/>
                    <w:szCs w:val="22"/>
                  </w:rPr>
                  <m:t>Tr</m:t>
                </m:r>
              </m:sup>
            </m:sSubSup>
          </m:num>
          <m:den>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t,j</m:t>
                </m:r>
              </m:sub>
            </m:sSub>
          </m:den>
        </m:f>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t,j</m:t>
            </m:r>
          </m:sub>
        </m:sSub>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M</m:t>
            </m:r>
          </m:sup>
        </m:sSup>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t,j</m:t>
                </m:r>
              </m:sub>
            </m:sSub>
          </m:sup>
        </m:sSup>
        <m:r>
          <w:rPr>
            <w:rFonts w:ascii="Cambria Math" w:hAnsi="Cambria Math"/>
            <w:sz w:val="22"/>
            <w:szCs w:val="22"/>
          </w:rPr>
          <m:t>)</m:t>
        </m:r>
      </m:oMath>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t xml:space="preserve">      (2d)</w:t>
      </w:r>
    </w:p>
    <w:p w:rsidR="00B86BD8" w:rsidRDefault="00B86BD8" w:rsidP="00BA71F0">
      <w:pPr>
        <w:rPr>
          <w:sz w:val="22"/>
          <w:szCs w:val="22"/>
        </w:rPr>
      </w:pPr>
    </w:p>
    <w:p w:rsidR="00B86BD8" w:rsidRDefault="00B86BD8" w:rsidP="00BA71F0">
      <w:pPr>
        <w:rPr>
          <w:sz w:val="22"/>
          <w:szCs w:val="22"/>
        </w:rPr>
      </w:pPr>
      <w:r>
        <w:rPr>
          <w:sz w:val="22"/>
          <w:szCs w:val="22"/>
        </w:rPr>
        <w:t xml:space="preserve">where </w:t>
      </w:r>
      <w:r w:rsidRPr="00BA59F5">
        <w:rPr>
          <w:position w:val="-14"/>
          <w:sz w:val="22"/>
          <w:szCs w:val="22"/>
        </w:rPr>
        <w:object w:dxaOrig="400" w:dyaOrig="380">
          <v:shape id="_x0000_i1041" type="#_x0000_t75" style="width:18.8pt;height:17.75pt" o:ole="">
            <v:imagedata r:id="rId116" o:title=""/>
          </v:shape>
          <o:OLEObject Type="Embed" ProgID="Equation.DSMT4" ShapeID="_x0000_i1041" DrawAspect="Content" ObjectID="_1460439714" r:id="rId117"/>
        </w:object>
      </w:r>
      <w:r>
        <w:rPr>
          <w:sz w:val="22"/>
          <w:szCs w:val="22"/>
        </w:rPr>
        <w:t xml:space="preserve">is total fishery-related mortality on animals in length-class </w:t>
      </w:r>
      <w:r w:rsidRPr="00BA59F5">
        <w:rPr>
          <w:i/>
          <w:sz w:val="22"/>
          <w:szCs w:val="22"/>
        </w:rPr>
        <w:t>j</w:t>
      </w:r>
      <w:r>
        <w:rPr>
          <w:sz w:val="22"/>
          <w:szCs w:val="22"/>
        </w:rPr>
        <w:t xml:space="preserve"> during year </w:t>
      </w:r>
      <w:r w:rsidRPr="00BA59F5">
        <w:rPr>
          <w:i/>
          <w:sz w:val="22"/>
          <w:szCs w:val="22"/>
        </w:rPr>
        <w:t>t</w:t>
      </w:r>
      <w:r>
        <w:rPr>
          <w:sz w:val="22"/>
          <w:szCs w:val="22"/>
        </w:rPr>
        <w:t>:</w:t>
      </w:r>
    </w:p>
    <w:p w:rsidR="00B86BD8" w:rsidRDefault="00B86BD8" w:rsidP="00BA71F0">
      <w:pPr>
        <w:rPr>
          <w:sz w:val="22"/>
          <w:szCs w:val="22"/>
        </w:rPr>
      </w:pPr>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t,j</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t</m:t>
            </m:r>
          </m:sub>
        </m:sSub>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t,j</m:t>
            </m:r>
          </m:sub>
          <m:sup>
            <m:r>
              <w:rPr>
                <w:rFonts w:ascii="Cambria Math" w:hAnsi="Cambria Math"/>
                <w:sz w:val="22"/>
                <w:szCs w:val="22"/>
              </w:rPr>
              <m:t>T</m:t>
            </m:r>
          </m:sup>
        </m:sSubSup>
        <m:r>
          <w:rPr>
            <w:rFonts w:ascii="Cambria Math" w:hAnsi="Cambria Math"/>
            <w:sz w:val="22"/>
            <w:szCs w:val="22"/>
          </w:rPr>
          <m:t xml:space="preserve">+ </m:t>
        </m:r>
        <m:sSubSup>
          <m:sSubSupPr>
            <m:ctrlPr>
              <w:rPr>
                <w:rFonts w:ascii="Cambria Math" w:hAnsi="Cambria Math"/>
                <w:i/>
                <w:sz w:val="22"/>
                <w:szCs w:val="22"/>
              </w:rPr>
            </m:ctrlPr>
          </m:sSubSupPr>
          <m:e>
            <m:r>
              <w:rPr>
                <w:rFonts w:ascii="Cambria Math" w:hAnsi="Cambria Math"/>
                <w:sz w:val="22"/>
                <w:szCs w:val="22"/>
              </w:rPr>
              <m:t>F</m:t>
            </m:r>
          </m:e>
          <m:sub>
            <m:r>
              <w:rPr>
                <w:rFonts w:ascii="Cambria Math" w:hAnsi="Cambria Math"/>
                <w:sz w:val="22"/>
                <w:szCs w:val="22"/>
              </w:rPr>
              <m:t>t</m:t>
            </m:r>
          </m:sub>
          <m:sup>
            <m:r>
              <w:rPr>
                <w:rFonts w:ascii="Cambria Math" w:hAnsi="Cambria Math"/>
                <w:sz w:val="22"/>
                <w:szCs w:val="22"/>
              </w:rPr>
              <m:t>Tr</m:t>
            </m:r>
          </m:sup>
        </m:sSubSup>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j</m:t>
            </m:r>
          </m:sub>
          <m:sup>
            <m:r>
              <w:rPr>
                <w:rFonts w:ascii="Cambria Math" w:hAnsi="Cambria Math"/>
                <w:sz w:val="22"/>
                <w:szCs w:val="22"/>
              </w:rPr>
              <m:t>Tr</m:t>
            </m:r>
          </m:sup>
        </m:sSubSup>
      </m:oMath>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(3)</w:t>
      </w:r>
    </w:p>
    <w:p w:rsidR="00B86BD8" w:rsidRDefault="00B86BD8" w:rsidP="00BA71F0">
      <w:pPr>
        <w:jc w:val="both"/>
        <w:rPr>
          <w:sz w:val="22"/>
          <w:szCs w:val="22"/>
        </w:rPr>
      </w:pPr>
    </w:p>
    <w:p w:rsidR="00B86BD8" w:rsidRDefault="00B86BD8" w:rsidP="00BA71F0">
      <w:pPr>
        <w:jc w:val="both"/>
        <w:rPr>
          <w:sz w:val="22"/>
          <w:szCs w:val="22"/>
        </w:rPr>
      </w:pPr>
      <w:r w:rsidRPr="00BA59F5">
        <w:rPr>
          <w:position w:val="-12"/>
          <w:sz w:val="22"/>
          <w:szCs w:val="22"/>
        </w:rPr>
        <w:object w:dxaOrig="260" w:dyaOrig="360">
          <v:shape id="_x0000_i1042" type="#_x0000_t75" style="width:13.55pt;height:17.75pt" o:ole="">
            <v:imagedata r:id="rId118" o:title=""/>
          </v:shape>
          <o:OLEObject Type="Embed" ProgID="Equation.DSMT4" ShapeID="_x0000_i1042" DrawAspect="Content" ObjectID="_1460439715" r:id="rId119"/>
        </w:object>
      </w:r>
      <w:r>
        <w:rPr>
          <w:sz w:val="22"/>
          <w:szCs w:val="22"/>
        </w:rPr>
        <w:t xml:space="preserve"> is the full selection fishing mortality in the pot fishery, </w:t>
      </w:r>
      <m:oMath>
        <m:sSubSup>
          <m:sSubSupPr>
            <m:ctrlPr>
              <w:rPr>
                <w:rFonts w:ascii="Cambria Math" w:hAnsi="Cambria Math"/>
                <w:i/>
                <w:sz w:val="22"/>
                <w:szCs w:val="22"/>
              </w:rPr>
            </m:ctrlPr>
          </m:sSubSupPr>
          <m:e>
            <m:r>
              <w:rPr>
                <w:rFonts w:ascii="Cambria Math" w:hAnsi="Cambria Math"/>
                <w:sz w:val="22"/>
                <w:szCs w:val="22"/>
              </w:rPr>
              <m:t>F</m:t>
            </m:r>
          </m:e>
          <m:sub>
            <m:r>
              <w:rPr>
                <w:rFonts w:ascii="Cambria Math" w:hAnsi="Cambria Math"/>
                <w:sz w:val="22"/>
                <w:szCs w:val="22"/>
              </w:rPr>
              <m:t>t</m:t>
            </m:r>
          </m:sub>
          <m:sup>
            <m:r>
              <w:rPr>
                <w:rFonts w:ascii="Cambria Math" w:hAnsi="Cambria Math"/>
                <w:sz w:val="22"/>
                <w:szCs w:val="22"/>
              </w:rPr>
              <m:t>Tr</m:t>
            </m:r>
          </m:sup>
        </m:sSubSup>
      </m:oMath>
      <w:r>
        <w:rPr>
          <w:sz w:val="22"/>
          <w:szCs w:val="22"/>
        </w:rPr>
        <w:t xml:space="preserve"> is the full selection fishing mortality in the trawl fishery, </w:t>
      </w:r>
      <m:oMath>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t,j</m:t>
            </m:r>
          </m:sub>
          <m:sup>
            <m:r>
              <w:rPr>
                <w:rFonts w:ascii="Cambria Math" w:hAnsi="Cambria Math"/>
                <w:sz w:val="22"/>
                <w:szCs w:val="22"/>
              </w:rPr>
              <m:t>T</m:t>
            </m:r>
          </m:sup>
        </m:sSubSup>
      </m:oMath>
      <w:r>
        <w:rPr>
          <w:sz w:val="22"/>
          <w:szCs w:val="22"/>
        </w:rPr>
        <w:t xml:space="preserve">is the total selectivity for animals in length-class </w:t>
      </w:r>
      <w:r>
        <w:rPr>
          <w:i/>
          <w:sz w:val="22"/>
          <w:szCs w:val="22"/>
        </w:rPr>
        <w:t>j</w:t>
      </w:r>
      <w:r>
        <w:rPr>
          <w:sz w:val="22"/>
          <w:szCs w:val="22"/>
        </w:rPr>
        <w:t xml:space="preserve"> by the pot fishery during year </w:t>
      </w:r>
      <w:r w:rsidRPr="00AC3635">
        <w:rPr>
          <w:i/>
          <w:sz w:val="22"/>
          <w:szCs w:val="22"/>
        </w:rPr>
        <w:t>t</w:t>
      </w:r>
      <w:r>
        <w:rPr>
          <w:sz w:val="22"/>
          <w:szCs w:val="22"/>
        </w:rPr>
        <w:t xml:space="preserve">, </w:t>
      </w:r>
      <m:oMath>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j</m:t>
            </m:r>
          </m:sub>
          <m:sup>
            <m:r>
              <w:rPr>
                <w:rFonts w:ascii="Cambria Math" w:hAnsi="Cambria Math"/>
                <w:sz w:val="22"/>
                <w:szCs w:val="22"/>
              </w:rPr>
              <m:t>Tr</m:t>
            </m:r>
          </m:sup>
        </m:sSubSup>
        <m:r>
          <w:rPr>
            <w:rFonts w:ascii="Cambria Math" w:hAnsi="Cambria Math"/>
            <w:sz w:val="22"/>
            <w:szCs w:val="22"/>
          </w:rPr>
          <m:t xml:space="preserve"> </m:t>
        </m:r>
      </m:oMath>
      <w:r>
        <w:rPr>
          <w:sz w:val="22"/>
          <w:szCs w:val="22"/>
        </w:rPr>
        <w:t xml:space="preserve">is the selectivity for animals in length-class j by the trawl fishery, </w:t>
      </w:r>
      <m:oMath>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t,j</m:t>
            </m:r>
          </m:sub>
          <m:sup>
            <m:r>
              <w:rPr>
                <w:rFonts w:ascii="Cambria Math" w:hAnsi="Cambria Math"/>
                <w:sz w:val="22"/>
                <w:szCs w:val="22"/>
              </w:rPr>
              <m:t>r</m:t>
            </m:r>
          </m:sup>
        </m:sSubSup>
      </m:oMath>
      <w:r>
        <w:rPr>
          <w:sz w:val="22"/>
          <w:szCs w:val="22"/>
        </w:rPr>
        <w:t xml:space="preserve"> is the probability of retention for animals in length-class </w:t>
      </w:r>
      <w:r>
        <w:rPr>
          <w:i/>
          <w:sz w:val="22"/>
          <w:szCs w:val="22"/>
        </w:rPr>
        <w:t>j</w:t>
      </w:r>
      <w:r>
        <w:rPr>
          <w:sz w:val="22"/>
          <w:szCs w:val="22"/>
        </w:rPr>
        <w:t xml:space="preserve"> by the pot fishery during year t.</w:t>
      </w:r>
    </w:p>
    <w:p w:rsidR="00B86BD8" w:rsidRDefault="00B86BD8" w:rsidP="00BA71F0">
      <w:pPr>
        <w:jc w:val="both"/>
        <w:rPr>
          <w:sz w:val="22"/>
          <w:szCs w:val="22"/>
        </w:rPr>
      </w:pPr>
    </w:p>
    <w:p w:rsidR="00B86BD8" w:rsidRDefault="00B86BD8" w:rsidP="00BA71F0">
      <w:pPr>
        <w:ind w:firstLine="360"/>
        <w:rPr>
          <w:sz w:val="22"/>
          <w:szCs w:val="22"/>
        </w:rPr>
      </w:pPr>
      <w:r>
        <w:rPr>
          <w:sz w:val="22"/>
          <w:szCs w:val="22"/>
        </w:rPr>
        <w:t xml:space="preserve">The initial condition (t=1985) are computed using the equation </w:t>
      </w:r>
      <w:r w:rsidRPr="00BA59F5">
        <w:rPr>
          <w:position w:val="-30"/>
          <w:sz w:val="22"/>
          <w:szCs w:val="22"/>
        </w:rPr>
        <w:object w:dxaOrig="2340" w:dyaOrig="580">
          <v:shape id="_x0000_i1043" type="#_x0000_t75" style="width:118.95pt;height:30.25pt" o:ole="">
            <v:imagedata r:id="rId120" o:title=""/>
          </v:shape>
          <o:OLEObject Type="Embed" ProgID="Equation.DSMT4" ShapeID="_x0000_i1043" DrawAspect="Content" ObjectID="_1460439716" r:id="rId121"/>
        </w:object>
      </w:r>
      <w:r>
        <w:rPr>
          <w:sz w:val="22"/>
          <w:szCs w:val="22"/>
        </w:rPr>
        <w:t xml:space="preserve"> where </w:t>
      </w:r>
      <w:r w:rsidRPr="00BA59F5">
        <w:rPr>
          <w:position w:val="-12"/>
          <w:sz w:val="22"/>
          <w:szCs w:val="22"/>
        </w:rPr>
        <w:object w:dxaOrig="520" w:dyaOrig="380">
          <v:shape id="_x0000_i1044" type="#_x0000_t75" style="width:28.15pt;height:17.75pt" o:ole="">
            <v:imagedata r:id="rId122" o:title=""/>
          </v:shape>
          <o:OLEObject Type="Embed" ProgID="Equation.DSMT4" ShapeID="_x0000_i1044" DrawAspect="Content" ObjectID="_1460439717" r:id="rId123"/>
        </w:object>
      </w:r>
      <w:r>
        <w:rPr>
          <w:sz w:val="22"/>
          <w:szCs w:val="22"/>
        </w:rPr>
        <w:t xml:space="preserve"> is the total abundance in 1985, and </w:t>
      </w:r>
      <w:r w:rsidRPr="00BA59F5">
        <w:rPr>
          <w:position w:val="-12"/>
          <w:sz w:val="22"/>
          <w:szCs w:val="22"/>
        </w:rPr>
        <w:object w:dxaOrig="240" w:dyaOrig="360">
          <v:shape id="_x0000_i1045" type="#_x0000_t75" style="width:13.55pt;height:17.75pt" o:ole="">
            <v:imagedata r:id="rId124" o:title=""/>
          </v:shape>
          <o:OLEObject Type="Embed" ProgID="Equation.DSMT4" ShapeID="_x0000_i1045" DrawAspect="Content" ObjectID="_1460439718" r:id="rId125"/>
        </w:object>
      </w:r>
      <w:r>
        <w:rPr>
          <w:sz w:val="22"/>
          <w:szCs w:val="22"/>
        </w:rPr>
        <w:t xml:space="preserve"> are parameters which determine the initial (1985) length-structure (one of </w:t>
      </w:r>
      <w:r w:rsidRPr="00BA59F5">
        <w:rPr>
          <w:position w:val="-12"/>
          <w:sz w:val="22"/>
          <w:szCs w:val="22"/>
        </w:rPr>
        <w:object w:dxaOrig="240" w:dyaOrig="360">
          <v:shape id="_x0000_i1046" type="#_x0000_t75" style="width:13.55pt;height:17.75pt" o:ole="">
            <v:imagedata r:id="rId124" o:title=""/>
          </v:shape>
          <o:OLEObject Type="Embed" ProgID="Equation.DSMT4" ShapeID="_x0000_i1046" DrawAspect="Content" ObjectID="_1460439719" r:id="rId126"/>
        </w:object>
      </w:r>
      <w:r>
        <w:rPr>
          <w:sz w:val="22"/>
          <w:szCs w:val="22"/>
        </w:rPr>
        <w:t>=0 to ensure identifiability).</w:t>
      </w:r>
    </w:p>
    <w:p w:rsidR="00B86BD8" w:rsidRDefault="00B86BD8" w:rsidP="00BA71F0">
      <w:pPr>
        <w:spacing w:before="240"/>
        <w:rPr>
          <w:b/>
          <w:sz w:val="22"/>
          <w:szCs w:val="22"/>
        </w:rPr>
      </w:pPr>
      <w:r w:rsidRPr="00D21EA7">
        <w:rPr>
          <w:b/>
          <w:sz w:val="22"/>
          <w:szCs w:val="22"/>
        </w:rPr>
        <w:t>Growth</w:t>
      </w:r>
    </w:p>
    <w:p w:rsidR="00B86BD8" w:rsidRDefault="00B86BD8" w:rsidP="00BA71F0">
      <w:pPr>
        <w:spacing w:before="240"/>
        <w:rPr>
          <w:b/>
          <w:sz w:val="22"/>
          <w:szCs w:val="22"/>
        </w:rPr>
      </w:pPr>
      <w:r>
        <w:rPr>
          <w:b/>
          <w:sz w:val="22"/>
          <w:szCs w:val="22"/>
        </w:rPr>
        <w:lastRenderedPageBreak/>
        <w:t>Molt probability</w:t>
      </w:r>
    </w:p>
    <w:p w:rsidR="00B86BD8" w:rsidRDefault="00B86BD8" w:rsidP="00BA71F0">
      <w:pPr>
        <w:spacing w:before="240"/>
        <w:rPr>
          <w:sz w:val="22"/>
          <w:szCs w:val="22"/>
        </w:rPr>
      </w:pPr>
      <w:r>
        <w:rPr>
          <w:sz w:val="22"/>
          <w:szCs w:val="22"/>
        </w:rPr>
        <w:t>Molt probability with growth increment probability are used to estimate the size transition matrix using  tagging data. Molt probability is assumed to be a logistic function of length,</w:t>
      </w:r>
    </w:p>
    <w:p w:rsidR="00B86BD8" w:rsidRPr="004B5AB2" w:rsidRDefault="009374C7" w:rsidP="00BA71F0">
      <w:pPr>
        <w:spacing w:before="240"/>
        <w:rPr>
          <w:sz w:val="22"/>
          <w:szCs w:val="22"/>
        </w:rPr>
      </w:pP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i</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 xml:space="preserve">1 + </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a(</m:t>
                </m:r>
                <m:sSub>
                  <m:sSubPr>
                    <m:ctrlPr>
                      <w:rPr>
                        <w:rFonts w:ascii="Cambria Math" w:hAnsi="Cambria Math"/>
                        <w:i/>
                        <w:sz w:val="22"/>
                        <w:szCs w:val="22"/>
                      </w:rPr>
                    </m:ctrlPr>
                  </m:sSubPr>
                  <m:e>
                    <m:r>
                      <w:rPr>
                        <w:rFonts w:ascii="Cambria Math" w:hAnsi="Cambria Math"/>
                        <w:i/>
                        <w:sz w:val="22"/>
                        <w:szCs w:val="22"/>
                      </w:rPr>
                      <w:sym w:font="Symbol" w:char="F074"/>
                    </m:r>
                  </m:e>
                  <m:sub>
                    <m:r>
                      <w:rPr>
                        <w:rFonts w:ascii="Cambria Math" w:hAnsi="Cambria Math"/>
                        <w:sz w:val="22"/>
                        <w:szCs w:val="22"/>
                      </w:rPr>
                      <m:t>i</m:t>
                    </m:r>
                  </m:sub>
                </m:sSub>
                <m:r>
                  <w:rPr>
                    <w:rFonts w:ascii="Cambria Math" w:hAnsi="Cambria Math"/>
                    <w:sz w:val="22"/>
                    <w:szCs w:val="22"/>
                  </w:rPr>
                  <m:t>-b)</m:t>
                </m:r>
              </m:sup>
            </m:sSup>
          </m:den>
        </m:f>
      </m:oMath>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t xml:space="preserve"> (4)</w:t>
      </w:r>
    </w:p>
    <w:p w:rsidR="00B86BD8" w:rsidRDefault="00B86BD8" w:rsidP="00BA71F0">
      <w:pPr>
        <w:spacing w:before="240"/>
        <w:rPr>
          <w:sz w:val="22"/>
          <w:szCs w:val="22"/>
        </w:rPr>
      </w:pPr>
    </w:p>
    <w:p w:rsidR="00B86BD8" w:rsidRPr="004B5AB2" w:rsidRDefault="00B86BD8" w:rsidP="00BA71F0">
      <w:pPr>
        <w:spacing w:before="240"/>
        <w:rPr>
          <w:sz w:val="22"/>
          <w:szCs w:val="22"/>
        </w:rPr>
      </w:pPr>
      <w:r>
        <w:rPr>
          <w:sz w:val="22"/>
          <w:szCs w:val="22"/>
        </w:rPr>
        <w:t xml:space="preserve">Where </w:t>
      </w:r>
      <w:r w:rsidRPr="004B5AB2">
        <w:rPr>
          <w:i/>
          <w:sz w:val="22"/>
          <w:szCs w:val="22"/>
        </w:rPr>
        <w:t>a</w:t>
      </w:r>
      <w:r>
        <w:rPr>
          <w:sz w:val="22"/>
          <w:szCs w:val="22"/>
        </w:rPr>
        <w:t xml:space="preserve"> and </w:t>
      </w:r>
      <w:r w:rsidRPr="004B5AB2">
        <w:rPr>
          <w:i/>
          <w:sz w:val="22"/>
          <w:szCs w:val="22"/>
        </w:rPr>
        <w:t>b</w:t>
      </w:r>
      <w:r>
        <w:rPr>
          <w:sz w:val="22"/>
          <w:szCs w:val="22"/>
        </w:rPr>
        <w:t xml:space="preserve"> are parameters</w:t>
      </w:r>
      <w:r w:rsidRPr="004B5AB2">
        <w:rPr>
          <w:i/>
          <w:szCs w:val="22"/>
        </w:rPr>
        <w:t xml:space="preserve"> </w:t>
      </w:r>
      <w:r>
        <w:rPr>
          <w:i/>
          <w:szCs w:val="22"/>
        </w:rPr>
        <w:t xml:space="preserve"> </w:t>
      </w:r>
      <w:r w:rsidRPr="004B5AB2">
        <w:rPr>
          <w:szCs w:val="22"/>
        </w:rPr>
        <w:t>and</w:t>
      </w:r>
      <w:r>
        <w:rPr>
          <w:i/>
          <w:szCs w:val="22"/>
        </w:rPr>
        <w:t xml:space="preserve"> </w:t>
      </w:r>
      <w:r w:rsidRPr="00663265">
        <w:rPr>
          <w:i/>
          <w:szCs w:val="22"/>
        </w:rPr>
        <w:t>τ</w:t>
      </w:r>
      <w:r w:rsidRPr="00663265">
        <w:rPr>
          <w:i/>
          <w:szCs w:val="22"/>
          <w:vertAlign w:val="subscript"/>
        </w:rPr>
        <w:t>i</w:t>
      </w:r>
      <w:r w:rsidRPr="00663265">
        <w:rPr>
          <w:i/>
          <w:szCs w:val="22"/>
        </w:rPr>
        <w:t xml:space="preserve"> </w:t>
      </w:r>
      <w:r w:rsidRPr="00663265">
        <w:rPr>
          <w:szCs w:val="22"/>
        </w:rPr>
        <w:t xml:space="preserve">is the mid-point of the contributing length interval </w:t>
      </w:r>
      <w:r w:rsidRPr="00663265">
        <w:rPr>
          <w:i/>
          <w:szCs w:val="22"/>
        </w:rPr>
        <w:t>i</w:t>
      </w:r>
      <w:r>
        <w:rPr>
          <w:i/>
          <w:szCs w:val="22"/>
        </w:rPr>
        <w:t>.</w:t>
      </w:r>
    </w:p>
    <w:p w:rsidR="00B86BD8" w:rsidRDefault="00B86BD8" w:rsidP="00BA71F0">
      <w:pPr>
        <w:pStyle w:val="BodyText"/>
        <w:spacing w:line="240" w:lineRule="auto"/>
        <w:rPr>
          <w:szCs w:val="22"/>
        </w:rPr>
      </w:pPr>
    </w:p>
    <w:p w:rsidR="00B86BD8" w:rsidRDefault="00B86BD8" w:rsidP="00BA71F0">
      <w:pPr>
        <w:pStyle w:val="BodyText"/>
        <w:spacing w:line="240" w:lineRule="auto"/>
        <w:rPr>
          <w:szCs w:val="22"/>
        </w:rPr>
      </w:pPr>
      <w:r w:rsidRPr="00663265">
        <w:rPr>
          <w:szCs w:val="22"/>
        </w:rPr>
        <w:t>The expec</w:t>
      </w:r>
      <w:r>
        <w:rPr>
          <w:szCs w:val="22"/>
        </w:rPr>
        <w:t>ted proportion of molting crabs</w:t>
      </w:r>
      <w:r w:rsidRPr="00663265">
        <w:rPr>
          <w:szCs w:val="22"/>
        </w:rPr>
        <w:t xml:space="preserve"> growing from length class</w:t>
      </w:r>
      <w:r w:rsidRPr="00663265">
        <w:rPr>
          <w:i/>
          <w:szCs w:val="22"/>
        </w:rPr>
        <w:t xml:space="preserve"> i</w:t>
      </w:r>
      <w:r w:rsidRPr="00663265">
        <w:rPr>
          <w:szCs w:val="22"/>
        </w:rPr>
        <w:t xml:space="preserve"> to length class </w:t>
      </w:r>
      <w:r w:rsidRPr="00663265">
        <w:rPr>
          <w:i/>
          <w:szCs w:val="22"/>
        </w:rPr>
        <w:t>j</w:t>
      </w:r>
      <w:r w:rsidRPr="00663265">
        <w:rPr>
          <w:szCs w:val="22"/>
        </w:rPr>
        <w:t xml:space="preserve"> during a year</w:t>
      </w:r>
      <w:r>
        <w:rPr>
          <w:szCs w:val="22"/>
        </w:rPr>
        <w:t xml:space="preserve">, </w:t>
      </w:r>
      <w:r w:rsidRPr="00E03F31">
        <w:rPr>
          <w:position w:val="-14"/>
          <w:szCs w:val="22"/>
        </w:rPr>
        <w:object w:dxaOrig="420" w:dyaOrig="380">
          <v:shape id="_x0000_i1047" type="#_x0000_t75" style="width:20.85pt;height:17.75pt" o:ole="">
            <v:imagedata r:id="rId114" o:title=""/>
          </v:shape>
          <o:OLEObject Type="Embed" ProgID="Equation.DSMT4" ShapeID="_x0000_i1047" DrawAspect="Content" ObjectID="_1460439720" r:id="rId127"/>
        </w:object>
      </w:r>
      <w:r>
        <w:rPr>
          <w:szCs w:val="22"/>
        </w:rPr>
        <w:t>,</w:t>
      </w:r>
      <w:r w:rsidRPr="00663265">
        <w:rPr>
          <w:szCs w:val="22"/>
        </w:rPr>
        <w:t xml:space="preserve"> </w:t>
      </w:r>
      <w:r>
        <w:rPr>
          <w:szCs w:val="22"/>
        </w:rPr>
        <w:t>is:</w:t>
      </w:r>
    </w:p>
    <w:p w:rsidR="00B86BD8" w:rsidRDefault="00B86BD8" w:rsidP="00BA71F0">
      <w:pPr>
        <w:pStyle w:val="BodyText"/>
        <w:spacing w:line="240" w:lineRule="auto"/>
        <w:rPr>
          <w:szCs w:val="22"/>
        </w:rPr>
      </w:pPr>
    </w:p>
    <w:p w:rsidR="00B86BD8" w:rsidRDefault="00B86BD8" w:rsidP="00BA71F0">
      <w:pPr>
        <w:pStyle w:val="BodyText"/>
        <w:spacing w:line="240" w:lineRule="auto"/>
        <w:rPr>
          <w:szCs w:val="22"/>
        </w:rPr>
      </w:pPr>
    </w:p>
    <w:p w:rsidR="00B86BD8" w:rsidRDefault="009374C7" w:rsidP="00BA71F0">
      <w:pPr>
        <w:pStyle w:val="BodyText"/>
        <w:spacing w:line="240" w:lineRule="auto"/>
        <w:rPr>
          <w:szCs w:val="22"/>
        </w:rPr>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i,j</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m</m:t>
            </m:r>
          </m:e>
          <m:sub>
            <m:r>
              <w:rPr>
                <w:rFonts w:ascii="Cambria Math" w:hAnsi="Cambria Math"/>
                <w:szCs w:val="22"/>
              </w:rPr>
              <m:t>i</m:t>
            </m:r>
          </m:sub>
        </m:sSub>
        <m:f>
          <m:fPr>
            <m:ctrlPr>
              <w:rPr>
                <w:rFonts w:ascii="Cambria Math" w:hAnsi="Cambria Math"/>
                <w:i/>
                <w:szCs w:val="22"/>
              </w:rPr>
            </m:ctrlPr>
          </m:fPr>
          <m:num>
            <m:nary>
              <m:naryPr>
                <m:limLoc m:val="undOvr"/>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j</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τ</m:t>
                    </m:r>
                  </m:e>
                  <m:sub>
                    <m:r>
                      <w:rPr>
                        <w:rFonts w:ascii="Cambria Math" w:hAnsi="Cambria Math"/>
                        <w:szCs w:val="22"/>
                      </w:rPr>
                      <m:t>i</m:t>
                    </m:r>
                  </m:sub>
                </m:sSub>
              </m:sub>
              <m:sup>
                <m:sSub>
                  <m:sSubPr>
                    <m:ctrlPr>
                      <w:rPr>
                        <w:rFonts w:ascii="Cambria Math" w:hAnsi="Cambria Math"/>
                        <w:i/>
                        <w:szCs w:val="22"/>
                      </w:rPr>
                    </m:ctrlPr>
                  </m:sSubPr>
                  <m:e>
                    <m:r>
                      <w:rPr>
                        <w:rFonts w:ascii="Cambria Math" w:hAnsi="Cambria Math"/>
                        <w:szCs w:val="22"/>
                      </w:rPr>
                      <m:t>j</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τ</m:t>
                    </m:r>
                  </m:e>
                  <m:sub>
                    <m:r>
                      <w:rPr>
                        <w:rFonts w:ascii="Cambria Math" w:hAnsi="Cambria Math"/>
                        <w:szCs w:val="22"/>
                      </w:rPr>
                      <m:t>i</m:t>
                    </m:r>
                  </m:sub>
                </m:sSub>
              </m:sup>
              <m:e>
                <m:r>
                  <w:rPr>
                    <w:rFonts w:ascii="Cambria Math" w:hAnsi="Cambria Math"/>
                    <w:szCs w:val="22"/>
                  </w:rPr>
                  <m:t>gamma</m:t>
                </m:r>
                <m:d>
                  <m:dPr>
                    <m:ctrlPr>
                      <w:rPr>
                        <w:rFonts w:ascii="Cambria Math" w:hAnsi="Cambria Math"/>
                        <w:i/>
                        <w:szCs w:val="22"/>
                      </w:rPr>
                    </m:ctrlPr>
                  </m:dPr>
                  <m:e>
                    <m:r>
                      <w:rPr>
                        <w:rFonts w:ascii="Cambria Math" w:hAnsi="Cambria Math"/>
                        <w:szCs w:val="22"/>
                      </w:rPr>
                      <m:t>x</m:t>
                    </m:r>
                  </m:e>
                  <m:e>
                    <m:sSub>
                      <m:sSubPr>
                        <m:ctrlPr>
                          <w:rPr>
                            <w:rFonts w:ascii="Cambria Math" w:hAnsi="Cambria Math"/>
                            <w:i/>
                            <w:szCs w:val="22"/>
                          </w:rPr>
                        </m:ctrlPr>
                      </m:sSubPr>
                      <m:e>
                        <m:r>
                          <w:rPr>
                            <w:rFonts w:ascii="Cambria Math" w:hAnsi="Cambria Math"/>
                            <w:szCs w:val="22"/>
                          </w:rPr>
                          <m:t>α</m:t>
                        </m:r>
                      </m:e>
                      <m:sub>
                        <m:r>
                          <w:rPr>
                            <w:rFonts w:ascii="Cambria Math" w:hAnsi="Cambria Math"/>
                            <w:szCs w:val="22"/>
                          </w:rPr>
                          <m:t>i</m:t>
                        </m:r>
                      </m:sub>
                    </m:sSub>
                    <m:r>
                      <w:rPr>
                        <w:rFonts w:ascii="Cambria Math" w:hAnsi="Cambria Math"/>
                        <w:szCs w:val="22"/>
                      </w:rPr>
                      <m:t>,β</m:t>
                    </m:r>
                  </m:e>
                </m:d>
                <m:r>
                  <w:rPr>
                    <w:rFonts w:ascii="Cambria Math" w:hAnsi="Cambria Math"/>
                    <w:szCs w:val="22"/>
                  </w:rPr>
                  <m:t>dx</m:t>
                </m:r>
              </m:e>
            </m:nary>
          </m:num>
          <m:den>
            <m:nary>
              <m:naryPr>
                <m:chr m:val="∑"/>
                <m:limLoc m:val="undOvr"/>
                <m:ctrlPr>
                  <w:rPr>
                    <w:rFonts w:ascii="Cambria Math" w:hAnsi="Cambria Math"/>
                    <w:i/>
                    <w:szCs w:val="22"/>
                  </w:rPr>
                </m:ctrlPr>
              </m:naryPr>
              <m:sub>
                <m:r>
                  <w:rPr>
                    <w:rFonts w:ascii="Cambria Math" w:hAnsi="Cambria Math"/>
                    <w:szCs w:val="22"/>
                  </w:rPr>
                  <m:t>j=1</m:t>
                </m:r>
              </m:sub>
              <m:sup>
                <m:r>
                  <w:rPr>
                    <w:rFonts w:ascii="Cambria Math" w:hAnsi="Cambria Math"/>
                    <w:szCs w:val="22"/>
                  </w:rPr>
                  <m:t>n</m:t>
                </m:r>
              </m:sup>
              <m:e>
                <m:nary>
                  <m:naryPr>
                    <m:limLoc m:val="undOvr"/>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j</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τ</m:t>
                        </m:r>
                      </m:e>
                      <m:sub>
                        <m:r>
                          <w:rPr>
                            <w:rFonts w:ascii="Cambria Math" w:hAnsi="Cambria Math"/>
                            <w:szCs w:val="22"/>
                          </w:rPr>
                          <m:t>i</m:t>
                        </m:r>
                      </m:sub>
                    </m:sSub>
                  </m:sub>
                  <m:sup>
                    <m:sSub>
                      <m:sSubPr>
                        <m:ctrlPr>
                          <w:rPr>
                            <w:rFonts w:ascii="Cambria Math" w:hAnsi="Cambria Math"/>
                            <w:i/>
                            <w:szCs w:val="22"/>
                          </w:rPr>
                        </m:ctrlPr>
                      </m:sSubPr>
                      <m:e>
                        <m:r>
                          <w:rPr>
                            <w:rFonts w:ascii="Cambria Math" w:hAnsi="Cambria Math"/>
                            <w:szCs w:val="22"/>
                          </w:rPr>
                          <m:t>j</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τ</m:t>
                        </m:r>
                      </m:e>
                      <m:sub>
                        <m:r>
                          <w:rPr>
                            <w:rFonts w:ascii="Cambria Math" w:hAnsi="Cambria Math"/>
                            <w:szCs w:val="22"/>
                          </w:rPr>
                          <m:t>i</m:t>
                        </m:r>
                      </m:sub>
                    </m:sSub>
                  </m:sup>
                  <m:e>
                    <m:r>
                      <w:rPr>
                        <w:rFonts w:ascii="Cambria Math" w:hAnsi="Cambria Math"/>
                        <w:szCs w:val="22"/>
                      </w:rPr>
                      <m:t>gamma</m:t>
                    </m:r>
                    <m:d>
                      <m:dPr>
                        <m:ctrlPr>
                          <w:rPr>
                            <w:rFonts w:ascii="Cambria Math" w:hAnsi="Cambria Math"/>
                            <w:i/>
                            <w:szCs w:val="22"/>
                          </w:rPr>
                        </m:ctrlPr>
                      </m:dPr>
                      <m:e>
                        <m:r>
                          <w:rPr>
                            <w:rFonts w:ascii="Cambria Math" w:hAnsi="Cambria Math"/>
                            <w:szCs w:val="22"/>
                          </w:rPr>
                          <m:t>x</m:t>
                        </m:r>
                      </m:e>
                      <m:e>
                        <m:sSub>
                          <m:sSubPr>
                            <m:ctrlPr>
                              <w:rPr>
                                <w:rFonts w:ascii="Cambria Math" w:hAnsi="Cambria Math"/>
                                <w:i/>
                                <w:szCs w:val="22"/>
                              </w:rPr>
                            </m:ctrlPr>
                          </m:sSubPr>
                          <m:e>
                            <m:r>
                              <w:rPr>
                                <w:rFonts w:ascii="Cambria Math" w:hAnsi="Cambria Math"/>
                                <w:szCs w:val="22"/>
                              </w:rPr>
                              <m:t>α</m:t>
                            </m:r>
                          </m:e>
                          <m:sub>
                            <m:r>
                              <w:rPr>
                                <w:rFonts w:ascii="Cambria Math" w:hAnsi="Cambria Math"/>
                                <w:szCs w:val="22"/>
                              </w:rPr>
                              <m:t>i</m:t>
                            </m:r>
                          </m:sub>
                        </m:sSub>
                        <m:r>
                          <w:rPr>
                            <w:rFonts w:ascii="Cambria Math" w:hAnsi="Cambria Math"/>
                            <w:szCs w:val="22"/>
                          </w:rPr>
                          <m:t>,β</m:t>
                        </m:r>
                      </m:e>
                    </m:d>
                    <m:r>
                      <w:rPr>
                        <w:rFonts w:ascii="Cambria Math" w:hAnsi="Cambria Math"/>
                        <w:szCs w:val="22"/>
                      </w:rPr>
                      <m:t>dx</m:t>
                    </m:r>
                  </m:e>
                </m:nary>
              </m:e>
            </m:nary>
          </m:den>
        </m:f>
      </m:oMath>
      <w:r w:rsidR="00B86BD8">
        <w:rPr>
          <w:szCs w:val="22"/>
        </w:rPr>
        <w:t xml:space="preserve">       where </w:t>
      </w:r>
      <m:oMath>
        <m:d>
          <m:dPr>
            <m:ctrlPr>
              <w:rPr>
                <w:rFonts w:ascii="Cambria Math" w:hAnsi="Cambria Math"/>
                <w:i/>
                <w:szCs w:val="22"/>
              </w:rPr>
            </m:ctrlPr>
          </m:dPr>
          <m:e>
            <m:r>
              <w:rPr>
                <w:rFonts w:ascii="Cambria Math" w:hAnsi="Cambria Math"/>
                <w:szCs w:val="22"/>
              </w:rPr>
              <m:t>x</m:t>
            </m:r>
          </m:e>
          <m:e>
            <m:sSub>
              <m:sSubPr>
                <m:ctrlPr>
                  <w:rPr>
                    <w:rFonts w:ascii="Cambria Math" w:hAnsi="Cambria Math"/>
                    <w:i/>
                    <w:szCs w:val="22"/>
                  </w:rPr>
                </m:ctrlPr>
              </m:sSubPr>
              <m:e>
                <m:r>
                  <w:rPr>
                    <w:rFonts w:ascii="Cambria Math" w:hAnsi="Cambria Math"/>
                    <w:szCs w:val="22"/>
                  </w:rPr>
                  <m:t>α</m:t>
                </m:r>
              </m:e>
              <m:sub>
                <m:r>
                  <w:rPr>
                    <w:rFonts w:ascii="Cambria Math" w:hAnsi="Cambria Math"/>
                    <w:szCs w:val="22"/>
                  </w:rPr>
                  <m:t>i</m:t>
                </m:r>
              </m:sub>
            </m:sSub>
            <m:r>
              <w:rPr>
                <w:rFonts w:ascii="Cambria Math" w:hAnsi="Cambria Math"/>
                <w:szCs w:val="22"/>
              </w:rPr>
              <m:t>,β</m:t>
            </m:r>
          </m:e>
        </m:d>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x</m:t>
                </m:r>
              </m:e>
              <m:sup>
                <m:sSub>
                  <m:sSubPr>
                    <m:ctrlPr>
                      <w:rPr>
                        <w:rFonts w:ascii="Cambria Math" w:hAnsi="Cambria Math"/>
                        <w:i/>
                        <w:szCs w:val="22"/>
                      </w:rPr>
                    </m:ctrlPr>
                  </m:sSubPr>
                  <m:e>
                    <m:r>
                      <w:rPr>
                        <w:rFonts w:ascii="Cambria Math" w:hAnsi="Cambria Math"/>
                        <w:szCs w:val="22"/>
                      </w:rPr>
                      <m:t>α</m:t>
                    </m:r>
                  </m:e>
                  <m:sub>
                    <m:r>
                      <w:rPr>
                        <w:rFonts w:ascii="Cambria Math" w:hAnsi="Cambria Math"/>
                        <w:szCs w:val="22"/>
                      </w:rPr>
                      <m:t>i</m:t>
                    </m:r>
                  </m:sub>
                </m:sSub>
                <m:r>
                  <w:rPr>
                    <w:rFonts w:ascii="Cambria Math" w:hAnsi="Cambria Math"/>
                    <w:szCs w:val="22"/>
                  </w:rPr>
                  <m:t>-1</m:t>
                </m:r>
              </m:sup>
            </m:sSup>
            <m:sSup>
              <m:sSupPr>
                <m:ctrlPr>
                  <w:rPr>
                    <w:rFonts w:ascii="Cambria Math" w:hAnsi="Cambria Math"/>
                    <w:i/>
                    <w:szCs w:val="22"/>
                  </w:rPr>
                </m:ctrlPr>
              </m:sSupPr>
              <m:e>
                <m:r>
                  <w:rPr>
                    <w:rFonts w:ascii="Cambria Math" w:hAnsi="Cambria Math"/>
                    <w:szCs w:val="22"/>
                  </w:rPr>
                  <m:t>e</m:t>
                </m:r>
              </m:e>
              <m:sup>
                <m:f>
                  <m:fPr>
                    <m:ctrlPr>
                      <w:rPr>
                        <w:rFonts w:ascii="Cambria Math" w:hAnsi="Cambria Math"/>
                        <w:i/>
                        <w:szCs w:val="22"/>
                      </w:rPr>
                    </m:ctrlPr>
                  </m:fPr>
                  <m:num>
                    <m:r>
                      <w:rPr>
                        <w:rFonts w:ascii="Cambria Math" w:hAnsi="Cambria Math"/>
                        <w:szCs w:val="22"/>
                      </w:rPr>
                      <m:t>x</m:t>
                    </m:r>
                  </m:num>
                  <m:den>
                    <m:r>
                      <w:rPr>
                        <w:rFonts w:ascii="Cambria Math" w:hAnsi="Cambria Math"/>
                        <w:szCs w:val="22"/>
                      </w:rPr>
                      <m:t>β</m:t>
                    </m:r>
                  </m:den>
                </m:f>
              </m:sup>
            </m:sSup>
          </m:num>
          <m:den>
            <m:sSup>
              <m:sSupPr>
                <m:ctrlPr>
                  <w:rPr>
                    <w:rFonts w:ascii="Cambria Math" w:hAnsi="Cambria Math"/>
                    <w:i/>
                    <w:szCs w:val="22"/>
                  </w:rPr>
                </m:ctrlPr>
              </m:sSupPr>
              <m:e>
                <m:r>
                  <w:rPr>
                    <w:rFonts w:ascii="Cambria Math" w:hAnsi="Cambria Math"/>
                    <w:szCs w:val="22"/>
                  </w:rPr>
                  <m:t>β</m:t>
                </m:r>
              </m:e>
              <m:sup>
                <m:sSub>
                  <m:sSubPr>
                    <m:ctrlPr>
                      <w:rPr>
                        <w:rFonts w:ascii="Cambria Math" w:hAnsi="Cambria Math"/>
                        <w:i/>
                        <w:szCs w:val="22"/>
                      </w:rPr>
                    </m:ctrlPr>
                  </m:sSubPr>
                  <m:e>
                    <m:r>
                      <w:rPr>
                        <w:rFonts w:ascii="Cambria Math" w:hAnsi="Cambria Math"/>
                        <w:szCs w:val="22"/>
                      </w:rPr>
                      <m:t>α</m:t>
                    </m:r>
                  </m:e>
                  <m:sub>
                    <m:r>
                      <w:rPr>
                        <w:rFonts w:ascii="Cambria Math" w:hAnsi="Cambria Math"/>
                        <w:szCs w:val="22"/>
                      </w:rPr>
                      <m:t>i</m:t>
                    </m:r>
                  </m:sub>
                </m:sSub>
              </m:sup>
            </m:sSup>
            <m:r>
              <m:rPr>
                <m:sty m:val="p"/>
              </m:rPr>
              <w:rPr>
                <w:rFonts w:ascii="Cambria Math" w:hAnsi="Cambria Math"/>
                <w:position w:val="-14"/>
              </w:rPr>
              <w:object w:dxaOrig="620" w:dyaOrig="360">
                <v:shape id="_x0000_i1049" type="#_x0000_t75" style="width:31.3pt;height:17.75pt" o:ole="">
                  <v:imagedata r:id="rId128" o:title=""/>
                </v:shape>
                <o:OLEObject Type="Embed" ProgID="Equation.3" ShapeID="_x0000_i1049" DrawAspect="Content" ObjectID="_1460439721" r:id="rId129"/>
              </w:object>
            </m:r>
          </m:den>
        </m:f>
      </m:oMath>
      <w:r w:rsidR="00B86BD8">
        <w:rPr>
          <w:szCs w:val="22"/>
        </w:rPr>
        <w:t xml:space="preserve"> ,     </w:t>
      </w:r>
    </w:p>
    <w:p w:rsidR="00B86BD8" w:rsidRPr="00EF3756" w:rsidRDefault="00B86BD8" w:rsidP="00BA71F0">
      <w:pPr>
        <w:pStyle w:val="BodyText"/>
        <w:spacing w:line="240" w:lineRule="auto"/>
        <w:rPr>
          <w:szCs w:val="22"/>
        </w:rPr>
      </w:pPr>
      <w:r>
        <w:rPr>
          <w:szCs w:val="22"/>
        </w:rPr>
        <w:t xml:space="preserve"> </w:t>
      </w: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i,j</m:t>
                    </m:r>
                  </m:sub>
                </m:sSub>
                <m:r>
                  <w:rPr>
                    <w:rFonts w:ascii="Cambria Math" w:hAnsi="Cambria Math"/>
                    <w:szCs w:val="22"/>
                  </w:rPr>
                  <m:t xml:space="preserve">      when i ≠j,</m:t>
                </m:r>
              </m:e>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i,j</m:t>
                    </m:r>
                  </m:sub>
                </m:sSub>
                <m:r>
                  <w:rPr>
                    <w:rFonts w:ascii="Cambria Math" w:hAnsi="Cambria Math"/>
                    <w:szCs w:val="22"/>
                  </w:rPr>
                  <m:t>+</m:t>
                </m:r>
                <m:d>
                  <m:dPr>
                    <m:ctrlPr>
                      <w:rPr>
                        <w:rFonts w:ascii="Cambria Math" w:hAnsi="Cambria Math"/>
                        <w:i/>
                        <w:szCs w:val="22"/>
                      </w:rPr>
                    </m:ctrlPr>
                  </m:dPr>
                  <m:e>
                    <m:r>
                      <w:rPr>
                        <w:rFonts w:ascii="Cambria Math" w:hAnsi="Cambria Math"/>
                        <w:szCs w:val="22"/>
                      </w:rPr>
                      <m:t>1-</m:t>
                    </m:r>
                    <m:sSub>
                      <m:sSubPr>
                        <m:ctrlPr>
                          <w:rPr>
                            <w:rFonts w:ascii="Cambria Math" w:hAnsi="Cambria Math"/>
                            <w:i/>
                            <w:szCs w:val="22"/>
                          </w:rPr>
                        </m:ctrlPr>
                      </m:sSubPr>
                      <m:e>
                        <m:r>
                          <w:rPr>
                            <w:rFonts w:ascii="Cambria Math" w:hAnsi="Cambria Math"/>
                            <w:szCs w:val="22"/>
                          </w:rPr>
                          <m:t>m</m:t>
                        </m:r>
                      </m:e>
                      <m:sub>
                        <m:r>
                          <w:rPr>
                            <w:rFonts w:ascii="Cambria Math" w:hAnsi="Cambria Math"/>
                            <w:szCs w:val="22"/>
                          </w:rPr>
                          <m:t>i</m:t>
                        </m:r>
                      </m:sub>
                    </m:sSub>
                  </m:e>
                </m:d>
                <m:r>
                  <w:rPr>
                    <w:rFonts w:ascii="Cambria Math" w:hAnsi="Cambria Math"/>
                    <w:szCs w:val="22"/>
                  </w:rPr>
                  <m:t xml:space="preserve">   when i=j</m:t>
                </m:r>
              </m:e>
            </m:eqArr>
          </m:e>
        </m:d>
      </m:oMath>
      <w:r>
        <w:rPr>
          <w:szCs w:val="22"/>
        </w:rPr>
        <w:t xml:space="preserve">                                                                                   (5)</w:t>
      </w:r>
    </w:p>
    <w:p w:rsidR="00B86BD8" w:rsidRPr="00663265" w:rsidRDefault="00B86BD8" w:rsidP="00BA71F0">
      <w:pPr>
        <w:pStyle w:val="BodyText"/>
        <w:spacing w:line="240" w:lineRule="auto"/>
        <w:jc w:val="right"/>
        <w:rPr>
          <w:szCs w:val="22"/>
        </w:rPr>
      </w:pPr>
      <w:r w:rsidRPr="00663265">
        <w:rPr>
          <w:szCs w:val="22"/>
        </w:rPr>
        <w:t xml:space="preserve"> </w:t>
      </w:r>
      <w:r>
        <w:rPr>
          <w:szCs w:val="22"/>
        </w:rPr>
        <w:tab/>
        <w:t xml:space="preserve"> </w:t>
      </w:r>
    </w:p>
    <w:p w:rsidR="00B86BD8" w:rsidRDefault="00B86BD8" w:rsidP="00BA71F0">
      <w:pPr>
        <w:pStyle w:val="BodyText"/>
        <w:spacing w:line="240" w:lineRule="auto"/>
        <w:rPr>
          <w:szCs w:val="22"/>
        </w:rPr>
      </w:pPr>
    </w:p>
    <w:p w:rsidR="00B86BD8" w:rsidRPr="00663265" w:rsidRDefault="00B86BD8" w:rsidP="00BA71F0">
      <w:pPr>
        <w:pStyle w:val="BodyText"/>
        <w:spacing w:line="240" w:lineRule="auto"/>
        <w:jc w:val="both"/>
        <w:rPr>
          <w:szCs w:val="22"/>
        </w:rPr>
      </w:pPr>
      <w:r>
        <w:rPr>
          <w:szCs w:val="22"/>
        </w:rPr>
        <w:t xml:space="preserve">where </w:t>
      </w:r>
      <w:r w:rsidRPr="00663265">
        <w:rPr>
          <w:i/>
          <w:szCs w:val="22"/>
        </w:rPr>
        <w:sym w:font="Symbol" w:char="F061"/>
      </w:r>
      <w:r w:rsidRPr="00663265">
        <w:rPr>
          <w:i/>
          <w:szCs w:val="22"/>
          <w:vertAlign w:val="subscript"/>
        </w:rPr>
        <w:t>i</w:t>
      </w:r>
      <w:r w:rsidRPr="00663265">
        <w:rPr>
          <w:szCs w:val="22"/>
        </w:rPr>
        <w:t xml:space="preserve"> </w:t>
      </w:r>
      <w:r>
        <w:rPr>
          <w:szCs w:val="22"/>
        </w:rPr>
        <w:t>is the expected growth increment (</w:t>
      </w:r>
      <w:r w:rsidRPr="000310DC">
        <w:rPr>
          <w:position w:val="-12"/>
          <w:szCs w:val="22"/>
        </w:rPr>
        <w:object w:dxaOrig="1380" w:dyaOrig="360">
          <v:shape id="_x0000_i1050" type="#_x0000_t75" style="width:69.9pt;height:17.75pt" o:ole="">
            <v:imagedata r:id="rId130" o:title=""/>
          </v:shape>
          <o:OLEObject Type="Embed" ProgID="Equation.DSMT4" ShapeID="_x0000_i1050" DrawAspect="Content" ObjectID="_1460439722" r:id="rId131"/>
        </w:object>
      </w:r>
      <w:r>
        <w:rPr>
          <w:szCs w:val="22"/>
        </w:rPr>
        <w:t xml:space="preserve">),  </w:t>
      </w:r>
      <w:r w:rsidRPr="000310DC">
        <w:rPr>
          <w:position w:val="-12"/>
          <w:szCs w:val="22"/>
        </w:rPr>
        <w:object w:dxaOrig="279" w:dyaOrig="360">
          <v:shape id="_x0000_i1051" type="#_x0000_t75" style="width:13.55pt;height:17.75pt" o:ole="">
            <v:imagedata r:id="rId132" o:title=""/>
          </v:shape>
          <o:OLEObject Type="Embed" ProgID="Equation.DSMT4" ShapeID="_x0000_i1051" DrawAspect="Content" ObjectID="_1460439723" r:id="rId133"/>
        </w:object>
      </w:r>
      <w:r>
        <w:rPr>
          <w:szCs w:val="22"/>
        </w:rPr>
        <w:t xml:space="preserve">, </w:t>
      </w:r>
      <w:r w:rsidRPr="000310DC">
        <w:rPr>
          <w:position w:val="-12"/>
          <w:szCs w:val="22"/>
        </w:rPr>
        <w:object w:dxaOrig="300" w:dyaOrig="360">
          <v:shape id="_x0000_i1052" type="#_x0000_t75" style="width:13.55pt;height:17.75pt" o:ole="">
            <v:imagedata r:id="rId134" o:title=""/>
          </v:shape>
          <o:OLEObject Type="Embed" ProgID="Equation.DSMT4" ShapeID="_x0000_i1052" DrawAspect="Content" ObjectID="_1460439724" r:id="rId135"/>
        </w:object>
      </w:r>
      <w:r>
        <w:rPr>
          <w:szCs w:val="22"/>
        </w:rPr>
        <w:t xml:space="preserve">, and </w:t>
      </w:r>
      <w:r w:rsidRPr="00663265">
        <w:rPr>
          <w:i/>
          <w:szCs w:val="22"/>
        </w:rPr>
        <w:sym w:font="Symbol" w:char="F062"/>
      </w:r>
      <w:r w:rsidRPr="00663265">
        <w:rPr>
          <w:szCs w:val="22"/>
        </w:rPr>
        <w:t xml:space="preserve"> are parameters</w:t>
      </w:r>
      <w:r>
        <w:rPr>
          <w:szCs w:val="22"/>
        </w:rPr>
        <w:t xml:space="preserve"> and</w:t>
      </w:r>
      <w:r w:rsidRPr="00663265">
        <w:rPr>
          <w:szCs w:val="22"/>
        </w:rPr>
        <w:t xml:space="preserve">  </w:t>
      </w:r>
      <w:r w:rsidRPr="00663265">
        <w:rPr>
          <w:i/>
          <w:szCs w:val="22"/>
        </w:rPr>
        <w:t>j</w:t>
      </w:r>
      <w:r w:rsidRPr="00663265">
        <w:rPr>
          <w:i/>
          <w:szCs w:val="22"/>
          <w:vertAlign w:val="subscript"/>
        </w:rPr>
        <w:t>1</w:t>
      </w:r>
      <w:r w:rsidRPr="00663265">
        <w:rPr>
          <w:i/>
          <w:szCs w:val="22"/>
          <w:vertAlign w:val="superscript"/>
        </w:rPr>
        <w:t xml:space="preserve"> </w:t>
      </w:r>
      <w:r w:rsidRPr="00663265">
        <w:rPr>
          <w:szCs w:val="22"/>
        </w:rPr>
        <w:t xml:space="preserve">and </w:t>
      </w:r>
      <w:r w:rsidRPr="00663265">
        <w:rPr>
          <w:i/>
          <w:szCs w:val="22"/>
        </w:rPr>
        <w:t>j</w:t>
      </w:r>
      <w:r w:rsidRPr="00663265">
        <w:rPr>
          <w:i/>
          <w:szCs w:val="22"/>
          <w:vertAlign w:val="subscript"/>
        </w:rPr>
        <w:t>2</w:t>
      </w:r>
      <w:r w:rsidRPr="00663265">
        <w:rPr>
          <w:szCs w:val="22"/>
        </w:rPr>
        <w:t xml:space="preserve"> are </w:t>
      </w:r>
      <w:r>
        <w:rPr>
          <w:szCs w:val="22"/>
        </w:rPr>
        <w:t xml:space="preserve">the </w:t>
      </w:r>
      <w:r w:rsidRPr="00663265">
        <w:rPr>
          <w:szCs w:val="22"/>
        </w:rPr>
        <w:t xml:space="preserve">lower and upper limits of the receiving length interval </w:t>
      </w:r>
      <w:r w:rsidRPr="00663265">
        <w:rPr>
          <w:i/>
          <w:szCs w:val="22"/>
        </w:rPr>
        <w:t>j</w:t>
      </w:r>
      <w:r>
        <w:rPr>
          <w:i/>
          <w:szCs w:val="22"/>
        </w:rPr>
        <w:t xml:space="preserve"> </w:t>
      </w:r>
      <w:r>
        <w:rPr>
          <w:szCs w:val="22"/>
        </w:rPr>
        <w:t>(in mm CL)</w:t>
      </w:r>
      <w:r w:rsidRPr="00663265">
        <w:rPr>
          <w:szCs w:val="22"/>
        </w:rPr>
        <w:t xml:space="preserve">, </w:t>
      </w:r>
      <w:r w:rsidRPr="00663265">
        <w:rPr>
          <w:i/>
          <w:szCs w:val="22"/>
        </w:rPr>
        <w:t>τ</w:t>
      </w:r>
      <w:r w:rsidRPr="00663265">
        <w:rPr>
          <w:i/>
          <w:szCs w:val="22"/>
          <w:vertAlign w:val="subscript"/>
        </w:rPr>
        <w:t>i</w:t>
      </w:r>
      <w:r w:rsidRPr="00663265">
        <w:rPr>
          <w:i/>
          <w:szCs w:val="22"/>
        </w:rPr>
        <w:t xml:space="preserve"> </w:t>
      </w:r>
      <w:r w:rsidRPr="00663265">
        <w:rPr>
          <w:szCs w:val="22"/>
        </w:rPr>
        <w:t xml:space="preserve">is the mid-point of the contributing length interval </w:t>
      </w:r>
      <w:r w:rsidRPr="00663265">
        <w:rPr>
          <w:i/>
          <w:szCs w:val="22"/>
        </w:rPr>
        <w:t>i</w:t>
      </w:r>
      <w:r w:rsidRPr="00663265">
        <w:rPr>
          <w:szCs w:val="22"/>
        </w:rPr>
        <w:t xml:space="preserve">, and </w:t>
      </w:r>
      <w:r w:rsidRPr="00663265">
        <w:rPr>
          <w:i/>
          <w:szCs w:val="22"/>
        </w:rPr>
        <w:t>n</w:t>
      </w:r>
      <w:r w:rsidRPr="00663265">
        <w:rPr>
          <w:szCs w:val="22"/>
        </w:rPr>
        <w:t xml:space="preserve"> is the total number of receiving length intervals. </w:t>
      </w:r>
    </w:p>
    <w:p w:rsidR="00B86BD8" w:rsidRPr="00D21EA7" w:rsidRDefault="00B86BD8" w:rsidP="00BA71F0">
      <w:pPr>
        <w:spacing w:before="240"/>
        <w:rPr>
          <w:b/>
          <w:sz w:val="22"/>
          <w:szCs w:val="22"/>
        </w:rPr>
      </w:pPr>
      <w:r w:rsidRPr="00D21EA7">
        <w:rPr>
          <w:b/>
          <w:sz w:val="22"/>
          <w:szCs w:val="22"/>
        </w:rPr>
        <w:t>Selectivity and retention</w:t>
      </w:r>
    </w:p>
    <w:p w:rsidR="00B86BD8" w:rsidRDefault="00B86BD8" w:rsidP="00BA71F0">
      <w:pPr>
        <w:jc w:val="both"/>
        <w:rPr>
          <w:sz w:val="22"/>
          <w:szCs w:val="22"/>
        </w:rPr>
      </w:pPr>
      <w:r>
        <w:rPr>
          <w:sz w:val="22"/>
          <w:szCs w:val="22"/>
        </w:rPr>
        <w:t>Selectivity and retention are both assumed to be logistic function of length. Selectivity depends on year for the pot fishery:</w:t>
      </w:r>
    </w:p>
    <w:p w:rsidR="00B86BD8" w:rsidRDefault="00B86BD8" w:rsidP="00BA71F0">
      <w:pPr>
        <w:jc w:val="both"/>
        <w:rPr>
          <w:sz w:val="22"/>
          <w:szCs w:val="22"/>
        </w:rPr>
      </w:pPr>
    </w:p>
    <w:p w:rsidR="00B86BD8" w:rsidRDefault="009374C7" w:rsidP="00BA71F0">
      <w:pPr>
        <w:jc w:val="both"/>
        <w:rPr>
          <w:sz w:val="22"/>
          <w:szCs w:val="22"/>
        </w:rPr>
      </w:pP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i</m:t>
            </m:r>
          </m:sub>
        </m:sSub>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 xml:space="preserve">1+ </m:t>
            </m:r>
            <m:sSup>
              <m:sSupPr>
                <m:ctrlPr>
                  <w:rPr>
                    <w:rFonts w:ascii="Cambria Math" w:hAnsi="Cambria Math"/>
                    <w:i/>
                    <w:sz w:val="22"/>
                    <w:szCs w:val="22"/>
                  </w:rPr>
                </m:ctrlPr>
              </m:sSupPr>
              <m:e>
                <m:r>
                  <w:rPr>
                    <w:rFonts w:ascii="Cambria Math" w:hAnsi="Cambria Math"/>
                    <w:sz w:val="22"/>
                    <w:szCs w:val="22"/>
                  </w:rPr>
                  <m:t>e</m:t>
                </m:r>
              </m:e>
              <m:sup>
                <m:d>
                  <m:dPr>
                    <m:begChr m:val="["/>
                    <m:endChr m:val="]"/>
                    <m:ctrlPr>
                      <w:rPr>
                        <w:rFonts w:ascii="Cambria Math" w:hAnsi="Cambria Math"/>
                        <w:i/>
                        <w:sz w:val="22"/>
                        <w:szCs w:val="22"/>
                      </w:rPr>
                    </m:ctrlPr>
                  </m:dPr>
                  <m:e>
                    <m:r>
                      <w:rPr>
                        <w:rFonts w:ascii="Cambria Math" w:hAnsi="Cambria Math"/>
                        <w:sz w:val="22"/>
                        <w:szCs w:val="22"/>
                      </w:rPr>
                      <m:t>-</m:t>
                    </m:r>
                    <m:r>
                      <m:rPr>
                        <m:sty m:val="p"/>
                      </m:rPr>
                      <w:rPr>
                        <w:rFonts w:ascii="Cambria Math" w:hAnsi="Cambria Math"/>
                        <w:sz w:val="22"/>
                        <w:szCs w:val="22"/>
                      </w:rPr>
                      <m:t>ln⁡</m:t>
                    </m:r>
                    <m:r>
                      <w:rPr>
                        <w:rFonts w:ascii="Cambria Math" w:hAnsi="Cambria Math"/>
                        <w:sz w:val="22"/>
                        <w:szCs w:val="22"/>
                      </w:rPr>
                      <m:t>(19)</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50</m:t>
                            </m:r>
                          </m:sub>
                        </m:sSub>
                      </m:num>
                      <m:den>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95</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50</m:t>
                            </m:r>
                          </m:sub>
                        </m:sSub>
                      </m:den>
                    </m:f>
                  </m:e>
                </m:d>
              </m:sup>
            </m:sSup>
          </m:den>
        </m:f>
      </m:oMath>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t>(6)</w:t>
      </w:r>
    </w:p>
    <w:p w:rsidR="00B86BD8" w:rsidRDefault="00B86BD8" w:rsidP="00BA71F0">
      <w:pPr>
        <w:spacing w:before="120" w:after="120"/>
        <w:jc w:val="right"/>
        <w:rPr>
          <w:sz w:val="22"/>
          <w:szCs w:val="22"/>
        </w:rPr>
      </w:pPr>
      <w:r>
        <w:rPr>
          <w:position w:val="-24"/>
          <w:szCs w:val="22"/>
        </w:rPr>
        <w:tab/>
      </w:r>
      <w:r>
        <w:rPr>
          <w:position w:val="-24"/>
          <w:szCs w:val="22"/>
        </w:rPr>
        <w:tab/>
      </w:r>
      <w:r>
        <w:rPr>
          <w:position w:val="-24"/>
          <w:szCs w:val="22"/>
        </w:rPr>
        <w:tab/>
      </w:r>
      <w:r>
        <w:rPr>
          <w:position w:val="-24"/>
          <w:szCs w:val="22"/>
        </w:rPr>
        <w:tab/>
      </w:r>
      <w:r>
        <w:rPr>
          <w:position w:val="-24"/>
          <w:szCs w:val="22"/>
        </w:rPr>
        <w:tab/>
      </w:r>
    </w:p>
    <w:p w:rsidR="00B86BD8" w:rsidRDefault="00B86BD8" w:rsidP="00BA71F0">
      <w:pPr>
        <w:rPr>
          <w:sz w:val="22"/>
          <w:szCs w:val="22"/>
        </w:rPr>
      </w:pPr>
      <w:r>
        <w:rPr>
          <w:sz w:val="22"/>
          <w:szCs w:val="22"/>
        </w:rPr>
        <w:t xml:space="preserve">where </w:t>
      </w:r>
      <w:r>
        <w:rPr>
          <w:sz w:val="22"/>
          <w:szCs w:val="22"/>
        </w:rPr>
        <w:sym w:font="Symbol" w:char="F071"/>
      </w:r>
      <w:r>
        <w:rPr>
          <w:sz w:val="22"/>
          <w:szCs w:val="22"/>
          <w:vertAlign w:val="subscript"/>
        </w:rPr>
        <w:t>95</w:t>
      </w:r>
      <w:r>
        <w:rPr>
          <w:sz w:val="22"/>
          <w:szCs w:val="22"/>
        </w:rPr>
        <w:t xml:space="preserve"> and </w:t>
      </w:r>
      <w:r>
        <w:rPr>
          <w:sz w:val="22"/>
          <w:szCs w:val="22"/>
        </w:rPr>
        <w:sym w:font="Symbol" w:char="F071"/>
      </w:r>
      <w:r>
        <w:rPr>
          <w:sz w:val="22"/>
          <w:szCs w:val="22"/>
          <w:vertAlign w:val="subscript"/>
        </w:rPr>
        <w:t>50</w:t>
      </w:r>
      <w:r>
        <w:rPr>
          <w:sz w:val="22"/>
          <w:szCs w:val="22"/>
        </w:rPr>
        <w:t xml:space="preserve"> are the parameters of the selectivity/ retention pattern (Mark Maunder, unpublished generic crab model).</w:t>
      </w:r>
    </w:p>
    <w:p w:rsidR="00B86BD8" w:rsidRDefault="00B86BD8" w:rsidP="00BA71F0">
      <w:pPr>
        <w:rPr>
          <w:sz w:val="22"/>
          <w:szCs w:val="22"/>
        </w:rPr>
      </w:pPr>
    </w:p>
    <w:p w:rsidR="00B86BD8" w:rsidRPr="00D05C6A" w:rsidRDefault="00B86BD8" w:rsidP="00BA71F0">
      <w:pPr>
        <w:rPr>
          <w:b/>
          <w:sz w:val="22"/>
          <w:szCs w:val="22"/>
        </w:rPr>
      </w:pPr>
      <w:r w:rsidRPr="00D05C6A">
        <w:rPr>
          <w:b/>
          <w:sz w:val="22"/>
          <w:szCs w:val="22"/>
        </w:rPr>
        <w:t>Recruitment</w:t>
      </w:r>
    </w:p>
    <w:p w:rsidR="00B86BD8" w:rsidRPr="00D05C6A" w:rsidRDefault="00B86BD8" w:rsidP="00BA71F0">
      <w:pPr>
        <w:rPr>
          <w:sz w:val="22"/>
          <w:szCs w:val="22"/>
        </w:rPr>
      </w:pPr>
      <w:r>
        <w:rPr>
          <w:sz w:val="22"/>
          <w:szCs w:val="22"/>
        </w:rPr>
        <w:t xml:space="preserve">Recruitment to length –class i during year t is modeled as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t,i</m:t>
            </m:r>
          </m:sub>
        </m:sSub>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R</m:t>
            </m:r>
          </m:e>
        </m:acc>
        <m:sSup>
          <m:sSupPr>
            <m:ctrlPr>
              <w:rPr>
                <w:rFonts w:ascii="Cambria Math" w:hAnsi="Cambria Math"/>
                <w:i/>
                <w:sz w:val="22"/>
                <w:szCs w:val="22"/>
              </w:rPr>
            </m:ctrlPr>
          </m:sSupPr>
          <m:e>
            <m:r>
              <w:rPr>
                <w:rFonts w:ascii="Cambria Math" w:hAnsi="Cambria Math"/>
                <w:sz w:val="22"/>
                <w:szCs w:val="22"/>
              </w:rPr>
              <m:t>e</m:t>
            </m:r>
          </m:e>
          <m:sup>
            <m:sSub>
              <m:sSubPr>
                <m:ctrlPr>
                  <w:rPr>
                    <w:rFonts w:ascii="Cambria Math" w:hAnsi="Cambria Math"/>
                    <w:i/>
                    <w:sz w:val="22"/>
                    <w:szCs w:val="22"/>
                  </w:rPr>
                </m:ctrlPr>
              </m:sSubPr>
              <m:e>
                <m:r>
                  <w:rPr>
                    <w:rFonts w:ascii="Cambria Math" w:hAnsi="Cambria Math"/>
                    <w:sz w:val="22"/>
                    <w:szCs w:val="22"/>
                  </w:rPr>
                  <m:t>ϵ</m:t>
                </m:r>
              </m:e>
              <m:sub>
                <m:r>
                  <w:rPr>
                    <w:rFonts w:ascii="Cambria Math" w:hAnsi="Cambria Math"/>
                    <w:sz w:val="22"/>
                    <w:szCs w:val="22"/>
                  </w:rPr>
                  <m:t>i</m:t>
                </m:r>
              </m:sub>
            </m:sSub>
          </m:sup>
        </m:sSup>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i</m:t>
            </m:r>
          </m:sub>
        </m:sSub>
      </m:oMath>
      <w:r>
        <w:rPr>
          <w:sz w:val="22"/>
          <w:szCs w:val="22"/>
        </w:rPr>
        <w:t xml:space="preserve"> where </w:t>
      </w:r>
      <m:oMath>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i</m:t>
            </m:r>
          </m:sub>
        </m:sSub>
      </m:oMath>
      <w:r>
        <w:rPr>
          <w:sz w:val="22"/>
          <w:szCs w:val="22"/>
        </w:rPr>
        <w:t xml:space="preserve"> is a normalized gamma function (Equation 4) with </w:t>
      </w:r>
      <w:r w:rsidRPr="00043DDD">
        <w:rPr>
          <w:i/>
          <w:sz w:val="22"/>
          <w:szCs w:val="22"/>
        </w:rPr>
        <w:t>α</w:t>
      </w:r>
      <w:r w:rsidRPr="00043DDD">
        <w:rPr>
          <w:i/>
          <w:sz w:val="22"/>
          <w:szCs w:val="22"/>
          <w:vertAlign w:val="subscript"/>
        </w:rPr>
        <w:t>r</w:t>
      </w:r>
      <w:r>
        <w:rPr>
          <w:sz w:val="22"/>
          <w:szCs w:val="22"/>
          <w:vertAlign w:val="subscript"/>
        </w:rPr>
        <w:t xml:space="preserve"> </w:t>
      </w:r>
      <w:r w:rsidRPr="00D05C6A">
        <w:rPr>
          <w:sz w:val="22"/>
          <w:szCs w:val="22"/>
        </w:rPr>
        <w:t>and</w:t>
      </w:r>
      <w:r>
        <w:rPr>
          <w:sz w:val="22"/>
          <w:szCs w:val="22"/>
          <w:vertAlign w:val="subscript"/>
        </w:rPr>
        <w:t xml:space="preserve"> </w:t>
      </w:r>
      <w:r w:rsidRPr="00043DDD">
        <w:rPr>
          <w:i/>
          <w:sz w:val="22"/>
          <w:szCs w:val="22"/>
        </w:rPr>
        <w:t>β</w:t>
      </w:r>
      <w:r w:rsidRPr="00043DDD">
        <w:rPr>
          <w:i/>
          <w:sz w:val="22"/>
          <w:szCs w:val="22"/>
          <w:vertAlign w:val="subscript"/>
        </w:rPr>
        <w:t>r</w:t>
      </w:r>
      <w:r>
        <w:rPr>
          <w:sz w:val="22"/>
          <w:szCs w:val="22"/>
        </w:rPr>
        <w:t xml:space="preserve"> (restricted to the first six length- classes).</w:t>
      </w:r>
    </w:p>
    <w:p w:rsidR="00B86BD8" w:rsidRPr="00663265" w:rsidRDefault="00B86BD8" w:rsidP="00BA71F0">
      <w:pPr>
        <w:rPr>
          <w:sz w:val="22"/>
          <w:szCs w:val="22"/>
        </w:rPr>
      </w:pPr>
    </w:p>
    <w:p w:rsidR="00B86BD8" w:rsidRDefault="00B86BD8" w:rsidP="00BA71F0">
      <w:pPr>
        <w:pStyle w:val="BodyText"/>
        <w:spacing w:line="240" w:lineRule="auto"/>
        <w:rPr>
          <w:b/>
          <w:szCs w:val="22"/>
        </w:rPr>
      </w:pPr>
      <w:r w:rsidRPr="00D21EA7">
        <w:rPr>
          <w:b/>
          <w:szCs w:val="22"/>
        </w:rPr>
        <w:t>Parameter estimation</w:t>
      </w:r>
    </w:p>
    <w:p w:rsidR="00B86BD8" w:rsidRDefault="00B86BD8" w:rsidP="00BA71F0">
      <w:pPr>
        <w:pStyle w:val="BodyText"/>
        <w:spacing w:line="240" w:lineRule="auto"/>
        <w:jc w:val="both"/>
        <w:rPr>
          <w:szCs w:val="22"/>
        </w:rPr>
      </w:pPr>
      <w:r w:rsidRPr="002C42CC">
        <w:rPr>
          <w:szCs w:val="22"/>
        </w:rPr>
        <w:t>Table 1 lists the parameters of the model</w:t>
      </w:r>
      <w:r>
        <w:rPr>
          <w:szCs w:val="22"/>
        </w:rPr>
        <w:t xml:space="preserve"> indicating which are estimated and which are pre-specified. The objective function includes contributions related to the fit of the model to the available data and penalties (priors on the various parameters). </w:t>
      </w:r>
    </w:p>
    <w:p w:rsidR="00B86BD8" w:rsidRDefault="00B86BD8" w:rsidP="00BA71F0">
      <w:pPr>
        <w:pStyle w:val="BodyText"/>
        <w:spacing w:line="240" w:lineRule="auto"/>
        <w:jc w:val="both"/>
        <w:rPr>
          <w:szCs w:val="22"/>
        </w:rPr>
      </w:pPr>
    </w:p>
    <w:p w:rsidR="00B86BD8" w:rsidRDefault="00B86BD8" w:rsidP="00BA71F0">
      <w:pPr>
        <w:pStyle w:val="BodyText"/>
        <w:spacing w:line="240" w:lineRule="auto"/>
        <w:jc w:val="both"/>
        <w:rPr>
          <w:szCs w:val="22"/>
        </w:rPr>
      </w:pPr>
    </w:p>
    <w:p w:rsidR="00B86BD8" w:rsidRDefault="00B86BD8" w:rsidP="00BA71F0">
      <w:pPr>
        <w:pStyle w:val="BodyText"/>
        <w:spacing w:line="240" w:lineRule="auto"/>
        <w:jc w:val="both"/>
        <w:rPr>
          <w:szCs w:val="22"/>
        </w:rPr>
      </w:pPr>
      <w:r>
        <w:rPr>
          <w:szCs w:val="22"/>
        </w:rPr>
        <w:t>Tables 2a and 2b list the values for the parameters which weight the components of the objective function for EAG and WAG, respectively.</w:t>
      </w:r>
    </w:p>
    <w:p w:rsidR="00B86BD8" w:rsidRDefault="00B86BD8" w:rsidP="00BA71F0">
      <w:pPr>
        <w:pStyle w:val="BodyText"/>
        <w:spacing w:line="240" w:lineRule="auto"/>
        <w:jc w:val="both"/>
        <w:rPr>
          <w:szCs w:val="22"/>
        </w:rPr>
      </w:pPr>
    </w:p>
    <w:p w:rsidR="00B86BD8" w:rsidRPr="00B739D8" w:rsidRDefault="00B86BD8" w:rsidP="00BA71F0">
      <w:pPr>
        <w:pStyle w:val="BodyText"/>
        <w:spacing w:line="240" w:lineRule="auto"/>
        <w:jc w:val="both"/>
        <w:rPr>
          <w:b/>
          <w:szCs w:val="22"/>
        </w:rPr>
      </w:pPr>
      <w:r w:rsidRPr="00B739D8">
        <w:rPr>
          <w:b/>
          <w:szCs w:val="22"/>
        </w:rPr>
        <w:t>Likelihood components</w:t>
      </w:r>
    </w:p>
    <w:p w:rsidR="00B86BD8" w:rsidRPr="00790938" w:rsidRDefault="00B86BD8" w:rsidP="00BA71F0">
      <w:pPr>
        <w:spacing w:before="240"/>
        <w:rPr>
          <w:i/>
          <w:position w:val="-26"/>
          <w:sz w:val="22"/>
          <w:szCs w:val="22"/>
        </w:rPr>
      </w:pPr>
      <w:r w:rsidRPr="00790938">
        <w:rPr>
          <w:i/>
          <w:position w:val="-26"/>
          <w:sz w:val="22"/>
          <w:szCs w:val="22"/>
        </w:rPr>
        <w:t>Catches</w:t>
      </w:r>
    </w:p>
    <w:p w:rsidR="00B86BD8" w:rsidRDefault="00B86BD8" w:rsidP="00BA71F0">
      <w:pPr>
        <w:rPr>
          <w:position w:val="-26"/>
          <w:sz w:val="22"/>
          <w:szCs w:val="22"/>
        </w:rPr>
      </w:pPr>
      <w:r>
        <w:rPr>
          <w:position w:val="-26"/>
          <w:sz w:val="22"/>
          <w:szCs w:val="22"/>
        </w:rPr>
        <w:t>The contribution of the catch data (retained, total, and groundfish discarded) to the objective function is given by:</w:t>
      </w:r>
    </w:p>
    <w:p w:rsidR="00B86BD8" w:rsidRDefault="00B86BD8" w:rsidP="00F029C5">
      <w:pPr>
        <w:spacing w:before="120" w:after="120"/>
        <w:jc w:val="center"/>
        <w:rPr>
          <w:sz w:val="22"/>
          <w:szCs w:val="22"/>
        </w:rPr>
      </w:pPr>
      <w:r w:rsidRPr="00790938">
        <w:rPr>
          <w:position w:val="-30"/>
          <w:sz w:val="22"/>
          <w:szCs w:val="22"/>
        </w:rPr>
        <w:object w:dxaOrig="5080" w:dyaOrig="700">
          <v:shape id="_x0000_i1053" type="#_x0000_t75" style="width:253.55pt;height:35.5pt" o:ole="">
            <v:imagedata r:id="rId136" o:title=""/>
          </v:shape>
          <o:OLEObject Type="Embed" ProgID="Equation.DSMT4" ShapeID="_x0000_i1053" DrawAspect="Content" ObjectID="_1460439725" r:id="rId137"/>
        </w:object>
      </w:r>
      <w:r>
        <w:rPr>
          <w:position w:val="-26"/>
          <w:sz w:val="22"/>
          <w:szCs w:val="22"/>
        </w:rPr>
        <w:tab/>
      </w:r>
      <w:r>
        <w:rPr>
          <w:position w:val="-26"/>
          <w:sz w:val="22"/>
          <w:szCs w:val="22"/>
        </w:rPr>
        <w:tab/>
      </w:r>
      <w:r>
        <w:rPr>
          <w:position w:val="-26"/>
          <w:sz w:val="22"/>
          <w:szCs w:val="22"/>
        </w:rPr>
        <w:tab/>
      </w:r>
      <w:r>
        <w:rPr>
          <w:sz w:val="22"/>
          <w:szCs w:val="22"/>
        </w:rPr>
        <w:t>(7a)</w:t>
      </w:r>
    </w:p>
    <w:p w:rsidR="00B86BD8" w:rsidRDefault="009374C7" w:rsidP="00BA71F0">
      <w:pPr>
        <w:spacing w:before="120" w:after="120"/>
        <w:jc w:val="center"/>
        <w:rPr>
          <w:sz w:val="22"/>
          <w:szCs w:val="22"/>
        </w:rPr>
      </w:pPr>
      <m:oMath>
        <m:sSubSup>
          <m:sSubSupPr>
            <m:ctrlPr>
              <w:rPr>
                <w:rFonts w:ascii="Cambria Math" w:hAnsi="Cambria Math"/>
                <w:i/>
                <w:sz w:val="22"/>
                <w:szCs w:val="22"/>
              </w:rPr>
            </m:ctrlPr>
          </m:sSubSupPr>
          <m:e>
            <m:r>
              <w:rPr>
                <w:rFonts w:ascii="Cambria Math" w:hAnsi="Cambria Math"/>
                <w:sz w:val="22"/>
                <w:szCs w:val="22"/>
              </w:rPr>
              <m:t>LL</m:t>
            </m:r>
          </m:e>
          <m:sub>
            <m:r>
              <w:rPr>
                <w:rFonts w:ascii="Cambria Math" w:hAnsi="Cambria Math"/>
                <w:sz w:val="22"/>
                <w:szCs w:val="22"/>
              </w:rPr>
              <m:t>T</m:t>
            </m:r>
          </m:sub>
          <m:sup>
            <m:r>
              <w:rPr>
                <w:rFonts w:ascii="Cambria Math" w:hAnsi="Cambria Math"/>
                <w:sz w:val="22"/>
                <w:szCs w:val="22"/>
              </w:rPr>
              <m:t>catch</m:t>
            </m:r>
          </m:sup>
        </m:sSub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T</m:t>
            </m:r>
          </m:sub>
        </m:sSub>
        <m:nary>
          <m:naryPr>
            <m:chr m:val="∑"/>
            <m:limLoc m:val="undOvr"/>
            <m:supHide m:val="1"/>
            <m:ctrlPr>
              <w:rPr>
                <w:rFonts w:ascii="Cambria Math" w:hAnsi="Cambria Math"/>
                <w:i/>
                <w:sz w:val="22"/>
                <w:szCs w:val="22"/>
              </w:rPr>
            </m:ctrlPr>
          </m:naryPr>
          <m:sub>
            <m:r>
              <w:rPr>
                <w:rFonts w:ascii="Cambria Math" w:hAnsi="Cambria Math"/>
                <w:sz w:val="22"/>
                <w:szCs w:val="22"/>
              </w:rPr>
              <m:t>t</m:t>
            </m:r>
          </m:sub>
          <m:sup/>
          <m:e>
            <m:r>
              <w:rPr>
                <w:rFonts w:ascii="Cambria Math" w:hAnsi="Cambria Math"/>
                <w:sz w:val="22"/>
                <w:szCs w:val="22"/>
              </w:rPr>
              <m:t>{</m:t>
            </m:r>
            <m:r>
              <m:rPr>
                <m:sty m:val="p"/>
              </m:rPr>
              <w:rPr>
                <w:rFonts w:ascii="Cambria Math" w:hAnsi="Cambria Math"/>
                <w:sz w:val="22"/>
                <w:szCs w:val="22"/>
              </w:rPr>
              <m:t>ln⁡</m:t>
            </m:r>
            <m:r>
              <w:rPr>
                <w:rFonts w:ascii="Cambria Math" w:hAnsi="Cambria Math"/>
                <w:sz w:val="22"/>
                <w:szCs w:val="22"/>
              </w:rPr>
              <m:t>(</m:t>
            </m:r>
            <m:nary>
              <m:naryPr>
                <m:chr m:val="∑"/>
                <m:limLoc m:val="undOvr"/>
                <m:supHide m:val="1"/>
                <m:ctrlPr>
                  <w:rPr>
                    <w:rFonts w:ascii="Cambria Math" w:hAnsi="Cambria Math"/>
                    <w:i/>
                    <w:sz w:val="22"/>
                    <w:szCs w:val="22"/>
                  </w:rPr>
                </m:ctrlPr>
              </m:naryPr>
              <m:sub>
                <m:r>
                  <w:rPr>
                    <w:rFonts w:ascii="Cambria Math" w:hAnsi="Cambria Math"/>
                    <w:sz w:val="22"/>
                    <w:szCs w:val="22"/>
                  </w:rPr>
                  <m:t>j</m:t>
                </m:r>
              </m:sub>
              <m:sup/>
              <m:e>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T</m:t>
                        </m:r>
                      </m:e>
                    </m:acc>
                  </m:e>
                  <m:sub>
                    <m:r>
                      <w:rPr>
                        <w:rFonts w:ascii="Cambria Math" w:hAnsi="Cambria Math"/>
                        <w:sz w:val="22"/>
                        <w:szCs w:val="22"/>
                      </w:rPr>
                      <m:t>t,j</m:t>
                    </m:r>
                  </m:sub>
                </m:sSub>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j</m:t>
                    </m:r>
                  </m:sub>
                </m:sSub>
                <m:r>
                  <w:rPr>
                    <w:rFonts w:ascii="Cambria Math" w:hAnsi="Cambria Math"/>
                    <w:sz w:val="22"/>
                    <w:szCs w:val="22"/>
                  </w:rPr>
                  <m:t>+c)</m:t>
                </m:r>
              </m:e>
            </m:nary>
          </m:e>
        </m:nary>
        <m:r>
          <w:rPr>
            <w:rFonts w:ascii="Cambria Math" w:hAnsi="Cambria Math"/>
            <w:sz w:val="22"/>
            <w:szCs w:val="22"/>
          </w:rPr>
          <m:t>-</m:t>
        </m:r>
        <m:r>
          <m:rPr>
            <m:sty m:val="p"/>
          </m:rPr>
          <w:rPr>
            <w:rFonts w:ascii="Cambria Math" w:hAnsi="Cambria Math"/>
            <w:sz w:val="22"/>
            <w:szCs w:val="22"/>
          </w:rPr>
          <m:t>ln⁡</m:t>
        </m:r>
        <m:r>
          <w:rPr>
            <w:rFonts w:ascii="Cambria Math" w:hAnsi="Cambria Math"/>
            <w:sz w:val="22"/>
            <w:szCs w:val="22"/>
          </w:rPr>
          <m:t>(</m:t>
        </m:r>
        <m:nary>
          <m:naryPr>
            <m:chr m:val="∑"/>
            <m:limLoc m:val="undOvr"/>
            <m:supHide m:val="1"/>
            <m:ctrlPr>
              <w:rPr>
                <w:rFonts w:ascii="Cambria Math" w:hAnsi="Cambria Math"/>
                <w:i/>
                <w:sz w:val="22"/>
                <w:szCs w:val="22"/>
              </w:rPr>
            </m:ctrlPr>
          </m:naryPr>
          <m:sub>
            <m:r>
              <w:rPr>
                <w:rFonts w:ascii="Cambria Math" w:hAnsi="Cambria Math"/>
                <w:sz w:val="22"/>
                <w:szCs w:val="22"/>
              </w:rPr>
              <m:t>j</m:t>
            </m:r>
          </m:sub>
          <m:sup/>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t,j</m:t>
                </m:r>
              </m:sub>
            </m:sSub>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j</m:t>
                </m:r>
              </m:sub>
            </m:sSub>
            <m:r>
              <w:rPr>
                <w:rFonts w:ascii="Cambria Math" w:hAnsi="Cambria Math"/>
                <w:sz w:val="22"/>
                <w:szCs w:val="22"/>
              </w:rPr>
              <m:t>+c)</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e>
        </m:nary>
      </m:oMath>
      <w:r w:rsidR="00B86BD8">
        <w:rPr>
          <w:sz w:val="22"/>
          <w:szCs w:val="22"/>
        </w:rPr>
        <w:tab/>
        <w:t xml:space="preserve">        </w:t>
      </w:r>
      <w:r w:rsidR="00B86BD8">
        <w:rPr>
          <w:sz w:val="22"/>
          <w:szCs w:val="22"/>
        </w:rPr>
        <w:tab/>
      </w:r>
      <w:r w:rsidR="00B86BD8">
        <w:rPr>
          <w:sz w:val="22"/>
          <w:szCs w:val="22"/>
        </w:rPr>
        <w:tab/>
        <w:t>7(b)</w:t>
      </w:r>
    </w:p>
    <w:p w:rsidR="00B86BD8" w:rsidRDefault="009374C7" w:rsidP="00BA71F0">
      <w:pPr>
        <w:spacing w:before="120" w:after="120"/>
        <w:jc w:val="center"/>
        <w:rPr>
          <w:sz w:val="22"/>
          <w:szCs w:val="22"/>
        </w:rPr>
      </w:pPr>
      <m:oMath>
        <m:sSubSup>
          <m:sSubSupPr>
            <m:ctrlPr>
              <w:rPr>
                <w:rFonts w:ascii="Cambria Math" w:hAnsi="Cambria Math"/>
                <w:i/>
                <w:sz w:val="22"/>
                <w:szCs w:val="22"/>
              </w:rPr>
            </m:ctrlPr>
          </m:sSubSupPr>
          <m:e>
            <m:r>
              <w:rPr>
                <w:rFonts w:ascii="Cambria Math" w:hAnsi="Cambria Math"/>
                <w:sz w:val="22"/>
                <w:szCs w:val="22"/>
              </w:rPr>
              <m:t>LL</m:t>
            </m:r>
          </m:e>
          <m:sub>
            <m:r>
              <w:rPr>
                <w:rFonts w:ascii="Cambria Math" w:hAnsi="Cambria Math"/>
                <w:sz w:val="22"/>
                <w:szCs w:val="22"/>
              </w:rPr>
              <m:t>GD</m:t>
            </m:r>
          </m:sub>
          <m:sup>
            <m:r>
              <w:rPr>
                <w:rFonts w:ascii="Cambria Math" w:hAnsi="Cambria Math"/>
                <w:sz w:val="22"/>
                <w:szCs w:val="22"/>
              </w:rPr>
              <m:t>catch</m:t>
            </m:r>
          </m:sup>
        </m:sSub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GD</m:t>
            </m:r>
          </m:sub>
        </m:sSub>
        <m:nary>
          <m:naryPr>
            <m:chr m:val="∑"/>
            <m:limLoc m:val="undOvr"/>
            <m:supHide m:val="1"/>
            <m:ctrlPr>
              <w:rPr>
                <w:rFonts w:ascii="Cambria Math" w:hAnsi="Cambria Math"/>
                <w:i/>
                <w:sz w:val="22"/>
                <w:szCs w:val="22"/>
              </w:rPr>
            </m:ctrlPr>
          </m:naryPr>
          <m:sub>
            <m:r>
              <w:rPr>
                <w:rFonts w:ascii="Cambria Math" w:hAnsi="Cambria Math"/>
                <w:sz w:val="22"/>
                <w:szCs w:val="22"/>
              </w:rPr>
              <m:t>t</m:t>
            </m:r>
          </m:sub>
          <m:sup/>
          <m:e>
            <m:r>
              <w:rPr>
                <w:rFonts w:ascii="Cambria Math" w:hAnsi="Cambria Math"/>
                <w:sz w:val="22"/>
                <w:szCs w:val="22"/>
              </w:rPr>
              <m:t>{</m:t>
            </m:r>
            <m:r>
              <m:rPr>
                <m:sty m:val="p"/>
              </m:rPr>
              <w:rPr>
                <w:rFonts w:ascii="Cambria Math" w:hAnsi="Cambria Math"/>
                <w:sz w:val="22"/>
                <w:szCs w:val="22"/>
              </w:rPr>
              <m:t>ln⁡</m:t>
            </m:r>
            <m:r>
              <w:rPr>
                <w:rFonts w:ascii="Cambria Math" w:hAnsi="Cambria Math"/>
                <w:sz w:val="22"/>
                <w:szCs w:val="22"/>
              </w:rPr>
              <m:t>(</m:t>
            </m:r>
            <m:nary>
              <m:naryPr>
                <m:chr m:val="∑"/>
                <m:limLoc m:val="undOvr"/>
                <m:supHide m:val="1"/>
                <m:ctrlPr>
                  <w:rPr>
                    <w:rFonts w:ascii="Cambria Math" w:hAnsi="Cambria Math"/>
                    <w:i/>
                    <w:sz w:val="22"/>
                    <w:szCs w:val="22"/>
                  </w:rPr>
                </m:ctrlPr>
              </m:naryPr>
              <m:sub>
                <m:r>
                  <w:rPr>
                    <w:rFonts w:ascii="Cambria Math" w:hAnsi="Cambria Math"/>
                    <w:sz w:val="22"/>
                    <w:szCs w:val="22"/>
                  </w:rPr>
                  <m:t>j</m:t>
                </m:r>
              </m:sub>
              <m:sup/>
              <m:e>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Tr</m:t>
                        </m:r>
                      </m:e>
                    </m:acc>
                  </m:e>
                  <m:sub>
                    <m:r>
                      <w:rPr>
                        <w:rFonts w:ascii="Cambria Math" w:hAnsi="Cambria Math"/>
                        <w:sz w:val="22"/>
                        <w:szCs w:val="22"/>
                      </w:rPr>
                      <m:t>t,j</m:t>
                    </m:r>
                  </m:sub>
                </m:sSub>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j</m:t>
                    </m:r>
                  </m:sub>
                </m:sSub>
                <m:r>
                  <w:rPr>
                    <w:rFonts w:ascii="Cambria Math" w:hAnsi="Cambria Math"/>
                    <w:sz w:val="22"/>
                    <w:szCs w:val="22"/>
                  </w:rPr>
                  <m:t>+c)</m:t>
                </m:r>
              </m:e>
            </m:nary>
          </m:e>
        </m:nary>
        <m:r>
          <w:rPr>
            <w:rFonts w:ascii="Cambria Math" w:hAnsi="Cambria Math"/>
            <w:sz w:val="22"/>
            <w:szCs w:val="22"/>
          </w:rPr>
          <m:t>-</m:t>
        </m:r>
        <m:r>
          <m:rPr>
            <m:sty m:val="p"/>
          </m:rPr>
          <w:rPr>
            <w:rFonts w:ascii="Cambria Math" w:hAnsi="Cambria Math"/>
            <w:sz w:val="22"/>
            <w:szCs w:val="22"/>
          </w:rPr>
          <m:t>ln⁡</m:t>
        </m:r>
        <m:r>
          <w:rPr>
            <w:rFonts w:ascii="Cambria Math" w:hAnsi="Cambria Math"/>
            <w:sz w:val="22"/>
            <w:szCs w:val="22"/>
          </w:rPr>
          <m:t>(</m:t>
        </m:r>
        <m:nary>
          <m:naryPr>
            <m:chr m:val="∑"/>
            <m:limLoc m:val="undOvr"/>
            <m:supHide m:val="1"/>
            <m:ctrlPr>
              <w:rPr>
                <w:rFonts w:ascii="Cambria Math" w:hAnsi="Cambria Math"/>
                <w:i/>
                <w:sz w:val="22"/>
                <w:szCs w:val="22"/>
              </w:rPr>
            </m:ctrlPr>
          </m:naryPr>
          <m:sub>
            <m:r>
              <w:rPr>
                <w:rFonts w:ascii="Cambria Math" w:hAnsi="Cambria Math"/>
                <w:sz w:val="22"/>
                <w:szCs w:val="22"/>
              </w:rPr>
              <m:t>j</m:t>
            </m:r>
          </m:sub>
          <m:sup/>
          <m:e>
            <m:sSub>
              <m:sSubPr>
                <m:ctrlPr>
                  <w:rPr>
                    <w:rFonts w:ascii="Cambria Math" w:hAnsi="Cambria Math"/>
                    <w:i/>
                    <w:sz w:val="22"/>
                    <w:szCs w:val="22"/>
                  </w:rPr>
                </m:ctrlPr>
              </m:sSubPr>
              <m:e>
                <m:r>
                  <w:rPr>
                    <w:rFonts w:ascii="Cambria Math" w:hAnsi="Cambria Math"/>
                    <w:sz w:val="22"/>
                    <w:szCs w:val="22"/>
                  </w:rPr>
                  <m:t>Tr</m:t>
                </m:r>
              </m:e>
              <m:sub>
                <m:r>
                  <w:rPr>
                    <w:rFonts w:ascii="Cambria Math" w:hAnsi="Cambria Math"/>
                    <w:sz w:val="22"/>
                    <w:szCs w:val="22"/>
                  </w:rPr>
                  <m:t>t,j</m:t>
                </m:r>
              </m:sub>
            </m:sSub>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j</m:t>
                </m:r>
              </m:sub>
            </m:sSub>
            <m:r>
              <w:rPr>
                <w:rFonts w:ascii="Cambria Math" w:hAnsi="Cambria Math"/>
                <w:sz w:val="22"/>
                <w:szCs w:val="22"/>
              </w:rPr>
              <m:t>+c)</m:t>
            </m:r>
            <m:sSup>
              <m:sSupPr>
                <m:ctrlPr>
                  <w:rPr>
                    <w:rFonts w:ascii="Cambria Math" w:hAnsi="Cambria Math"/>
                    <w:i/>
                    <w:sz w:val="22"/>
                    <w:szCs w:val="22"/>
                  </w:rPr>
                </m:ctrlPr>
              </m:sSupPr>
              <m:e>
                <m:r>
                  <w:rPr>
                    <w:rFonts w:ascii="Cambria Math" w:hAnsi="Cambria Math"/>
                    <w:sz w:val="22"/>
                    <w:szCs w:val="22"/>
                  </w:rPr>
                  <m:t>}</m:t>
                </m:r>
              </m:e>
              <m:sup>
                <m:r>
                  <w:rPr>
                    <w:rFonts w:ascii="Cambria Math" w:hAnsi="Cambria Math"/>
                    <w:sz w:val="22"/>
                    <w:szCs w:val="22"/>
                  </w:rPr>
                  <m:t>2</m:t>
                </m:r>
              </m:sup>
            </m:sSup>
          </m:e>
        </m:nary>
      </m:oMath>
      <w:r w:rsidR="00B86BD8">
        <w:rPr>
          <w:sz w:val="22"/>
          <w:szCs w:val="22"/>
        </w:rPr>
        <w:t xml:space="preserve">          </w:t>
      </w:r>
      <w:r w:rsidR="00B86BD8">
        <w:rPr>
          <w:sz w:val="22"/>
          <w:szCs w:val="22"/>
        </w:rPr>
        <w:tab/>
      </w:r>
      <w:r w:rsidR="00B86BD8">
        <w:rPr>
          <w:sz w:val="22"/>
          <w:szCs w:val="22"/>
        </w:rPr>
        <w:tab/>
        <w:t xml:space="preserve"> (7c)     </w:t>
      </w:r>
    </w:p>
    <w:p w:rsidR="00B86BD8" w:rsidRDefault="00B86BD8" w:rsidP="00BA71F0">
      <w:pPr>
        <w:pStyle w:val="BodyText"/>
        <w:spacing w:line="240" w:lineRule="auto"/>
        <w:jc w:val="both"/>
        <w:rPr>
          <w:szCs w:val="22"/>
        </w:rPr>
      </w:pPr>
    </w:p>
    <w:p w:rsidR="00B86BD8" w:rsidRPr="00790938" w:rsidRDefault="00B86BD8" w:rsidP="00BA71F0">
      <w:pPr>
        <w:pStyle w:val="BodyText"/>
        <w:spacing w:line="240" w:lineRule="auto"/>
        <w:jc w:val="both"/>
        <w:rPr>
          <w:szCs w:val="22"/>
        </w:rPr>
      </w:pPr>
      <w:r>
        <w:rPr>
          <w:szCs w:val="22"/>
        </w:rPr>
        <w:t>w</w:t>
      </w:r>
      <w:r w:rsidRPr="00790938">
        <w:rPr>
          <w:szCs w:val="22"/>
        </w:rPr>
        <w:t xml:space="preserve">here </w:t>
      </w:r>
      <w:r w:rsidRPr="00B86D80">
        <w:rPr>
          <w:i/>
          <w:szCs w:val="22"/>
        </w:rPr>
        <w:sym w:font="Symbol" w:char="F06C"/>
      </w:r>
      <w:r w:rsidRPr="00B86D80">
        <w:rPr>
          <w:i/>
          <w:szCs w:val="22"/>
          <w:vertAlign w:val="subscript"/>
        </w:rPr>
        <w:t>r</w:t>
      </w:r>
      <w:r>
        <w:rPr>
          <w:szCs w:val="22"/>
        </w:rPr>
        <w:t xml:space="preserve">, </w:t>
      </w:r>
      <w:r w:rsidRPr="00B86D80">
        <w:rPr>
          <w:i/>
          <w:szCs w:val="22"/>
        </w:rPr>
        <w:sym w:font="Symbol" w:char="F06C"/>
      </w:r>
      <w:r>
        <w:rPr>
          <w:i/>
          <w:szCs w:val="22"/>
          <w:vertAlign w:val="subscript"/>
        </w:rPr>
        <w:t>T</w:t>
      </w:r>
      <w:r w:rsidRPr="00143A7B">
        <w:rPr>
          <w:szCs w:val="22"/>
        </w:rPr>
        <w:t xml:space="preserve"> </w:t>
      </w:r>
      <w:r>
        <w:rPr>
          <w:szCs w:val="22"/>
        </w:rPr>
        <w:t xml:space="preserve">and </w:t>
      </w:r>
      <w:r w:rsidRPr="00B86D80">
        <w:rPr>
          <w:i/>
          <w:szCs w:val="22"/>
        </w:rPr>
        <w:sym w:font="Symbol" w:char="F06C"/>
      </w:r>
      <w:r w:rsidRPr="006A36E4">
        <w:rPr>
          <w:i/>
          <w:szCs w:val="22"/>
          <w:vertAlign w:val="subscript"/>
        </w:rPr>
        <w:t>G</w:t>
      </w:r>
      <w:r w:rsidRPr="00A35B13">
        <w:rPr>
          <w:i/>
          <w:szCs w:val="22"/>
          <w:vertAlign w:val="subscript"/>
        </w:rPr>
        <w:t>D</w:t>
      </w:r>
      <w:r w:rsidRPr="00143A7B">
        <w:rPr>
          <w:szCs w:val="22"/>
        </w:rPr>
        <w:t xml:space="preserve"> are </w:t>
      </w:r>
      <w:r>
        <w:rPr>
          <w:szCs w:val="22"/>
        </w:rPr>
        <w:t xml:space="preserve">weights assigned to likelihood components for the </w:t>
      </w:r>
      <w:r w:rsidRPr="00143A7B">
        <w:rPr>
          <w:szCs w:val="22"/>
        </w:rPr>
        <w:t>ret</w:t>
      </w:r>
      <w:r>
        <w:rPr>
          <w:szCs w:val="22"/>
        </w:rPr>
        <w:t xml:space="preserve">ained, pot total and groundfish discard catches, </w:t>
      </w:r>
      <w:r w:rsidRPr="00790938">
        <w:rPr>
          <w:position w:val="-14"/>
          <w:szCs w:val="22"/>
        </w:rPr>
        <w:object w:dxaOrig="300" w:dyaOrig="380">
          <v:shape id="_x0000_i1054" type="#_x0000_t75" style="width:15.65pt;height:17.75pt" o:ole="">
            <v:imagedata r:id="rId138" o:title=""/>
          </v:shape>
          <o:OLEObject Type="Embed" ProgID="Equation.DSMT4" ShapeID="_x0000_i1054" DrawAspect="Content" ObjectID="_1460439726" r:id="rId139"/>
        </w:object>
      </w:r>
      <w:r>
        <w:rPr>
          <w:szCs w:val="22"/>
        </w:rPr>
        <w:t xml:space="preserve"> is the average mass of a crab is size-class </w:t>
      </w:r>
      <w:r w:rsidRPr="00C13BC7">
        <w:rPr>
          <w:i/>
          <w:szCs w:val="22"/>
        </w:rPr>
        <w:t>j</w:t>
      </w:r>
      <w:r>
        <w:rPr>
          <w:szCs w:val="22"/>
        </w:rPr>
        <w:t xml:space="preserve">, </w:t>
      </w:r>
      <w:r w:rsidRPr="00C13BC7">
        <w:rPr>
          <w:position w:val="-14"/>
          <w:szCs w:val="22"/>
        </w:rPr>
        <w:object w:dxaOrig="400" w:dyaOrig="380">
          <v:shape id="_x0000_i1055" type="#_x0000_t75" style="width:18.8pt;height:17.75pt" o:ole="">
            <v:imagedata r:id="rId140" o:title=""/>
          </v:shape>
          <o:OLEObject Type="Embed" ProgID="Equation.DSMT4" ShapeID="_x0000_i1055" DrawAspect="Content" ObjectID="_1460439727" r:id="rId141"/>
        </w:object>
      </w:r>
      <w:r>
        <w:rPr>
          <w:szCs w:val="22"/>
        </w:rPr>
        <w:t xml:space="preserve">, </w:t>
      </w: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t,j</m:t>
            </m:r>
          </m:sub>
        </m:sSub>
      </m:oMath>
      <w:r>
        <w:rPr>
          <w:szCs w:val="22"/>
        </w:rPr>
        <w:t xml:space="preserve">, and </w:t>
      </w:r>
      <m:oMath>
        <m:sSub>
          <m:sSubPr>
            <m:ctrlPr>
              <w:rPr>
                <w:rFonts w:ascii="Cambria Math" w:hAnsi="Cambria Math"/>
                <w:i/>
                <w:szCs w:val="22"/>
              </w:rPr>
            </m:ctrlPr>
          </m:sSubPr>
          <m:e>
            <m:r>
              <w:rPr>
                <w:rFonts w:ascii="Cambria Math" w:hAnsi="Cambria Math"/>
                <w:szCs w:val="22"/>
              </w:rPr>
              <m:t>Tr</m:t>
            </m:r>
          </m:e>
          <m:sub>
            <m:r>
              <w:rPr>
                <w:rFonts w:ascii="Cambria Math" w:hAnsi="Cambria Math"/>
                <w:szCs w:val="22"/>
              </w:rPr>
              <m:t>t,j</m:t>
            </m:r>
          </m:sub>
        </m:sSub>
      </m:oMath>
      <w:r>
        <w:rPr>
          <w:szCs w:val="22"/>
        </w:rPr>
        <w:t xml:space="preserve">are respectively the observed number of crab in size class </w:t>
      </w:r>
      <w:r w:rsidRPr="00C13BC7">
        <w:rPr>
          <w:i/>
          <w:szCs w:val="22"/>
        </w:rPr>
        <w:t>j</w:t>
      </w:r>
      <w:r>
        <w:rPr>
          <w:szCs w:val="22"/>
        </w:rPr>
        <w:t xml:space="preserve"> retained, pot total, and groundfish fishery discarded crab during year </w:t>
      </w:r>
      <w:r w:rsidRPr="00C13BC7">
        <w:rPr>
          <w:i/>
          <w:szCs w:val="22"/>
        </w:rPr>
        <w:t>t</w:t>
      </w:r>
      <w:r>
        <w:rPr>
          <w:szCs w:val="22"/>
        </w:rPr>
        <w:t>.</w:t>
      </w:r>
    </w:p>
    <w:p w:rsidR="00B86BD8" w:rsidRDefault="00B86BD8" w:rsidP="00BA71F0">
      <w:pPr>
        <w:pStyle w:val="BodyText"/>
        <w:keepNext/>
        <w:spacing w:before="240" w:line="240" w:lineRule="auto"/>
        <w:rPr>
          <w:i/>
          <w:szCs w:val="22"/>
        </w:rPr>
      </w:pPr>
      <w:r>
        <w:rPr>
          <w:i/>
          <w:szCs w:val="22"/>
        </w:rPr>
        <w:t>Catch-rate indexes</w:t>
      </w:r>
    </w:p>
    <w:p w:rsidR="00B86BD8" w:rsidRPr="00D21EA7" w:rsidRDefault="00B86BD8" w:rsidP="00BA71F0">
      <w:pPr>
        <w:pStyle w:val="BodyText"/>
        <w:spacing w:line="240" w:lineRule="auto"/>
        <w:jc w:val="both"/>
        <w:rPr>
          <w:szCs w:val="22"/>
        </w:rPr>
      </w:pPr>
      <w:r w:rsidRPr="00D21EA7">
        <w:rPr>
          <w:szCs w:val="22"/>
        </w:rPr>
        <w:t>The catch-rate indices</w:t>
      </w:r>
      <w:r>
        <w:rPr>
          <w:szCs w:val="22"/>
        </w:rPr>
        <w:t xml:space="preserve"> are assumed to be normally distributed about the model prediction. Account is taken of variation in additional to that related to sampling variation:</w:t>
      </w:r>
    </w:p>
    <w:p w:rsidR="00B86BD8" w:rsidRDefault="00B86BD8" w:rsidP="00BA71F0">
      <w:pPr>
        <w:spacing w:before="120" w:after="120"/>
        <w:jc w:val="right"/>
        <w:rPr>
          <w:sz w:val="22"/>
          <w:szCs w:val="22"/>
        </w:rPr>
      </w:pPr>
    </w:p>
    <w:p w:rsidR="00B86BD8" w:rsidRDefault="009374C7" w:rsidP="00BA71F0">
      <w:pPr>
        <w:pStyle w:val="BodyText"/>
        <w:spacing w:line="240" w:lineRule="auto"/>
        <w:jc w:val="both"/>
        <w:rPr>
          <w:szCs w:val="22"/>
        </w:rPr>
      </w:pPr>
      <m:oMath>
        <m:sSubSup>
          <m:sSubSupPr>
            <m:ctrlPr>
              <w:rPr>
                <w:rFonts w:ascii="Cambria Math" w:hAnsi="Cambria Math"/>
                <w:i/>
                <w:szCs w:val="22"/>
              </w:rPr>
            </m:ctrlPr>
          </m:sSubSupPr>
          <m:e>
            <m:r>
              <w:rPr>
                <w:rFonts w:ascii="Cambria Math" w:hAnsi="Cambria Math"/>
                <w:szCs w:val="22"/>
              </w:rPr>
              <m:t>LL</m:t>
            </m:r>
          </m:e>
          <m:sub>
            <m:r>
              <w:rPr>
                <w:rFonts w:ascii="Cambria Math" w:hAnsi="Cambria Math"/>
                <w:szCs w:val="22"/>
              </w:rPr>
              <m:t>r</m:t>
            </m:r>
          </m:sub>
          <m:sup>
            <m:r>
              <w:rPr>
                <w:rFonts w:ascii="Cambria Math" w:hAnsi="Cambria Math"/>
                <w:szCs w:val="22"/>
              </w:rPr>
              <m:t>CPUE</m:t>
            </m:r>
          </m:sup>
        </m:sSubSup>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λ</m:t>
            </m:r>
          </m:e>
          <m:sub>
            <m:r>
              <w:rPr>
                <w:rFonts w:ascii="Cambria Math" w:hAnsi="Cambria Math"/>
                <w:szCs w:val="22"/>
              </w:rPr>
              <m:t>rCPUE</m:t>
            </m:r>
          </m:sub>
        </m:sSub>
        <m:d>
          <m:dPr>
            <m:begChr m:val="{"/>
            <m:endChr m:val="}"/>
            <m:ctrlPr>
              <w:rPr>
                <w:rFonts w:ascii="Cambria Math" w:hAnsi="Cambria Math"/>
                <w:i/>
                <w:szCs w:val="22"/>
              </w:rPr>
            </m:ctrlPr>
          </m:dPr>
          <m:e>
            <m:r>
              <w:rPr>
                <w:rFonts w:ascii="Cambria Math" w:hAnsi="Cambria Math"/>
                <w:szCs w:val="22"/>
              </w:rPr>
              <m:t>0.5</m:t>
            </m:r>
            <m:nary>
              <m:naryPr>
                <m:chr m:val="∑"/>
                <m:limLoc m:val="undOvr"/>
                <m:supHide m:val="1"/>
                <m:ctrlPr>
                  <w:rPr>
                    <w:rFonts w:ascii="Cambria Math" w:hAnsi="Cambria Math"/>
                    <w:i/>
                    <w:szCs w:val="22"/>
                  </w:rPr>
                </m:ctrlPr>
              </m:naryPr>
              <m:sub>
                <m:r>
                  <w:rPr>
                    <w:rFonts w:ascii="Cambria Math" w:hAnsi="Cambria Math"/>
                    <w:szCs w:val="22"/>
                  </w:rPr>
                  <m:t>t</m:t>
                </m:r>
              </m:sub>
              <m:sup/>
              <m:e>
                <m:r>
                  <m:rPr>
                    <m:sty m:val="p"/>
                  </m:rPr>
                  <w:rPr>
                    <w:rFonts w:ascii="Cambria Math" w:hAnsi="Cambria Math"/>
                    <w:szCs w:val="22"/>
                  </w:rPr>
                  <m:t>ln⁡</m:t>
                </m:r>
                <m:d>
                  <m:dPr>
                    <m:begChr m:val="["/>
                    <m:endChr m:val="]"/>
                    <m:ctrlPr>
                      <w:rPr>
                        <w:rFonts w:ascii="Cambria Math" w:hAnsi="Cambria Math"/>
                        <w:i/>
                        <w:szCs w:val="22"/>
                      </w:rPr>
                    </m:ctrlPr>
                  </m:dPr>
                  <m:e>
                    <m:r>
                      <w:rPr>
                        <w:rFonts w:ascii="Cambria Math" w:hAnsi="Cambria Math"/>
                        <w:szCs w:val="22"/>
                      </w:rPr>
                      <m:t>2π</m:t>
                    </m:r>
                    <m:d>
                      <m:dPr>
                        <m:ctrlPr>
                          <w:rPr>
                            <w:rFonts w:ascii="Cambria Math" w:hAnsi="Cambria Math"/>
                            <w:i/>
                            <w:szCs w:val="22"/>
                          </w:rPr>
                        </m:ctrlPr>
                      </m:dPr>
                      <m:e>
                        <m:sSubSup>
                          <m:sSubSupPr>
                            <m:ctrlPr>
                              <w:rPr>
                                <w:rFonts w:ascii="Cambria Math" w:hAnsi="Cambria Math"/>
                                <w:i/>
                                <w:szCs w:val="22"/>
                              </w:rPr>
                            </m:ctrlPr>
                          </m:sSubSupPr>
                          <m:e>
                            <m:r>
                              <w:rPr>
                                <w:rFonts w:ascii="Cambria Math" w:hAnsi="Cambria Math"/>
                                <w:szCs w:val="22"/>
                              </w:rPr>
                              <m:t>σ</m:t>
                            </m:r>
                          </m:e>
                          <m:sub>
                            <m:r>
                              <w:rPr>
                                <w:rFonts w:ascii="Cambria Math" w:hAnsi="Cambria Math"/>
                                <w:szCs w:val="22"/>
                              </w:rPr>
                              <m:t>r,t</m:t>
                            </m:r>
                          </m:sub>
                          <m:sup>
                            <m:r>
                              <w:rPr>
                                <w:rFonts w:ascii="Cambria Math" w:hAnsi="Cambria Math"/>
                                <w:szCs w:val="22"/>
                              </w:rPr>
                              <m:t>2</m:t>
                            </m:r>
                          </m:sup>
                        </m:sSubSup>
                        <m:r>
                          <w:rPr>
                            <w:rFonts w:ascii="Cambria Math" w:hAnsi="Cambria Math"/>
                            <w:szCs w:val="22"/>
                          </w:rPr>
                          <m:t xml:space="preserve">+ </m:t>
                        </m:r>
                        <m:sSubSup>
                          <m:sSubSupPr>
                            <m:ctrlPr>
                              <w:rPr>
                                <w:rFonts w:ascii="Cambria Math" w:hAnsi="Cambria Math"/>
                                <w:i/>
                                <w:szCs w:val="22"/>
                              </w:rPr>
                            </m:ctrlPr>
                          </m:sSubSupPr>
                          <m:e>
                            <m:r>
                              <w:rPr>
                                <w:rFonts w:ascii="Cambria Math" w:hAnsi="Cambria Math"/>
                                <w:szCs w:val="22"/>
                              </w:rPr>
                              <m:t>σ</m:t>
                            </m:r>
                          </m:e>
                          <m:sub>
                            <m:r>
                              <w:rPr>
                                <w:rFonts w:ascii="Cambria Math" w:hAnsi="Cambria Math"/>
                                <w:szCs w:val="22"/>
                              </w:rPr>
                              <m:t>e</m:t>
                            </m:r>
                          </m:sub>
                          <m:sup>
                            <m:r>
                              <w:rPr>
                                <w:rFonts w:ascii="Cambria Math" w:hAnsi="Cambria Math"/>
                                <w:szCs w:val="22"/>
                              </w:rPr>
                              <m:t>2</m:t>
                            </m:r>
                          </m:sup>
                        </m:sSubSup>
                      </m:e>
                    </m:d>
                  </m:e>
                </m:d>
              </m:e>
            </m:nary>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t</m:t>
                </m:r>
              </m:sub>
              <m:sup/>
              <m:e>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l</m:t>
                            </m:r>
                            <m:r>
                              <w:rPr>
                                <w:rFonts w:ascii="Cambria Math" w:hAnsi="Cambria Math"/>
                                <w:szCs w:val="22"/>
                              </w:rPr>
                              <m:t>n</m:t>
                            </m:r>
                            <m:sSubSup>
                              <m:sSubSupPr>
                                <m:ctrlPr>
                                  <w:rPr>
                                    <w:rFonts w:ascii="Cambria Math" w:hAnsi="Cambria Math"/>
                                    <w:i/>
                                    <w:szCs w:val="22"/>
                                  </w:rPr>
                                </m:ctrlPr>
                              </m:sSubSupPr>
                              <m:e>
                                <m:r>
                                  <w:rPr>
                                    <w:rFonts w:ascii="Cambria Math" w:hAnsi="Cambria Math"/>
                                    <w:szCs w:val="22"/>
                                  </w:rPr>
                                  <m:t>(CPUE</m:t>
                                </m:r>
                              </m:e>
                              <m:sub>
                                <m:r>
                                  <w:rPr>
                                    <w:rFonts w:ascii="Cambria Math" w:hAnsi="Cambria Math"/>
                                    <w:szCs w:val="22"/>
                                  </w:rPr>
                                  <m:t>t</m:t>
                                </m:r>
                              </m:sub>
                              <m:sup>
                                <m:r>
                                  <w:rPr>
                                    <w:rFonts w:ascii="Cambria Math" w:hAnsi="Cambria Math"/>
                                    <w:szCs w:val="22"/>
                                  </w:rPr>
                                  <m:t>r</m:t>
                                </m:r>
                              </m:sup>
                            </m:sSubSup>
                            <m:r>
                              <w:rPr>
                                <w:rFonts w:ascii="Cambria Math" w:hAnsi="Cambria Math"/>
                                <w:szCs w:val="22"/>
                              </w:rPr>
                              <m:t xml:space="preserve">+c)- </m:t>
                            </m:r>
                            <m:acc>
                              <m:accPr>
                                <m:ctrlPr>
                                  <w:rPr>
                                    <w:rFonts w:ascii="Cambria Math" w:hAnsi="Cambria Math"/>
                                    <w:i/>
                                    <w:szCs w:val="22"/>
                                  </w:rPr>
                                </m:ctrlPr>
                              </m:accPr>
                              <m:e>
                                <m:sSubSup>
                                  <m:sSubSupPr>
                                    <m:ctrlPr>
                                      <w:rPr>
                                        <w:rFonts w:ascii="Cambria Math" w:hAnsi="Cambria Math"/>
                                        <w:i/>
                                        <w:szCs w:val="22"/>
                                      </w:rPr>
                                    </m:ctrlPr>
                                  </m:sSubSupPr>
                                  <m:e>
                                    <m:r>
                                      <m:rPr>
                                        <m:sty m:val="p"/>
                                      </m:rPr>
                                      <w:rPr>
                                        <w:rFonts w:ascii="Cambria Math" w:hAnsi="Cambria Math"/>
                                        <w:szCs w:val="22"/>
                                      </w:rPr>
                                      <m:t>ln⁡</m:t>
                                    </m:r>
                                    <m:r>
                                      <w:rPr>
                                        <w:rFonts w:ascii="Cambria Math" w:hAnsi="Cambria Math"/>
                                        <w:szCs w:val="22"/>
                                      </w:rPr>
                                      <m:t>(CPUE</m:t>
                                    </m:r>
                                  </m:e>
                                  <m:sub>
                                    <m:r>
                                      <w:rPr>
                                        <w:rFonts w:ascii="Cambria Math" w:hAnsi="Cambria Math"/>
                                        <w:szCs w:val="22"/>
                                      </w:rPr>
                                      <m:t>t</m:t>
                                    </m:r>
                                  </m:sub>
                                  <m:sup>
                                    <m:r>
                                      <w:rPr>
                                        <w:rFonts w:ascii="Cambria Math" w:hAnsi="Cambria Math"/>
                                        <w:szCs w:val="22"/>
                                      </w:rPr>
                                      <m:t>r</m:t>
                                    </m:r>
                                  </m:sup>
                                </m:sSubSup>
                                <m:r>
                                  <w:rPr>
                                    <w:rFonts w:ascii="Cambria Math" w:hAnsi="Cambria Math"/>
                                    <w:szCs w:val="22"/>
                                  </w:rPr>
                                  <m:t>+c)</m:t>
                                </m:r>
                              </m:e>
                            </m:acc>
                          </m:e>
                        </m:d>
                      </m:e>
                      <m:sup>
                        <m:r>
                          <w:rPr>
                            <w:rFonts w:ascii="Cambria Math" w:hAnsi="Cambria Math"/>
                            <w:szCs w:val="22"/>
                          </w:rPr>
                          <m:t>2</m:t>
                        </m:r>
                      </m:sup>
                    </m:sSup>
                  </m:num>
                  <m:den>
                    <m:r>
                      <w:rPr>
                        <w:rFonts w:ascii="Cambria Math" w:hAnsi="Cambria Math"/>
                        <w:szCs w:val="22"/>
                      </w:rPr>
                      <m:t>2</m:t>
                    </m:r>
                    <m:d>
                      <m:dPr>
                        <m:ctrlPr>
                          <w:rPr>
                            <w:rFonts w:ascii="Cambria Math" w:hAnsi="Cambria Math"/>
                            <w:i/>
                            <w:szCs w:val="22"/>
                          </w:rPr>
                        </m:ctrlPr>
                      </m:dPr>
                      <m:e>
                        <m:sSubSup>
                          <m:sSubSupPr>
                            <m:ctrlPr>
                              <w:rPr>
                                <w:rFonts w:ascii="Cambria Math" w:hAnsi="Cambria Math"/>
                                <w:i/>
                                <w:szCs w:val="22"/>
                              </w:rPr>
                            </m:ctrlPr>
                          </m:sSubSupPr>
                          <m:e>
                            <m:r>
                              <w:rPr>
                                <w:rFonts w:ascii="Cambria Math" w:hAnsi="Cambria Math"/>
                                <w:szCs w:val="22"/>
                              </w:rPr>
                              <m:t>σ</m:t>
                            </m:r>
                          </m:e>
                          <m:sub>
                            <m:r>
                              <w:rPr>
                                <w:rFonts w:ascii="Cambria Math" w:hAnsi="Cambria Math"/>
                                <w:szCs w:val="22"/>
                              </w:rPr>
                              <m:t>r,t</m:t>
                            </m:r>
                          </m:sub>
                          <m:sup>
                            <m:r>
                              <w:rPr>
                                <w:rFonts w:ascii="Cambria Math" w:hAnsi="Cambria Math"/>
                                <w:szCs w:val="22"/>
                              </w:rPr>
                              <m:t>2</m:t>
                            </m:r>
                          </m:sup>
                        </m:sSubSup>
                        <m:r>
                          <w:rPr>
                            <w:rFonts w:ascii="Cambria Math" w:hAnsi="Cambria Math"/>
                            <w:szCs w:val="22"/>
                          </w:rPr>
                          <m:t xml:space="preserve">+ </m:t>
                        </m:r>
                        <m:sSubSup>
                          <m:sSubSupPr>
                            <m:ctrlPr>
                              <w:rPr>
                                <w:rFonts w:ascii="Cambria Math" w:hAnsi="Cambria Math"/>
                                <w:i/>
                                <w:szCs w:val="22"/>
                              </w:rPr>
                            </m:ctrlPr>
                          </m:sSubSupPr>
                          <m:e>
                            <m:r>
                              <w:rPr>
                                <w:rFonts w:ascii="Cambria Math" w:hAnsi="Cambria Math"/>
                                <w:szCs w:val="22"/>
                              </w:rPr>
                              <m:t>σ</m:t>
                            </m:r>
                          </m:e>
                          <m:sub>
                            <m:r>
                              <w:rPr>
                                <w:rFonts w:ascii="Cambria Math" w:hAnsi="Cambria Math"/>
                                <w:szCs w:val="22"/>
                              </w:rPr>
                              <m:t>e</m:t>
                            </m:r>
                          </m:sub>
                          <m:sup>
                            <m:r>
                              <w:rPr>
                                <w:rFonts w:ascii="Cambria Math" w:hAnsi="Cambria Math"/>
                                <w:szCs w:val="22"/>
                              </w:rPr>
                              <m:t>2</m:t>
                            </m:r>
                          </m:sup>
                        </m:sSubSup>
                      </m:e>
                    </m:d>
                  </m:den>
                </m:f>
              </m:e>
            </m:nary>
          </m:e>
        </m:d>
      </m:oMath>
      <w:r w:rsidR="00B86BD8">
        <w:rPr>
          <w:szCs w:val="22"/>
        </w:rPr>
        <w:tab/>
      </w:r>
      <w:r w:rsidR="00B86BD8">
        <w:rPr>
          <w:szCs w:val="22"/>
        </w:rPr>
        <w:tab/>
        <w:t>(8)</w:t>
      </w:r>
    </w:p>
    <w:p w:rsidR="00B86BD8" w:rsidRDefault="00B86BD8" w:rsidP="00BA71F0">
      <w:pPr>
        <w:pStyle w:val="BodyText"/>
        <w:spacing w:line="240" w:lineRule="auto"/>
        <w:jc w:val="both"/>
        <w:rPr>
          <w:szCs w:val="22"/>
        </w:rPr>
      </w:pPr>
    </w:p>
    <w:p w:rsidR="00B86BD8" w:rsidRDefault="00B86BD8" w:rsidP="00BA71F0">
      <w:pPr>
        <w:pStyle w:val="BodyText"/>
        <w:spacing w:line="240" w:lineRule="auto"/>
        <w:jc w:val="both"/>
        <w:rPr>
          <w:szCs w:val="22"/>
        </w:rPr>
      </w:pPr>
      <w:r>
        <w:rPr>
          <w:szCs w:val="22"/>
        </w:rPr>
        <w:t>w</w:t>
      </w:r>
      <w:r w:rsidRPr="00D21EA7">
        <w:rPr>
          <w:szCs w:val="22"/>
        </w:rPr>
        <w:t>here</w:t>
      </w:r>
      <w:r>
        <w:rPr>
          <w:szCs w:val="22"/>
        </w:rPr>
        <w:t xml:space="preserve"> </w:t>
      </w:r>
      <w:r w:rsidRPr="00D21EA7">
        <w:rPr>
          <w:position w:val="-12"/>
          <w:szCs w:val="22"/>
        </w:rPr>
        <w:object w:dxaOrig="780" w:dyaOrig="380">
          <v:shape id="_x0000_i1056" type="#_x0000_t75" style="width:39.65pt;height:17.75pt" o:ole="">
            <v:imagedata r:id="rId142" o:title=""/>
          </v:shape>
          <o:OLEObject Type="Embed" ProgID="Equation.DSMT4" ShapeID="_x0000_i1056" DrawAspect="Content" ObjectID="_1460439728" r:id="rId143"/>
        </w:object>
      </w:r>
      <w:r>
        <w:rPr>
          <w:szCs w:val="22"/>
        </w:rPr>
        <w:t xml:space="preserve"> is the standardized retain catch-rate index for year </w:t>
      </w:r>
      <w:r w:rsidRPr="00D21EA7">
        <w:rPr>
          <w:i/>
          <w:szCs w:val="22"/>
        </w:rPr>
        <w:t>t</w:t>
      </w:r>
      <w:r>
        <w:rPr>
          <w:szCs w:val="22"/>
        </w:rPr>
        <w:t xml:space="preserve">, </w:t>
      </w:r>
      <w:r w:rsidRPr="00D21EA7">
        <w:rPr>
          <w:position w:val="-14"/>
          <w:szCs w:val="22"/>
        </w:rPr>
        <w:object w:dxaOrig="380" w:dyaOrig="380">
          <v:shape id="_x0000_i1057" type="#_x0000_t75" style="width:17.75pt;height:17.75pt" o:ole="">
            <v:imagedata r:id="rId144" o:title=""/>
          </v:shape>
          <o:OLEObject Type="Embed" ProgID="Equation.DSMT4" ShapeID="_x0000_i1057" DrawAspect="Content" ObjectID="_1460439729" r:id="rId145"/>
        </w:object>
      </w:r>
      <w:r>
        <w:rPr>
          <w:szCs w:val="22"/>
        </w:rPr>
        <w:t xml:space="preserve"> is standard error of the logarithm of </w:t>
      </w:r>
      <w:r w:rsidRPr="00D21EA7">
        <w:rPr>
          <w:position w:val="-12"/>
          <w:szCs w:val="22"/>
        </w:rPr>
        <w:object w:dxaOrig="780" w:dyaOrig="380">
          <v:shape id="_x0000_i1058" type="#_x0000_t75" style="width:39.65pt;height:17.75pt" o:ole="">
            <v:imagedata r:id="rId142" o:title=""/>
          </v:shape>
          <o:OLEObject Type="Embed" ProgID="Equation.DSMT4" ShapeID="_x0000_i1058" DrawAspect="Content" ObjectID="_1460439730" r:id="rId146"/>
        </w:object>
      </w:r>
      <w:r>
        <w:rPr>
          <w:szCs w:val="22"/>
        </w:rPr>
        <w:t xml:space="preserve">, and </w:t>
      </w:r>
      <m:oMath>
        <m:acc>
          <m:accPr>
            <m:ctrlPr>
              <w:rPr>
                <w:rFonts w:ascii="Cambria Math" w:hAnsi="Cambria Math"/>
                <w:i/>
                <w:szCs w:val="22"/>
              </w:rPr>
            </m:ctrlPr>
          </m:accPr>
          <m:e>
            <m:sSubSup>
              <m:sSubSupPr>
                <m:ctrlPr>
                  <w:rPr>
                    <w:rFonts w:ascii="Cambria Math" w:hAnsi="Cambria Math"/>
                    <w:i/>
                    <w:szCs w:val="22"/>
                  </w:rPr>
                </m:ctrlPr>
              </m:sSubSupPr>
              <m:e>
                <m:r>
                  <w:rPr>
                    <w:rFonts w:ascii="Cambria Math" w:hAnsi="Cambria Math"/>
                    <w:szCs w:val="22"/>
                  </w:rPr>
                  <m:t>CPUE</m:t>
                </m:r>
              </m:e>
              <m:sub>
                <m:r>
                  <w:rPr>
                    <w:rFonts w:ascii="Cambria Math" w:hAnsi="Cambria Math"/>
                    <w:szCs w:val="22"/>
                  </w:rPr>
                  <m:t>t</m:t>
                </m:r>
              </m:sub>
              <m:sup>
                <m:r>
                  <w:rPr>
                    <w:rFonts w:ascii="Cambria Math" w:hAnsi="Cambria Math"/>
                    <w:szCs w:val="22"/>
                  </w:rPr>
                  <m:t>r</m:t>
                </m:r>
              </m:sup>
            </m:sSubSup>
          </m:e>
        </m:acc>
      </m:oMath>
      <w:r>
        <w:rPr>
          <w:szCs w:val="22"/>
        </w:rPr>
        <w:t xml:space="preserve"> is the model-estimate corresponding to </w:t>
      </w:r>
      <w:r w:rsidRPr="00D21EA7">
        <w:rPr>
          <w:position w:val="-12"/>
          <w:szCs w:val="22"/>
        </w:rPr>
        <w:object w:dxaOrig="780" w:dyaOrig="380">
          <v:shape id="_x0000_i1059" type="#_x0000_t75" style="width:39.65pt;height:17.75pt" o:ole="">
            <v:imagedata r:id="rId142" o:title=""/>
          </v:shape>
          <o:OLEObject Type="Embed" ProgID="Equation.DSMT4" ShapeID="_x0000_i1059" DrawAspect="Content" ObjectID="_1460439731" r:id="rId147"/>
        </w:object>
      </w:r>
      <w:r>
        <w:rPr>
          <w:szCs w:val="22"/>
        </w:rPr>
        <w:t>:</w:t>
      </w:r>
    </w:p>
    <w:p w:rsidR="00B86BD8" w:rsidRDefault="00B86BD8" w:rsidP="00BA71F0">
      <w:pPr>
        <w:pStyle w:val="BodyText"/>
        <w:spacing w:line="240" w:lineRule="auto"/>
        <w:jc w:val="right"/>
        <w:rPr>
          <w:szCs w:val="22"/>
        </w:rPr>
      </w:pPr>
    </w:p>
    <w:p w:rsidR="00B86BD8" w:rsidRDefault="00B86BD8" w:rsidP="00BA71F0">
      <w:pPr>
        <w:pStyle w:val="BodyText"/>
        <w:spacing w:line="240" w:lineRule="auto"/>
        <w:jc w:val="right"/>
        <w:rPr>
          <w:szCs w:val="22"/>
        </w:rPr>
      </w:pPr>
      <w:r>
        <w:rPr>
          <w:szCs w:val="22"/>
        </w:rPr>
        <w:tab/>
      </w:r>
      <w:r>
        <w:rPr>
          <w:szCs w:val="22"/>
        </w:rPr>
        <w:tab/>
      </w:r>
    </w:p>
    <w:p w:rsidR="00B86BD8" w:rsidRDefault="009374C7" w:rsidP="00BA71F0">
      <w:pPr>
        <w:pStyle w:val="BodyText"/>
        <w:spacing w:line="240" w:lineRule="auto"/>
        <w:jc w:val="both"/>
        <w:rPr>
          <w:szCs w:val="22"/>
        </w:rPr>
      </w:pPr>
      <m:oMath>
        <m:acc>
          <m:accPr>
            <m:ctrlPr>
              <w:rPr>
                <w:rFonts w:ascii="Cambria Math" w:hAnsi="Cambria Math"/>
                <w:i/>
                <w:szCs w:val="22"/>
              </w:rPr>
            </m:ctrlPr>
          </m:accPr>
          <m:e>
            <m:r>
              <w:rPr>
                <w:rFonts w:ascii="Cambria Math" w:hAnsi="Cambria Math"/>
                <w:szCs w:val="22"/>
              </w:rPr>
              <m:t xml:space="preserve"> </m:t>
            </m:r>
            <m:sSubSup>
              <m:sSubSupPr>
                <m:ctrlPr>
                  <w:rPr>
                    <w:rFonts w:ascii="Cambria Math" w:hAnsi="Cambria Math"/>
                    <w:i/>
                    <w:szCs w:val="22"/>
                  </w:rPr>
                </m:ctrlPr>
              </m:sSubSupPr>
              <m:e>
                <m:r>
                  <w:rPr>
                    <w:rFonts w:ascii="Cambria Math" w:hAnsi="Cambria Math"/>
                    <w:szCs w:val="22"/>
                  </w:rPr>
                  <m:t>CPUE</m:t>
                </m:r>
              </m:e>
              <m:sub>
                <m:r>
                  <w:rPr>
                    <w:rFonts w:ascii="Cambria Math" w:hAnsi="Cambria Math"/>
                    <w:szCs w:val="22"/>
                  </w:rPr>
                  <m:t>t</m:t>
                </m:r>
              </m:sub>
              <m:sup>
                <m:r>
                  <w:rPr>
                    <w:rFonts w:ascii="Cambria Math" w:hAnsi="Cambria Math"/>
                    <w:szCs w:val="22"/>
                  </w:rPr>
                  <m:t>r</m:t>
                </m:r>
              </m:sup>
            </m:sSubSup>
          </m:e>
        </m:acc>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t</m:t>
            </m:r>
          </m:sub>
        </m:sSub>
        <m:nary>
          <m:naryPr>
            <m:chr m:val="∑"/>
            <m:limLoc m:val="undOvr"/>
            <m:supHide m:val="1"/>
            <m:ctrlPr>
              <w:rPr>
                <w:rFonts w:ascii="Cambria Math" w:hAnsi="Cambria Math"/>
                <w:i/>
                <w:szCs w:val="22"/>
              </w:rPr>
            </m:ctrlPr>
          </m:naryPr>
          <m:sub>
            <m:r>
              <w:rPr>
                <w:rFonts w:ascii="Cambria Math" w:hAnsi="Cambria Math"/>
                <w:szCs w:val="22"/>
              </w:rPr>
              <m:t>j</m:t>
            </m:r>
          </m:sub>
          <m:sup/>
          <m:e>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j</m:t>
                </m:r>
              </m:sub>
              <m:sup>
                <m:r>
                  <w:rPr>
                    <w:rFonts w:ascii="Cambria Math" w:hAnsi="Cambria Math"/>
                    <w:szCs w:val="22"/>
                  </w:rPr>
                  <m:t>T</m:t>
                </m:r>
              </m:sup>
            </m:sSubSup>
          </m:e>
        </m:nary>
        <m:sSubSup>
          <m:sSubSupPr>
            <m:ctrlPr>
              <w:rPr>
                <w:rFonts w:ascii="Cambria Math" w:hAnsi="Cambria Math"/>
                <w:i/>
                <w:szCs w:val="22"/>
              </w:rPr>
            </m:ctrlPr>
          </m:sSubSupPr>
          <m:e>
            <m:r>
              <w:rPr>
                <w:rFonts w:ascii="Cambria Math" w:hAnsi="Cambria Math"/>
                <w:szCs w:val="22"/>
              </w:rPr>
              <m:t>S</m:t>
            </m:r>
          </m:e>
          <m:sub>
            <m:r>
              <w:rPr>
                <w:rFonts w:ascii="Cambria Math" w:hAnsi="Cambria Math"/>
                <w:szCs w:val="22"/>
              </w:rPr>
              <m:t>j</m:t>
            </m:r>
          </m:sub>
          <m:sup>
            <m:r>
              <w:rPr>
                <w:rFonts w:ascii="Cambria Math" w:hAnsi="Cambria Math"/>
                <w:szCs w:val="22"/>
              </w:rPr>
              <m:t>r</m:t>
            </m:r>
          </m:sup>
        </m:sSubSup>
        <m:r>
          <w:rPr>
            <w:rFonts w:ascii="Cambria Math" w:hAnsi="Cambria Math"/>
            <w:szCs w:val="22"/>
          </w:rPr>
          <m:t xml:space="preserve"> </m:t>
        </m:r>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N</m:t>
                </m:r>
              </m:e>
              <m:sub>
                <m:r>
                  <w:rPr>
                    <w:rFonts w:ascii="Cambria Math" w:hAnsi="Cambria Math"/>
                    <w:szCs w:val="22"/>
                  </w:rPr>
                  <m:t>t,j</m:t>
                </m:r>
              </m:sub>
            </m:sSub>
            <m:r>
              <w:rPr>
                <w:rFonts w:ascii="Cambria Math" w:hAnsi="Cambria Math"/>
                <w:szCs w:val="22"/>
              </w:rPr>
              <m:t>-0.5</m:t>
            </m:r>
            <m:d>
              <m:dPr>
                <m:begChr m:val="["/>
                <m:endChr m:val="]"/>
                <m:ctrlPr>
                  <w:rPr>
                    <w:rFonts w:ascii="Cambria Math" w:hAnsi="Cambria Math"/>
                    <w:i/>
                    <w:szCs w:val="22"/>
                  </w:rPr>
                </m:ctrlPr>
              </m:dPr>
              <m:e>
                <m:acc>
                  <m:accPr>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C</m:t>
                        </m:r>
                      </m:e>
                      <m:sub>
                        <m:r>
                          <w:rPr>
                            <w:rFonts w:ascii="Cambria Math" w:hAnsi="Cambria Math"/>
                            <w:szCs w:val="22"/>
                          </w:rPr>
                          <m:t>t,j</m:t>
                        </m:r>
                      </m:sub>
                    </m:sSub>
                  </m:e>
                </m:acc>
                <m:r>
                  <w:rPr>
                    <w:rFonts w:ascii="Cambria Math" w:hAnsi="Cambria Math"/>
                    <w:szCs w:val="22"/>
                  </w:rPr>
                  <m:t xml:space="preserve">+ </m:t>
                </m:r>
                <m:acc>
                  <m:accPr>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t,j</m:t>
                        </m:r>
                      </m:sub>
                    </m:sSub>
                  </m:e>
                </m:acc>
                <m:r>
                  <w:rPr>
                    <w:rFonts w:ascii="Cambria Math" w:hAnsi="Cambria Math"/>
                    <w:szCs w:val="22"/>
                  </w:rPr>
                  <m:t>+</m:t>
                </m:r>
                <m:acc>
                  <m:accPr>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Tr</m:t>
                        </m:r>
                      </m:e>
                      <m:sub>
                        <m:r>
                          <w:rPr>
                            <w:rFonts w:ascii="Cambria Math" w:hAnsi="Cambria Math"/>
                            <w:szCs w:val="22"/>
                          </w:rPr>
                          <m:t>t,j</m:t>
                        </m:r>
                      </m:sub>
                    </m:sSub>
                  </m:e>
                </m:acc>
                <m:r>
                  <w:rPr>
                    <w:rFonts w:ascii="Cambria Math" w:hAnsi="Cambria Math"/>
                    <w:szCs w:val="22"/>
                  </w:rPr>
                  <m:t xml:space="preserve"> </m:t>
                </m:r>
              </m:e>
            </m:d>
          </m:e>
        </m:d>
        <m:sSup>
          <m:sSupPr>
            <m:ctrlPr>
              <w:rPr>
                <w:rFonts w:ascii="Cambria Math" w:hAnsi="Cambria Math"/>
                <w:i/>
                <w:szCs w:val="22"/>
              </w:rPr>
            </m:ctrlPr>
          </m:sSupPr>
          <m:e>
            <m:r>
              <w:rPr>
                <w:rFonts w:ascii="Cambria Math" w:hAnsi="Cambria Math"/>
                <w:szCs w:val="22"/>
              </w:rPr>
              <m:t>e</m:t>
            </m:r>
          </m:e>
          <m:sup>
            <m:sSub>
              <m:sSubPr>
                <m:ctrlPr>
                  <w:rPr>
                    <w:rFonts w:ascii="Cambria Math" w:hAnsi="Cambria Math"/>
                    <w:i/>
                    <w:szCs w:val="22"/>
                  </w:rPr>
                </m:ctrlPr>
              </m:sSubPr>
              <m:e>
                <m:r>
                  <w:rPr>
                    <w:rFonts w:ascii="Cambria Math" w:hAnsi="Cambria Math"/>
                    <w:szCs w:val="22"/>
                  </w:rPr>
                  <m:t>-y</m:t>
                </m:r>
              </m:e>
              <m:sub>
                <m:r>
                  <w:rPr>
                    <w:rFonts w:ascii="Cambria Math" w:hAnsi="Cambria Math"/>
                    <w:szCs w:val="22"/>
                  </w:rPr>
                  <m:t>t</m:t>
                </m:r>
              </m:sub>
            </m:sSub>
            <m:r>
              <w:rPr>
                <w:rFonts w:ascii="Cambria Math" w:hAnsi="Cambria Math"/>
                <w:szCs w:val="22"/>
              </w:rPr>
              <m:t>M</m:t>
            </m:r>
          </m:sup>
        </m:sSup>
      </m:oMath>
      <w:r w:rsidR="00B86BD8">
        <w:rPr>
          <w:szCs w:val="22"/>
        </w:rPr>
        <w:tab/>
      </w:r>
      <w:r w:rsidR="00B86BD8">
        <w:rPr>
          <w:szCs w:val="22"/>
        </w:rPr>
        <w:tab/>
      </w:r>
      <w:r w:rsidR="00B86BD8">
        <w:rPr>
          <w:szCs w:val="22"/>
        </w:rPr>
        <w:tab/>
        <w:t xml:space="preserve">           </w:t>
      </w:r>
      <w:r w:rsidR="00B86BD8">
        <w:rPr>
          <w:szCs w:val="22"/>
        </w:rPr>
        <w:tab/>
        <w:t xml:space="preserve"> (9)</w:t>
      </w:r>
    </w:p>
    <w:p w:rsidR="00B86BD8" w:rsidRDefault="00B86BD8" w:rsidP="00BA71F0">
      <w:pPr>
        <w:pStyle w:val="BodyText"/>
        <w:spacing w:line="240" w:lineRule="auto"/>
        <w:jc w:val="both"/>
        <w:rPr>
          <w:szCs w:val="22"/>
        </w:rPr>
      </w:pPr>
    </w:p>
    <w:p w:rsidR="00B86BD8" w:rsidRDefault="00B86BD8" w:rsidP="00BA71F0">
      <w:pPr>
        <w:pStyle w:val="BodyText"/>
        <w:spacing w:line="240" w:lineRule="auto"/>
        <w:jc w:val="both"/>
        <w:rPr>
          <w:szCs w:val="22"/>
        </w:rPr>
      </w:pPr>
      <w:r>
        <w:rPr>
          <w:szCs w:val="22"/>
        </w:rPr>
        <w:t xml:space="preserve">where </w:t>
      </w:r>
      <w:r w:rsidRPr="00D21EA7">
        <w:rPr>
          <w:position w:val="-12"/>
          <w:szCs w:val="22"/>
        </w:rPr>
        <w:object w:dxaOrig="240" w:dyaOrig="360">
          <v:shape id="_x0000_i1060" type="#_x0000_t75" style="width:13.55pt;height:17.75pt" o:ole="">
            <v:imagedata r:id="rId148" o:title=""/>
          </v:shape>
          <o:OLEObject Type="Embed" ProgID="Equation.DSMT4" ShapeID="_x0000_i1060" DrawAspect="Content" ObjectID="_1460439732" r:id="rId149"/>
        </w:object>
      </w:r>
      <w:r>
        <w:rPr>
          <w:szCs w:val="22"/>
        </w:rPr>
        <w:t xml:space="preserve"> is the catchability coefficient for year </w:t>
      </w:r>
      <w:r w:rsidRPr="00D21EA7">
        <w:rPr>
          <w:i/>
          <w:szCs w:val="22"/>
        </w:rPr>
        <w:t>t</w:t>
      </w:r>
      <w:r>
        <w:rPr>
          <w:szCs w:val="22"/>
        </w:rPr>
        <w:t xml:space="preserve">, </w:t>
      </w:r>
      <w:r w:rsidRPr="00D21EA7">
        <w:rPr>
          <w:position w:val="-12"/>
          <w:szCs w:val="22"/>
        </w:rPr>
        <w:object w:dxaOrig="300" w:dyaOrig="360">
          <v:shape id="_x0000_i1061" type="#_x0000_t75" style="width:15.65pt;height:17.75pt" o:ole="">
            <v:imagedata r:id="rId150" o:title=""/>
          </v:shape>
          <o:OLEObject Type="Embed" ProgID="Equation.DSMT4" ShapeID="_x0000_i1061" DrawAspect="Content" ObjectID="_1460439733" r:id="rId151"/>
        </w:object>
      </w:r>
      <w:r>
        <w:rPr>
          <w:szCs w:val="22"/>
        </w:rPr>
        <w:t xml:space="preserve"> is the extent of over-dispersion, </w:t>
      </w:r>
      <w:r w:rsidRPr="00663265">
        <w:rPr>
          <w:i/>
          <w:szCs w:val="22"/>
        </w:rPr>
        <w:t>c</w:t>
      </w:r>
      <w:r w:rsidRPr="00663265">
        <w:rPr>
          <w:szCs w:val="22"/>
        </w:rPr>
        <w:t xml:space="preserve"> is a small constant (0.001)</w:t>
      </w:r>
      <w:r>
        <w:rPr>
          <w:szCs w:val="22"/>
        </w:rPr>
        <w:t xml:space="preserve">, and  </w:t>
      </w:r>
      <m:oMath>
        <m:sSub>
          <m:sSubPr>
            <m:ctrlPr>
              <w:rPr>
                <w:rFonts w:ascii="Cambria Math" w:hAnsi="Cambria Math"/>
                <w:i/>
                <w:szCs w:val="22"/>
              </w:rPr>
            </m:ctrlPr>
          </m:sSubPr>
          <m:e>
            <m:r>
              <w:rPr>
                <w:rFonts w:ascii="Cambria Math" w:hAnsi="Cambria Math"/>
                <w:szCs w:val="22"/>
              </w:rPr>
              <m:t>λ</m:t>
            </m:r>
          </m:e>
          <m:sub>
            <m:r>
              <w:rPr>
                <w:rFonts w:ascii="Cambria Math" w:hAnsi="Cambria Math"/>
                <w:szCs w:val="22"/>
              </w:rPr>
              <m:t>rCPUE</m:t>
            </m:r>
          </m:sub>
        </m:sSub>
      </m:oMath>
      <w:r>
        <w:rPr>
          <w:szCs w:val="22"/>
        </w:rPr>
        <w:t xml:space="preserve"> is the weight assigned to the catch-rate data.</w:t>
      </w:r>
    </w:p>
    <w:p w:rsidR="00B86BD8" w:rsidRPr="008731B4" w:rsidRDefault="00B86BD8" w:rsidP="00BA71F0">
      <w:pPr>
        <w:pStyle w:val="BodyText"/>
        <w:keepNext/>
        <w:spacing w:before="240" w:line="240" w:lineRule="auto"/>
        <w:rPr>
          <w:i/>
          <w:szCs w:val="22"/>
        </w:rPr>
      </w:pPr>
      <w:r w:rsidRPr="008731B4">
        <w:rPr>
          <w:i/>
          <w:szCs w:val="22"/>
        </w:rPr>
        <w:t>Length-composition data</w:t>
      </w:r>
    </w:p>
    <w:p w:rsidR="00B86BD8" w:rsidRDefault="00B86BD8" w:rsidP="00BA71F0">
      <w:pPr>
        <w:pStyle w:val="BodyText"/>
        <w:spacing w:line="240" w:lineRule="auto"/>
        <w:jc w:val="both"/>
        <w:rPr>
          <w:szCs w:val="22"/>
        </w:rPr>
      </w:pPr>
      <w:r>
        <w:rPr>
          <w:szCs w:val="22"/>
        </w:rPr>
        <w:t>The length-composition data are included in the likelihood function using the robust normal for proportions likelihood, i.e. generically:</w:t>
      </w:r>
    </w:p>
    <w:p w:rsidR="00B86BD8" w:rsidRPr="00663265" w:rsidRDefault="00B86BD8" w:rsidP="00BA71F0">
      <w:pPr>
        <w:spacing w:before="120" w:after="120"/>
        <w:rPr>
          <w:sz w:val="22"/>
          <w:szCs w:val="22"/>
        </w:rPr>
      </w:pPr>
      <w:r w:rsidRPr="00425D8C">
        <w:rPr>
          <w:position w:val="-30"/>
          <w:sz w:val="22"/>
          <w:szCs w:val="22"/>
        </w:rPr>
        <w:object w:dxaOrig="6060" w:dyaOrig="660">
          <v:shape id="_x0000_i1062" type="#_x0000_t75" style="width:303.65pt;height:33.4pt" o:ole="">
            <v:imagedata r:id="rId152" o:title=""/>
          </v:shape>
          <o:OLEObject Type="Embed" ProgID="Equation.DSMT4" ShapeID="_x0000_i1062" DrawAspect="Content" ObjectID="_1460439734" r:id="rId153"/>
        </w:object>
      </w:r>
      <w:r>
        <w:rPr>
          <w:position w:val="-46"/>
          <w:sz w:val="22"/>
          <w:szCs w:val="22"/>
        </w:rPr>
        <w:tab/>
      </w:r>
      <w:r>
        <w:rPr>
          <w:position w:val="-46"/>
          <w:sz w:val="22"/>
          <w:szCs w:val="22"/>
        </w:rPr>
        <w:tab/>
      </w:r>
      <w:r>
        <w:rPr>
          <w:position w:val="-46"/>
          <w:sz w:val="22"/>
          <w:szCs w:val="22"/>
        </w:rPr>
        <w:tab/>
      </w:r>
      <w:r>
        <w:rPr>
          <w:position w:val="-46"/>
          <w:sz w:val="22"/>
          <w:szCs w:val="22"/>
        </w:rPr>
        <w:tab/>
      </w:r>
      <w:r>
        <w:rPr>
          <w:position w:val="-46"/>
          <w:sz w:val="22"/>
          <w:szCs w:val="22"/>
        </w:rPr>
        <w:tab/>
      </w:r>
      <w:r>
        <w:rPr>
          <w:position w:val="-46"/>
          <w:sz w:val="22"/>
          <w:szCs w:val="22"/>
        </w:rPr>
        <w:tab/>
        <w:t>(10)</w:t>
      </w:r>
    </w:p>
    <w:p w:rsidR="00B86BD8" w:rsidRDefault="00B86BD8" w:rsidP="00BA71F0">
      <w:pPr>
        <w:pStyle w:val="BodyText"/>
        <w:spacing w:line="240" w:lineRule="auto"/>
        <w:jc w:val="both"/>
        <w:rPr>
          <w:szCs w:val="22"/>
        </w:rPr>
      </w:pPr>
      <w:r>
        <w:rPr>
          <w:szCs w:val="22"/>
        </w:rPr>
        <w:t xml:space="preserve">where </w:t>
      </w:r>
      <w:r w:rsidRPr="00425D8C">
        <w:rPr>
          <w:position w:val="-14"/>
          <w:szCs w:val="22"/>
        </w:rPr>
        <w:object w:dxaOrig="360" w:dyaOrig="380">
          <v:shape id="_x0000_i1063" type="#_x0000_t75" style="width:17.75pt;height:17.75pt" o:ole="">
            <v:imagedata r:id="rId154" o:title=""/>
          </v:shape>
          <o:OLEObject Type="Embed" ProgID="Equation.DSMT4" ShapeID="_x0000_i1063" DrawAspect="Content" ObjectID="_1460439735" r:id="rId155"/>
        </w:object>
      </w:r>
      <w:r>
        <w:rPr>
          <w:szCs w:val="22"/>
        </w:rPr>
        <w:t xml:space="preserve"> is the observed proportion of crabs in size-class </w:t>
      </w:r>
      <w:r w:rsidRPr="00425D8C">
        <w:rPr>
          <w:i/>
          <w:szCs w:val="22"/>
        </w:rPr>
        <w:t>j</w:t>
      </w:r>
      <w:r>
        <w:rPr>
          <w:szCs w:val="22"/>
        </w:rPr>
        <w:t xml:space="preserve"> in the catch during year </w:t>
      </w:r>
      <w:r>
        <w:rPr>
          <w:i/>
          <w:szCs w:val="22"/>
        </w:rPr>
        <w:t>t</w:t>
      </w:r>
      <w:r>
        <w:rPr>
          <w:szCs w:val="22"/>
        </w:rPr>
        <w:t xml:space="preserve">, </w:t>
      </w:r>
      <w:r w:rsidRPr="00425D8C">
        <w:rPr>
          <w:position w:val="-14"/>
          <w:szCs w:val="22"/>
        </w:rPr>
        <w:object w:dxaOrig="360" w:dyaOrig="420">
          <v:shape id="_x0000_i1064" type="#_x0000_t75" style="width:17.75pt;height:20.85pt" o:ole="">
            <v:imagedata r:id="rId156" o:title=""/>
          </v:shape>
          <o:OLEObject Type="Embed" ProgID="Equation.DSMT4" ShapeID="_x0000_i1064" DrawAspect="Content" ObjectID="_1460439736" r:id="rId157"/>
        </w:object>
      </w:r>
      <w:r>
        <w:rPr>
          <w:szCs w:val="22"/>
        </w:rPr>
        <w:t xml:space="preserve"> is the model-estimate</w:t>
      </w:r>
      <w:r w:rsidRPr="00B10D63">
        <w:rPr>
          <w:szCs w:val="22"/>
        </w:rPr>
        <w:t xml:space="preserve"> </w:t>
      </w:r>
      <w:r>
        <w:rPr>
          <w:szCs w:val="22"/>
        </w:rPr>
        <w:t xml:space="preserve">corresponding to </w:t>
      </w:r>
      <w:r w:rsidRPr="00425D8C">
        <w:rPr>
          <w:position w:val="-14"/>
          <w:szCs w:val="22"/>
        </w:rPr>
        <w:object w:dxaOrig="360" w:dyaOrig="380">
          <v:shape id="_x0000_i1065" type="#_x0000_t75" style="width:17.75pt;height:17.75pt" o:ole="">
            <v:imagedata r:id="rId154" o:title=""/>
          </v:shape>
          <o:OLEObject Type="Embed" ProgID="Equation.DSMT4" ShapeID="_x0000_i1065" DrawAspect="Content" ObjectID="_1460439737" r:id="rId158"/>
        </w:object>
      </w:r>
      <w:r>
        <w:rPr>
          <w:szCs w:val="22"/>
        </w:rPr>
        <w:t>, i.e.:</w:t>
      </w:r>
    </w:p>
    <w:p w:rsidR="00B86BD8" w:rsidRDefault="009374C7" w:rsidP="00BA71F0">
      <w:pPr>
        <w:pStyle w:val="BodyText"/>
        <w:spacing w:line="240" w:lineRule="auto"/>
        <w:jc w:val="both"/>
        <w:rPr>
          <w:szCs w:val="22"/>
        </w:rPr>
      </w:pPr>
      <m:oMathPara>
        <m:oMath>
          <m:sSubSup>
            <m:sSubSupPr>
              <m:ctrlPr>
                <w:rPr>
                  <w:rFonts w:ascii="Cambria Math" w:hAnsi="Cambria Math"/>
                  <w:i/>
                  <w:szCs w:val="22"/>
                </w:rPr>
              </m:ctrlPr>
            </m:sSubSupPr>
            <m:e>
              <m:acc>
                <m:accPr>
                  <m:ctrlPr>
                    <w:rPr>
                      <w:rFonts w:ascii="Cambria Math" w:hAnsi="Cambria Math"/>
                      <w:i/>
                      <w:szCs w:val="22"/>
                    </w:rPr>
                  </m:ctrlPr>
                </m:accPr>
                <m:e>
                  <m:r>
                    <w:rPr>
                      <w:rFonts w:ascii="Cambria Math" w:hAnsi="Cambria Math"/>
                      <w:szCs w:val="22"/>
                    </w:rPr>
                    <m:t>L</m:t>
                  </m:r>
                </m:e>
              </m:acc>
            </m:e>
            <m:sub>
              <m:r>
                <w:rPr>
                  <w:rFonts w:ascii="Cambria Math" w:hAnsi="Cambria Math"/>
                  <w:szCs w:val="22"/>
                </w:rPr>
                <m:t>t,j</m:t>
              </m:r>
            </m:sub>
            <m:sup>
              <m:r>
                <w:rPr>
                  <w:rFonts w:ascii="Cambria Math" w:hAnsi="Cambria Math"/>
                  <w:szCs w:val="22"/>
                </w:rPr>
                <m:t>r</m:t>
              </m:r>
            </m:sup>
          </m:sSubSup>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C</m:t>
                      </m:r>
                    </m:e>
                  </m:acc>
                </m:e>
                <m:sub>
                  <m:r>
                    <w:rPr>
                      <w:rFonts w:ascii="Cambria Math" w:hAnsi="Cambria Math"/>
                      <w:szCs w:val="22"/>
                    </w:rPr>
                    <m:t>t,j</m:t>
                  </m:r>
                </m:sub>
              </m:sSub>
            </m:num>
            <m:den>
              <m:nary>
                <m:naryPr>
                  <m:chr m:val="∑"/>
                  <m:limLoc m:val="undOvr"/>
                  <m:ctrlPr>
                    <w:rPr>
                      <w:rFonts w:ascii="Cambria Math" w:hAnsi="Cambria Math"/>
                      <w:i/>
                      <w:szCs w:val="22"/>
                    </w:rPr>
                  </m:ctrlPr>
                </m:naryPr>
                <m:sub>
                  <m:r>
                    <w:rPr>
                      <w:rFonts w:ascii="Cambria Math" w:hAnsi="Cambria Math"/>
                      <w:szCs w:val="22"/>
                    </w:rPr>
                    <m:t>j</m:t>
                  </m:r>
                </m:sub>
                <m:sup>
                  <m:r>
                    <w:rPr>
                      <w:rFonts w:ascii="Cambria Math" w:hAnsi="Cambria Math"/>
                      <w:szCs w:val="22"/>
                    </w:rPr>
                    <m:t>n</m:t>
                  </m:r>
                </m:sup>
                <m:e>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C</m:t>
                          </m:r>
                        </m:e>
                      </m:acc>
                    </m:e>
                    <m:sub>
                      <m:r>
                        <w:rPr>
                          <w:rFonts w:ascii="Cambria Math" w:hAnsi="Cambria Math"/>
                          <w:szCs w:val="22"/>
                        </w:rPr>
                        <m:t>t,j</m:t>
                      </m:r>
                    </m:sub>
                  </m:sSub>
                </m:e>
              </m:nary>
            </m:den>
          </m:f>
        </m:oMath>
      </m:oMathPara>
    </w:p>
    <w:p w:rsidR="00B86BD8" w:rsidRDefault="00B86BD8" w:rsidP="00BA71F0">
      <w:pPr>
        <w:pStyle w:val="BodyText"/>
        <w:spacing w:line="240" w:lineRule="auto"/>
        <w:jc w:val="both"/>
        <w:rPr>
          <w:szCs w:val="22"/>
        </w:rPr>
      </w:pPr>
    </w:p>
    <w:p w:rsidR="00B86BD8" w:rsidRDefault="00B86BD8" w:rsidP="00BA71F0">
      <w:pPr>
        <w:pStyle w:val="BodyText"/>
        <w:spacing w:line="240" w:lineRule="auto"/>
        <w:jc w:val="both"/>
        <w:rPr>
          <w:szCs w:val="22"/>
        </w:rPr>
      </w:pPr>
      <w:r>
        <w:rPr>
          <w:szCs w:val="22"/>
        </w:rPr>
        <w:t xml:space="preserve">                       </w:t>
      </w:r>
      <w:r>
        <w:rPr>
          <w:szCs w:val="22"/>
        </w:rPr>
        <w:tab/>
      </w:r>
      <w:r>
        <w:rPr>
          <w:szCs w:val="22"/>
        </w:rPr>
        <w:tab/>
      </w:r>
      <w:r>
        <w:rPr>
          <w:szCs w:val="22"/>
        </w:rPr>
        <w:tab/>
      </w:r>
      <w:r>
        <w:rPr>
          <w:szCs w:val="22"/>
        </w:rPr>
        <w:tab/>
      </w:r>
    </w:p>
    <w:p w:rsidR="00B86BD8" w:rsidRDefault="009374C7" w:rsidP="00BA71F0">
      <w:pPr>
        <w:pStyle w:val="BodyText"/>
        <w:spacing w:line="240" w:lineRule="auto"/>
        <w:jc w:val="both"/>
        <w:rPr>
          <w:szCs w:val="22"/>
        </w:rPr>
      </w:pPr>
      <m:oMathPara>
        <m:oMath>
          <m:sSubSup>
            <m:sSubSupPr>
              <m:ctrlPr>
                <w:rPr>
                  <w:rFonts w:ascii="Cambria Math" w:hAnsi="Cambria Math"/>
                  <w:i/>
                  <w:szCs w:val="22"/>
                </w:rPr>
              </m:ctrlPr>
            </m:sSubSupPr>
            <m:e>
              <m:acc>
                <m:accPr>
                  <m:ctrlPr>
                    <w:rPr>
                      <w:rFonts w:ascii="Cambria Math" w:hAnsi="Cambria Math"/>
                      <w:i/>
                      <w:szCs w:val="22"/>
                    </w:rPr>
                  </m:ctrlPr>
                </m:accPr>
                <m:e>
                  <m:r>
                    <w:rPr>
                      <w:rFonts w:ascii="Cambria Math" w:hAnsi="Cambria Math"/>
                      <w:szCs w:val="22"/>
                    </w:rPr>
                    <m:t>L</m:t>
                  </m:r>
                </m:e>
              </m:acc>
            </m:e>
            <m:sub>
              <m:r>
                <w:rPr>
                  <w:rFonts w:ascii="Cambria Math" w:hAnsi="Cambria Math"/>
                  <w:szCs w:val="22"/>
                </w:rPr>
                <m:t>t,j</m:t>
              </m:r>
            </m:sub>
            <m:sup>
              <m:r>
                <w:rPr>
                  <w:rFonts w:ascii="Cambria Math" w:hAnsi="Cambria Math"/>
                  <w:szCs w:val="22"/>
                </w:rPr>
                <m:t>T</m:t>
              </m:r>
            </m:sup>
          </m:sSubSup>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T</m:t>
                      </m:r>
                    </m:e>
                  </m:acc>
                </m:e>
                <m:sub>
                  <m:r>
                    <w:rPr>
                      <w:rFonts w:ascii="Cambria Math" w:hAnsi="Cambria Math"/>
                      <w:szCs w:val="22"/>
                    </w:rPr>
                    <m:t>t,j</m:t>
                  </m:r>
                </m:sub>
              </m:sSub>
            </m:num>
            <m:den>
              <m:nary>
                <m:naryPr>
                  <m:chr m:val="∑"/>
                  <m:limLoc m:val="undOvr"/>
                  <m:ctrlPr>
                    <w:rPr>
                      <w:rFonts w:ascii="Cambria Math" w:hAnsi="Cambria Math"/>
                      <w:i/>
                      <w:szCs w:val="22"/>
                    </w:rPr>
                  </m:ctrlPr>
                </m:naryPr>
                <m:sub>
                  <m:r>
                    <w:rPr>
                      <w:rFonts w:ascii="Cambria Math" w:hAnsi="Cambria Math"/>
                      <w:szCs w:val="22"/>
                    </w:rPr>
                    <m:t>j</m:t>
                  </m:r>
                </m:sub>
                <m:sup>
                  <m:r>
                    <w:rPr>
                      <w:rFonts w:ascii="Cambria Math" w:hAnsi="Cambria Math"/>
                      <w:szCs w:val="22"/>
                    </w:rPr>
                    <m:t>n</m:t>
                  </m:r>
                </m:sup>
                <m:e>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T</m:t>
                          </m:r>
                        </m:e>
                      </m:acc>
                    </m:e>
                    <m:sub>
                      <m:r>
                        <w:rPr>
                          <w:rFonts w:ascii="Cambria Math" w:hAnsi="Cambria Math"/>
                          <w:szCs w:val="22"/>
                        </w:rPr>
                        <m:t>t,j</m:t>
                      </m:r>
                    </m:sub>
                  </m:sSub>
                </m:e>
              </m:nary>
            </m:den>
          </m:f>
        </m:oMath>
      </m:oMathPara>
    </w:p>
    <w:p w:rsidR="00B86BD8" w:rsidRDefault="00B86BD8" w:rsidP="00BA71F0">
      <w:pPr>
        <w:pStyle w:val="BodyText"/>
        <w:spacing w:line="240" w:lineRule="auto"/>
        <w:jc w:val="both"/>
        <w:rPr>
          <w:szCs w:val="22"/>
        </w:rPr>
      </w:pPr>
    </w:p>
    <w:p w:rsidR="00B86BD8" w:rsidRDefault="009374C7" w:rsidP="00BA71F0">
      <w:pPr>
        <w:pStyle w:val="BodyText"/>
        <w:spacing w:line="240" w:lineRule="auto"/>
        <w:jc w:val="both"/>
        <w:rPr>
          <w:szCs w:val="22"/>
        </w:rPr>
      </w:pPr>
      <m:oMathPara>
        <m:oMath>
          <m:sSubSup>
            <m:sSubSupPr>
              <m:ctrlPr>
                <w:rPr>
                  <w:rFonts w:ascii="Cambria Math" w:hAnsi="Cambria Math"/>
                  <w:i/>
                  <w:szCs w:val="22"/>
                </w:rPr>
              </m:ctrlPr>
            </m:sSubSupPr>
            <m:e>
              <m:acc>
                <m:accPr>
                  <m:ctrlPr>
                    <w:rPr>
                      <w:rFonts w:ascii="Cambria Math" w:hAnsi="Cambria Math"/>
                      <w:i/>
                      <w:szCs w:val="22"/>
                    </w:rPr>
                  </m:ctrlPr>
                </m:accPr>
                <m:e>
                  <m:r>
                    <w:rPr>
                      <w:rFonts w:ascii="Cambria Math" w:hAnsi="Cambria Math"/>
                      <w:szCs w:val="22"/>
                    </w:rPr>
                    <m:t>L</m:t>
                  </m:r>
                </m:e>
              </m:acc>
            </m:e>
            <m:sub>
              <m:r>
                <w:rPr>
                  <w:rFonts w:ascii="Cambria Math" w:hAnsi="Cambria Math"/>
                  <w:szCs w:val="22"/>
                </w:rPr>
                <m:t>t,j</m:t>
              </m:r>
            </m:sub>
            <m:sup>
              <m:r>
                <w:rPr>
                  <w:rFonts w:ascii="Cambria Math" w:hAnsi="Cambria Math"/>
                  <w:szCs w:val="22"/>
                </w:rPr>
                <m:t>GF</m:t>
              </m:r>
            </m:sup>
          </m:sSubSup>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Tr</m:t>
                      </m:r>
                    </m:e>
                  </m:acc>
                </m:e>
                <m:sub>
                  <m:r>
                    <w:rPr>
                      <w:rFonts w:ascii="Cambria Math" w:hAnsi="Cambria Math"/>
                      <w:szCs w:val="22"/>
                    </w:rPr>
                    <m:t>t,j</m:t>
                  </m:r>
                </m:sub>
              </m:sSub>
            </m:num>
            <m:den>
              <m:nary>
                <m:naryPr>
                  <m:chr m:val="∑"/>
                  <m:limLoc m:val="undOvr"/>
                  <m:ctrlPr>
                    <w:rPr>
                      <w:rFonts w:ascii="Cambria Math" w:hAnsi="Cambria Math"/>
                      <w:i/>
                      <w:szCs w:val="22"/>
                    </w:rPr>
                  </m:ctrlPr>
                </m:naryPr>
                <m:sub>
                  <m:r>
                    <w:rPr>
                      <w:rFonts w:ascii="Cambria Math" w:hAnsi="Cambria Math"/>
                      <w:szCs w:val="22"/>
                    </w:rPr>
                    <m:t>j</m:t>
                  </m:r>
                </m:sub>
                <m:sup>
                  <m:r>
                    <w:rPr>
                      <w:rFonts w:ascii="Cambria Math" w:hAnsi="Cambria Math"/>
                      <w:szCs w:val="22"/>
                    </w:rPr>
                    <m:t>n</m:t>
                  </m:r>
                </m:sup>
                <m:e>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Tr</m:t>
                          </m:r>
                        </m:e>
                      </m:acc>
                    </m:e>
                    <m:sub>
                      <m:r>
                        <w:rPr>
                          <w:rFonts w:ascii="Cambria Math" w:hAnsi="Cambria Math"/>
                          <w:szCs w:val="22"/>
                        </w:rPr>
                        <m:t>t,j</m:t>
                      </m:r>
                    </m:sub>
                  </m:sSub>
                </m:e>
              </m:nary>
            </m:den>
          </m:f>
        </m:oMath>
      </m:oMathPara>
    </w:p>
    <w:p w:rsidR="00B86BD8" w:rsidRDefault="00B86BD8" w:rsidP="00BA71F0">
      <w:pPr>
        <w:pStyle w:val="BodyText"/>
        <w:spacing w:line="240" w:lineRule="auto"/>
        <w:jc w:val="both"/>
        <w:rPr>
          <w:szCs w:val="22"/>
        </w:rPr>
      </w:pPr>
    </w:p>
    <w:p w:rsidR="00B86BD8" w:rsidRDefault="00B86BD8" w:rsidP="00BA71F0">
      <w:pPr>
        <w:pStyle w:val="BodyText"/>
        <w:spacing w:line="240" w:lineRule="auto"/>
        <w:jc w:val="right"/>
        <w:rPr>
          <w:szCs w:val="22"/>
        </w:rPr>
      </w:pPr>
      <w:r>
        <w:rPr>
          <w:szCs w:val="22"/>
        </w:rPr>
        <w:t xml:space="preserve">  </w:t>
      </w:r>
      <w:r>
        <w:rPr>
          <w:szCs w:val="22"/>
        </w:rPr>
        <w:tab/>
      </w:r>
      <w:r>
        <w:rPr>
          <w:szCs w:val="22"/>
        </w:rPr>
        <w:tab/>
      </w:r>
      <w:r>
        <w:rPr>
          <w:szCs w:val="22"/>
        </w:rPr>
        <w:tab/>
        <w:t>(11)</w:t>
      </w:r>
    </w:p>
    <w:p w:rsidR="00B86BD8" w:rsidRDefault="00B86BD8" w:rsidP="00BA71F0">
      <w:pPr>
        <w:rPr>
          <w:szCs w:val="22"/>
        </w:rPr>
      </w:pPr>
      <w:r w:rsidRPr="00B10D63">
        <w:rPr>
          <w:position w:val="-14"/>
          <w:sz w:val="22"/>
          <w:szCs w:val="22"/>
        </w:rPr>
        <w:object w:dxaOrig="400" w:dyaOrig="400">
          <v:shape id="_x0000_i1066" type="#_x0000_t75" style="width:18.8pt;height:18.8pt" o:ole="">
            <v:imagedata r:id="rId159" o:title=""/>
          </v:shape>
          <o:OLEObject Type="Embed" ProgID="Equation.DSMT4" ShapeID="_x0000_i1066" DrawAspect="Content" ObjectID="_1460439738" r:id="rId160"/>
        </w:object>
      </w:r>
      <w:r>
        <w:rPr>
          <w:position w:val="-28"/>
          <w:sz w:val="22"/>
          <w:szCs w:val="22"/>
        </w:rPr>
        <w:t xml:space="preserve"> </w:t>
      </w:r>
      <w:r>
        <w:rPr>
          <w:szCs w:val="22"/>
        </w:rPr>
        <w:t>is the variance of</w:t>
      </w:r>
      <w:r w:rsidRPr="00425D8C">
        <w:rPr>
          <w:position w:val="-14"/>
          <w:szCs w:val="22"/>
        </w:rPr>
        <w:object w:dxaOrig="360" w:dyaOrig="380">
          <v:shape id="_x0000_i1067" type="#_x0000_t75" style="width:17.75pt;height:17.75pt" o:ole="">
            <v:imagedata r:id="rId154" o:title=""/>
          </v:shape>
          <o:OLEObject Type="Embed" ProgID="Equation.DSMT4" ShapeID="_x0000_i1067" DrawAspect="Content" ObjectID="_1460439739" r:id="rId161"/>
        </w:object>
      </w:r>
      <w:r>
        <w:rPr>
          <w:szCs w:val="22"/>
        </w:rPr>
        <w:t>:</w:t>
      </w:r>
    </w:p>
    <w:p w:rsidR="00B86BD8" w:rsidRDefault="00B86BD8" w:rsidP="00BA71F0">
      <w:pPr>
        <w:jc w:val="right"/>
        <w:rPr>
          <w:b/>
          <w:sz w:val="22"/>
          <w:szCs w:val="22"/>
        </w:rPr>
      </w:pPr>
      <w:r w:rsidRPr="00663265">
        <w:rPr>
          <w:position w:val="-28"/>
          <w:sz w:val="22"/>
          <w:szCs w:val="22"/>
        </w:rPr>
        <w:object w:dxaOrig="2900" w:dyaOrig="680">
          <v:shape id="_x0000_i1068" type="#_x0000_t75" style="width:145.05pt;height:33.4pt" o:ole="">
            <v:imagedata r:id="rId162" o:title=""/>
          </v:shape>
          <o:OLEObject Type="Embed" ProgID="Equation.DSMT4" ShapeID="_x0000_i1068" DrawAspect="Content" ObjectID="_1460439740" r:id="rId163"/>
        </w:object>
      </w:r>
      <w:r>
        <w:rPr>
          <w:position w:val="-28"/>
          <w:sz w:val="22"/>
          <w:szCs w:val="22"/>
        </w:rPr>
        <w:t xml:space="preserve"> </w:t>
      </w:r>
      <w:r>
        <w:rPr>
          <w:position w:val="-28"/>
          <w:sz w:val="22"/>
          <w:szCs w:val="22"/>
        </w:rPr>
        <w:tab/>
      </w:r>
      <w:r>
        <w:rPr>
          <w:position w:val="-28"/>
          <w:sz w:val="22"/>
          <w:szCs w:val="22"/>
        </w:rPr>
        <w:tab/>
      </w:r>
      <w:r>
        <w:rPr>
          <w:position w:val="-28"/>
          <w:sz w:val="22"/>
          <w:szCs w:val="22"/>
        </w:rPr>
        <w:tab/>
      </w:r>
      <w:r>
        <w:rPr>
          <w:position w:val="-28"/>
          <w:sz w:val="22"/>
          <w:szCs w:val="22"/>
        </w:rPr>
        <w:tab/>
        <w:t>(12)</w:t>
      </w:r>
    </w:p>
    <w:p w:rsidR="00B86BD8" w:rsidRDefault="00B86BD8" w:rsidP="00BA71F0">
      <w:pPr>
        <w:rPr>
          <w:b/>
          <w:sz w:val="22"/>
          <w:szCs w:val="22"/>
        </w:rPr>
      </w:pPr>
      <w:r w:rsidRPr="00B10D63">
        <w:rPr>
          <w:b/>
          <w:position w:val="-12"/>
          <w:sz w:val="22"/>
          <w:szCs w:val="22"/>
        </w:rPr>
        <w:object w:dxaOrig="260" w:dyaOrig="360">
          <v:shape id="_x0000_i1069" type="#_x0000_t75" style="width:13.55pt;height:17.75pt" o:ole="">
            <v:imagedata r:id="rId164" o:title=""/>
          </v:shape>
          <o:OLEObject Type="Embed" ProgID="Equation.DSMT4" ShapeID="_x0000_i1069" DrawAspect="Content" ObjectID="_1460439741" r:id="rId165"/>
        </w:object>
      </w:r>
      <w:r>
        <w:rPr>
          <w:sz w:val="22"/>
          <w:szCs w:val="22"/>
        </w:rPr>
        <w:t xml:space="preserve"> is the effective sampl</w:t>
      </w:r>
      <w:r w:rsidRPr="00B10D63">
        <w:rPr>
          <w:sz w:val="22"/>
          <w:szCs w:val="22"/>
        </w:rPr>
        <w:t xml:space="preserve">e size for year </w:t>
      </w:r>
      <w:r w:rsidRPr="00B10D63">
        <w:rPr>
          <w:i/>
          <w:sz w:val="22"/>
          <w:szCs w:val="22"/>
        </w:rPr>
        <w:t>t</w:t>
      </w:r>
      <w:r>
        <w:rPr>
          <w:b/>
          <w:sz w:val="22"/>
          <w:szCs w:val="22"/>
        </w:rPr>
        <w:t>.</w:t>
      </w:r>
    </w:p>
    <w:p w:rsidR="00B86BD8" w:rsidRPr="006E69E1" w:rsidRDefault="00B86BD8" w:rsidP="00BA71F0">
      <w:pPr>
        <w:rPr>
          <w:sz w:val="22"/>
          <w:szCs w:val="22"/>
        </w:rPr>
      </w:pPr>
      <w:r>
        <w:rPr>
          <w:sz w:val="22"/>
          <w:szCs w:val="22"/>
        </w:rPr>
        <w:t xml:space="preserve">Note: </w:t>
      </w:r>
      <w:r w:rsidRPr="006E69E1">
        <w:rPr>
          <w:sz w:val="22"/>
          <w:szCs w:val="22"/>
        </w:rPr>
        <w:t xml:space="preserve">The likelihood calculation for retained length composition </w:t>
      </w:r>
      <w:r>
        <w:rPr>
          <w:sz w:val="22"/>
          <w:szCs w:val="22"/>
        </w:rPr>
        <w:t xml:space="preserve">starts from length-class 6 (mid length 128 mm CL) because the length-classes 1 to 5 mostly contain zero data.. </w:t>
      </w:r>
    </w:p>
    <w:p w:rsidR="00B86BD8" w:rsidRPr="00AD6C0F" w:rsidRDefault="00B86BD8" w:rsidP="00BA71F0">
      <w:pPr>
        <w:pStyle w:val="BodyText"/>
        <w:keepNext/>
        <w:spacing w:before="240" w:line="240" w:lineRule="auto"/>
        <w:rPr>
          <w:i/>
          <w:szCs w:val="22"/>
        </w:rPr>
      </w:pPr>
      <w:r w:rsidRPr="00AD6C0F">
        <w:rPr>
          <w:i/>
          <w:szCs w:val="22"/>
        </w:rPr>
        <w:t xml:space="preserve">Tagging data </w:t>
      </w:r>
    </w:p>
    <w:p w:rsidR="00B86BD8" w:rsidRDefault="00B86BD8" w:rsidP="00BA71F0">
      <w:pPr>
        <w:jc w:val="both"/>
        <w:rPr>
          <w:sz w:val="22"/>
          <w:szCs w:val="22"/>
        </w:rPr>
      </w:pPr>
      <w:r w:rsidRPr="007513C2">
        <w:rPr>
          <w:sz w:val="22"/>
          <w:szCs w:val="22"/>
        </w:rPr>
        <w:t>Let</w:t>
      </w:r>
      <w:r>
        <w:rPr>
          <w:sz w:val="22"/>
          <w:szCs w:val="22"/>
        </w:rPr>
        <w:t xml:space="preserve"> </w:t>
      </w:r>
      <w:r w:rsidRPr="007513C2">
        <w:rPr>
          <w:position w:val="-14"/>
          <w:sz w:val="22"/>
          <w:szCs w:val="22"/>
        </w:rPr>
        <w:object w:dxaOrig="480" w:dyaOrig="380">
          <v:shape id="_x0000_i1070" type="#_x0000_t75" style="width:24pt;height:17.75pt" o:ole="">
            <v:imagedata r:id="rId166" o:title=""/>
          </v:shape>
          <o:OLEObject Type="Embed" ProgID="Equation.DSMT4" ShapeID="_x0000_i1070" DrawAspect="Content" ObjectID="_1460439742" r:id="rId167"/>
        </w:object>
      </w:r>
      <w:r>
        <w:rPr>
          <w:sz w:val="22"/>
          <w:szCs w:val="22"/>
        </w:rPr>
        <w:t>be the num</w:t>
      </w:r>
      <w:r w:rsidRPr="007513C2">
        <w:rPr>
          <w:sz w:val="22"/>
          <w:szCs w:val="22"/>
        </w:rPr>
        <w:t xml:space="preserve">ber of </w:t>
      </w:r>
      <w:r>
        <w:rPr>
          <w:sz w:val="22"/>
          <w:szCs w:val="22"/>
        </w:rPr>
        <w:t>males</w:t>
      </w:r>
      <w:r w:rsidRPr="007513C2">
        <w:rPr>
          <w:sz w:val="22"/>
          <w:szCs w:val="22"/>
        </w:rPr>
        <w:t xml:space="preserve"> that were released in year </w:t>
      </w:r>
      <w:r w:rsidRPr="007513C2">
        <w:rPr>
          <w:i/>
          <w:sz w:val="22"/>
          <w:szCs w:val="22"/>
        </w:rPr>
        <w:t>t</w:t>
      </w:r>
      <w:r w:rsidRPr="007513C2">
        <w:rPr>
          <w:sz w:val="22"/>
          <w:szCs w:val="22"/>
        </w:rPr>
        <w:t xml:space="preserve"> that were in length-class </w:t>
      </w:r>
      <w:r w:rsidRPr="007513C2">
        <w:rPr>
          <w:i/>
          <w:sz w:val="22"/>
          <w:szCs w:val="22"/>
        </w:rPr>
        <w:t>j</w:t>
      </w:r>
      <w:r>
        <w:rPr>
          <w:sz w:val="22"/>
          <w:szCs w:val="22"/>
        </w:rPr>
        <w:t xml:space="preserve"> when they were released and were recaptured after </w:t>
      </w:r>
      <w:r w:rsidRPr="007513C2">
        <w:rPr>
          <w:i/>
          <w:sz w:val="22"/>
          <w:szCs w:val="22"/>
        </w:rPr>
        <w:t>y</w:t>
      </w:r>
      <w:r>
        <w:rPr>
          <w:sz w:val="22"/>
          <w:szCs w:val="22"/>
        </w:rPr>
        <w:t xml:space="preserve"> years, and </w:t>
      </w:r>
      <w:r w:rsidRPr="007513C2">
        <w:rPr>
          <w:position w:val="-14"/>
          <w:sz w:val="22"/>
          <w:szCs w:val="22"/>
        </w:rPr>
        <w:object w:dxaOrig="520" w:dyaOrig="380">
          <v:shape id="_x0000_i1071" type="#_x0000_t75" style="width:28.15pt;height:17.75pt" o:ole="">
            <v:imagedata r:id="rId168" o:title=""/>
          </v:shape>
          <o:OLEObject Type="Embed" ProgID="Equation.DSMT4" ShapeID="_x0000_i1071" DrawAspect="Content" ObjectID="_1460439743" r:id="rId169"/>
        </w:object>
      </w:r>
      <w:r>
        <w:rPr>
          <w:sz w:val="22"/>
          <w:szCs w:val="22"/>
        </w:rPr>
        <w:t xml:space="preserve"> be the vector of recaptures by length-class from the males</w:t>
      </w:r>
      <w:r w:rsidRPr="007513C2">
        <w:rPr>
          <w:sz w:val="22"/>
          <w:szCs w:val="22"/>
        </w:rPr>
        <w:t xml:space="preserve"> that were released in year </w:t>
      </w:r>
      <w:r w:rsidRPr="007513C2">
        <w:rPr>
          <w:i/>
          <w:sz w:val="22"/>
          <w:szCs w:val="22"/>
        </w:rPr>
        <w:t>t</w:t>
      </w:r>
      <w:r w:rsidRPr="007513C2">
        <w:rPr>
          <w:sz w:val="22"/>
          <w:szCs w:val="22"/>
        </w:rPr>
        <w:t xml:space="preserve"> that were in length-class </w:t>
      </w:r>
      <w:r w:rsidRPr="007513C2">
        <w:rPr>
          <w:i/>
          <w:sz w:val="22"/>
          <w:szCs w:val="22"/>
        </w:rPr>
        <w:t>j</w:t>
      </w:r>
      <w:r>
        <w:rPr>
          <w:sz w:val="22"/>
          <w:szCs w:val="22"/>
        </w:rPr>
        <w:t xml:space="preserve"> when they were released and were recaptured after </w:t>
      </w:r>
      <w:r w:rsidRPr="007513C2">
        <w:rPr>
          <w:i/>
          <w:sz w:val="22"/>
          <w:szCs w:val="22"/>
        </w:rPr>
        <w:t>y</w:t>
      </w:r>
      <w:r>
        <w:rPr>
          <w:sz w:val="22"/>
          <w:szCs w:val="22"/>
        </w:rPr>
        <w:t xml:space="preserve"> years. The likelihood of the tagging data is then:</w:t>
      </w:r>
    </w:p>
    <w:p w:rsidR="00B86BD8" w:rsidRDefault="00B86BD8" w:rsidP="00BA71F0">
      <w:pPr>
        <w:spacing w:before="120" w:after="120"/>
        <w:jc w:val="right"/>
        <w:rPr>
          <w:sz w:val="22"/>
          <w:szCs w:val="22"/>
        </w:rPr>
      </w:pPr>
      <w:r w:rsidRPr="007513C2">
        <w:rPr>
          <w:position w:val="-30"/>
          <w:sz w:val="22"/>
          <w:szCs w:val="22"/>
        </w:rPr>
        <w:object w:dxaOrig="3120" w:dyaOrig="560">
          <v:shape id="_x0000_i1072" type="#_x0000_t75" style="width:157.55pt;height:28.15pt" o:ole="">
            <v:imagedata r:id="rId170" o:title=""/>
          </v:shape>
          <o:OLEObject Type="Embed" ProgID="Equation.DSMT4" ShapeID="_x0000_i1072" DrawAspect="Content" ObjectID="_1460439744" r:id="rId171"/>
        </w:object>
      </w:r>
      <w:r>
        <w:rPr>
          <w:sz w:val="22"/>
          <w:szCs w:val="22"/>
        </w:rPr>
        <w:tab/>
      </w:r>
      <w:r>
        <w:rPr>
          <w:sz w:val="22"/>
          <w:szCs w:val="22"/>
        </w:rPr>
        <w:tab/>
      </w:r>
      <w:r>
        <w:rPr>
          <w:sz w:val="22"/>
          <w:szCs w:val="22"/>
        </w:rPr>
        <w:tab/>
      </w:r>
      <w:r>
        <w:rPr>
          <w:sz w:val="22"/>
          <w:szCs w:val="22"/>
        </w:rPr>
        <w:tab/>
        <w:t>(13)</w:t>
      </w:r>
    </w:p>
    <w:p w:rsidR="00B86BD8" w:rsidRDefault="00B86BD8" w:rsidP="00BA71F0">
      <w:pPr>
        <w:jc w:val="both"/>
        <w:rPr>
          <w:sz w:val="22"/>
          <w:szCs w:val="22"/>
        </w:rPr>
      </w:pPr>
      <w:r>
        <w:rPr>
          <w:sz w:val="22"/>
          <w:szCs w:val="22"/>
        </w:rPr>
        <w:t xml:space="preserve">where </w:t>
      </w:r>
      <w:r w:rsidRPr="007513C2">
        <w:rPr>
          <w:position w:val="-14"/>
          <w:sz w:val="22"/>
          <w:szCs w:val="22"/>
        </w:rPr>
        <w:object w:dxaOrig="600" w:dyaOrig="380">
          <v:shape id="_x0000_i1073" type="#_x0000_t75" style="width:30.25pt;height:17.75pt" o:ole="">
            <v:imagedata r:id="rId172" o:title=""/>
          </v:shape>
          <o:OLEObject Type="Embed" ProgID="Equation.DSMT4" ShapeID="_x0000_i1073" DrawAspect="Content" ObjectID="_1460439745" r:id="rId173"/>
        </w:object>
      </w:r>
      <w:r>
        <w:rPr>
          <w:sz w:val="22"/>
          <w:szCs w:val="22"/>
        </w:rPr>
        <w:t xml:space="preserve"> is the proportion in length-class </w:t>
      </w:r>
      <w:r w:rsidRPr="00D84A67">
        <w:rPr>
          <w:i/>
          <w:sz w:val="22"/>
          <w:szCs w:val="22"/>
        </w:rPr>
        <w:t>i</w:t>
      </w:r>
      <w:r>
        <w:rPr>
          <w:sz w:val="22"/>
          <w:szCs w:val="22"/>
        </w:rPr>
        <w:t xml:space="preserve"> of the recaptures of males which were </w:t>
      </w:r>
      <w:r w:rsidRPr="007513C2">
        <w:rPr>
          <w:sz w:val="22"/>
          <w:szCs w:val="22"/>
        </w:rPr>
        <w:t xml:space="preserve">released in year </w:t>
      </w:r>
      <w:r w:rsidRPr="007513C2">
        <w:rPr>
          <w:i/>
          <w:sz w:val="22"/>
          <w:szCs w:val="22"/>
        </w:rPr>
        <w:t>t</w:t>
      </w:r>
      <w:r w:rsidRPr="007513C2">
        <w:rPr>
          <w:sz w:val="22"/>
          <w:szCs w:val="22"/>
        </w:rPr>
        <w:t xml:space="preserve"> that were in length-class </w:t>
      </w:r>
      <w:r w:rsidRPr="007513C2">
        <w:rPr>
          <w:i/>
          <w:sz w:val="22"/>
          <w:szCs w:val="22"/>
        </w:rPr>
        <w:t>j</w:t>
      </w:r>
      <w:r>
        <w:rPr>
          <w:sz w:val="22"/>
          <w:szCs w:val="22"/>
        </w:rPr>
        <w:t xml:space="preserve"> when they were released and were recaptured after </w:t>
      </w:r>
      <w:r w:rsidRPr="007513C2">
        <w:rPr>
          <w:i/>
          <w:sz w:val="22"/>
          <w:szCs w:val="22"/>
        </w:rPr>
        <w:t>y</w:t>
      </w:r>
      <w:r>
        <w:rPr>
          <w:sz w:val="22"/>
          <w:szCs w:val="22"/>
        </w:rPr>
        <w:t xml:space="preserve"> years:</w:t>
      </w:r>
    </w:p>
    <w:p w:rsidR="00B86BD8" w:rsidRDefault="00B86BD8" w:rsidP="00BA71F0">
      <w:pPr>
        <w:jc w:val="both"/>
        <w:rPr>
          <w:sz w:val="22"/>
          <w:szCs w:val="22"/>
        </w:rPr>
      </w:pPr>
    </w:p>
    <w:p w:rsidR="00B86BD8" w:rsidRDefault="00B86BD8" w:rsidP="00BA71F0">
      <w:pPr>
        <w:jc w:val="right"/>
        <w:rPr>
          <w:sz w:val="22"/>
          <w:szCs w:val="22"/>
        </w:rPr>
      </w:pPr>
      <w:r w:rsidRPr="007513C2">
        <w:rPr>
          <w:position w:val="-14"/>
          <w:sz w:val="22"/>
          <w:szCs w:val="22"/>
        </w:rPr>
        <w:object w:dxaOrig="1860" w:dyaOrig="400">
          <v:shape id="_x0000_i1074" type="#_x0000_t75" style="width:92.85pt;height:18.8pt" o:ole="">
            <v:imagedata r:id="rId174" o:title=""/>
          </v:shape>
          <o:OLEObject Type="Embed" ProgID="Equation.DSMT4" ShapeID="_x0000_i1074" DrawAspect="Content" ObjectID="_1460439746" r:id="rId175"/>
        </w:object>
      </w:r>
      <w:r>
        <w:rPr>
          <w:sz w:val="22"/>
          <w:szCs w:val="22"/>
        </w:rPr>
        <w:tab/>
      </w:r>
      <w:r>
        <w:rPr>
          <w:sz w:val="22"/>
          <w:szCs w:val="22"/>
        </w:rPr>
        <w:tab/>
      </w:r>
      <w:r>
        <w:rPr>
          <w:sz w:val="22"/>
          <w:szCs w:val="22"/>
        </w:rPr>
        <w:tab/>
      </w:r>
      <w:r>
        <w:rPr>
          <w:sz w:val="22"/>
          <w:szCs w:val="22"/>
        </w:rPr>
        <w:tab/>
      </w:r>
      <w:r>
        <w:rPr>
          <w:sz w:val="22"/>
          <w:szCs w:val="22"/>
        </w:rPr>
        <w:tab/>
      </w:r>
      <w:r>
        <w:rPr>
          <w:sz w:val="22"/>
          <w:szCs w:val="22"/>
        </w:rPr>
        <w:tab/>
        <w:t>(14)</w:t>
      </w:r>
    </w:p>
    <w:p w:rsidR="00B86BD8" w:rsidRDefault="00B86BD8" w:rsidP="00BA71F0">
      <w:pPr>
        <w:pStyle w:val="BodyText"/>
        <w:spacing w:line="240" w:lineRule="auto"/>
        <w:jc w:val="both"/>
        <w:rPr>
          <w:szCs w:val="22"/>
        </w:rPr>
      </w:pPr>
    </w:p>
    <w:p w:rsidR="00B86BD8" w:rsidRDefault="00B86BD8" w:rsidP="00BA71F0">
      <w:pPr>
        <w:jc w:val="both"/>
        <w:rPr>
          <w:sz w:val="22"/>
          <w:szCs w:val="22"/>
        </w:rPr>
      </w:pPr>
      <w:r>
        <w:rPr>
          <w:sz w:val="22"/>
          <w:szCs w:val="22"/>
        </w:rPr>
        <w:t xml:space="preserve">  </w:t>
      </w:r>
    </w:p>
    <w:p w:rsidR="00B86BD8" w:rsidRDefault="00B86BD8" w:rsidP="00BA71F0">
      <w:pPr>
        <w:jc w:val="both"/>
        <w:rPr>
          <w:sz w:val="22"/>
          <w:szCs w:val="22"/>
        </w:rPr>
      </w:pPr>
      <w:r>
        <w:rPr>
          <w:sz w:val="22"/>
          <w:szCs w:val="22"/>
        </w:rPr>
        <w:t xml:space="preserve">where </w:t>
      </w:r>
      <m:oMath>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T</m:t>
            </m:r>
          </m:sup>
        </m:sSup>
      </m:oMath>
      <w:r>
        <w:rPr>
          <w:sz w:val="22"/>
          <w:szCs w:val="22"/>
        </w:rPr>
        <w:t xml:space="preserve"> is the target total fishery selectivity vector with </w:t>
      </w:r>
      <m:oMath>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i</m:t>
            </m:r>
          </m:sub>
          <m:sup>
            <m:r>
              <w:rPr>
                <w:rFonts w:ascii="Cambria Math" w:hAnsi="Cambria Math"/>
                <w:sz w:val="22"/>
                <w:szCs w:val="22"/>
              </w:rPr>
              <m:t>T</m:t>
            </m:r>
          </m:sup>
        </m:sSubSup>
        <m:r>
          <w:rPr>
            <w:rFonts w:ascii="Cambria Math" w:hAnsi="Cambria Math"/>
            <w:sz w:val="22"/>
            <w:szCs w:val="22"/>
          </w:rPr>
          <m:t xml:space="preserve"> </m:t>
        </m:r>
      </m:oMath>
      <w:r>
        <w:rPr>
          <w:sz w:val="22"/>
          <w:szCs w:val="22"/>
        </w:rPr>
        <w:t xml:space="preserve">at element i and 0 otherwise, and </w:t>
      </w:r>
      <m:oMath>
        <m:sSup>
          <m:sSupPr>
            <m:ctrlPr>
              <w:rPr>
                <w:rFonts w:ascii="Cambria Math" w:hAnsi="Cambria Math"/>
                <w:i/>
                <w:sz w:val="22"/>
                <w:szCs w:val="22"/>
              </w:rPr>
            </m:ctrlPr>
          </m:sSupPr>
          <m:e>
            <m:r>
              <w:rPr>
                <w:rFonts w:ascii="Cambria Math" w:hAnsi="Cambria Math"/>
                <w:sz w:val="22"/>
                <w:szCs w:val="22"/>
              </w:rPr>
              <m:t>Z</m:t>
            </m:r>
          </m:e>
          <m:sup>
            <m:r>
              <w:rPr>
                <w:rFonts w:ascii="Cambria Math" w:hAnsi="Cambria Math"/>
                <w:sz w:val="22"/>
                <w:szCs w:val="22"/>
              </w:rPr>
              <m:t>(j)</m:t>
            </m:r>
          </m:sup>
        </m:sSup>
      </m:oMath>
      <w:r>
        <w:rPr>
          <w:sz w:val="22"/>
          <w:szCs w:val="22"/>
        </w:rPr>
        <w:t xml:space="preserve">  is a vector with </w:t>
      </w:r>
      <w:r w:rsidRPr="007513C2">
        <w:rPr>
          <w:position w:val="-14"/>
          <w:sz w:val="22"/>
          <w:szCs w:val="22"/>
        </w:rPr>
        <w:object w:dxaOrig="480" w:dyaOrig="380">
          <v:shape id="_x0000_i1075" type="#_x0000_t75" style="width:24pt;height:17.75pt" o:ole="">
            <v:imagedata r:id="rId176" o:title=""/>
          </v:shape>
          <o:OLEObject Type="Embed" ProgID="Equation.DSMT4" ShapeID="_x0000_i1075" DrawAspect="Content" ObjectID="_1460439747" r:id="rId177"/>
        </w:object>
      </w:r>
      <w:r>
        <w:rPr>
          <w:sz w:val="22"/>
          <w:szCs w:val="22"/>
        </w:rPr>
        <w:t xml:space="preserve"> at element j and 0 otherwise (Punt et al., 1997).  </w:t>
      </w:r>
    </w:p>
    <w:p w:rsidR="00B86BD8" w:rsidRDefault="00B86BD8" w:rsidP="00BA71F0">
      <w:pPr>
        <w:jc w:val="both"/>
        <w:rPr>
          <w:sz w:val="22"/>
          <w:szCs w:val="22"/>
        </w:rPr>
      </w:pPr>
    </w:p>
    <w:p w:rsidR="00B86BD8" w:rsidRDefault="00B86BD8" w:rsidP="00BA71F0">
      <w:pPr>
        <w:jc w:val="both"/>
        <w:rPr>
          <w:sz w:val="22"/>
          <w:szCs w:val="22"/>
        </w:rPr>
      </w:pPr>
      <w:r>
        <w:rPr>
          <w:sz w:val="22"/>
          <w:szCs w:val="22"/>
        </w:rPr>
        <w:t xml:space="preserve">We assume that all recaptures are in the pot fishery and not the survey, and the reporting rate is independent of the size of crab. </w:t>
      </w:r>
    </w:p>
    <w:p w:rsidR="00B86BD8" w:rsidRDefault="00B86BD8" w:rsidP="00BA71F0">
      <w:pPr>
        <w:jc w:val="both"/>
        <w:rPr>
          <w:sz w:val="22"/>
          <w:szCs w:val="22"/>
        </w:rPr>
      </w:pPr>
    </w:p>
    <w:p w:rsidR="00B86BD8" w:rsidRDefault="00B86BD8" w:rsidP="00BA71F0">
      <w:pPr>
        <w:jc w:val="both"/>
        <w:rPr>
          <w:sz w:val="22"/>
          <w:szCs w:val="22"/>
        </w:rPr>
      </w:pPr>
      <w:r>
        <w:rPr>
          <w:sz w:val="22"/>
          <w:szCs w:val="22"/>
        </w:rPr>
        <w:t xml:space="preserve">We predict the expected number of recaptures in length-class </w:t>
      </w:r>
      <w:r w:rsidRPr="006E69E1">
        <w:rPr>
          <w:i/>
          <w:sz w:val="22"/>
          <w:szCs w:val="22"/>
        </w:rPr>
        <w:t xml:space="preserve">l </w:t>
      </w:r>
      <w:r>
        <w:rPr>
          <w:sz w:val="22"/>
          <w:szCs w:val="22"/>
        </w:rPr>
        <w:t>by</w:t>
      </w:r>
    </w:p>
    <w:p w:rsidR="00B86BD8" w:rsidRDefault="00B86BD8" w:rsidP="00BA71F0">
      <w:pPr>
        <w:jc w:val="both"/>
        <w:rPr>
          <w:sz w:val="22"/>
          <w:szCs w:val="22"/>
        </w:rPr>
      </w:pPr>
    </w:p>
    <w:p w:rsidR="00B86BD8" w:rsidRDefault="009374C7" w:rsidP="00BA71F0">
      <w:pPr>
        <w:jc w:val="both"/>
        <w:rPr>
          <w:sz w:val="22"/>
          <w:szCs w:val="22"/>
        </w:rPr>
      </w:p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l</m:t>
            </m:r>
          </m:sub>
        </m:sSub>
        <m:r>
          <w:rPr>
            <w:rFonts w:ascii="Cambria Math" w:hAnsi="Cambria Math"/>
            <w:sz w:val="22"/>
            <w:szCs w:val="22"/>
          </w:rPr>
          <m:t>=</m:t>
        </m:r>
        <m:nary>
          <m:naryPr>
            <m:chr m:val="∑"/>
            <m:limLoc m:val="undOvr"/>
            <m:supHide m:val="1"/>
            <m:ctrlPr>
              <w:rPr>
                <w:rFonts w:ascii="Cambria Math" w:hAnsi="Cambria Math"/>
                <w:i/>
                <w:sz w:val="22"/>
                <w:szCs w:val="22"/>
              </w:rPr>
            </m:ctrlPr>
          </m:naryPr>
          <m:sub>
            <m:r>
              <w:rPr>
                <w:rFonts w:ascii="Cambria Math" w:hAnsi="Cambria Math"/>
                <w:sz w:val="22"/>
                <w:szCs w:val="22"/>
              </w:rPr>
              <m:t>t</m:t>
            </m:r>
          </m:sub>
          <m:sup/>
          <m:e>
            <m:nary>
              <m:naryPr>
                <m:chr m:val="∑"/>
                <m:limLoc m:val="undOvr"/>
                <m:supHide m:val="1"/>
                <m:ctrlPr>
                  <w:rPr>
                    <w:rFonts w:ascii="Cambria Math" w:hAnsi="Cambria Math"/>
                    <w:i/>
                    <w:sz w:val="22"/>
                    <w:szCs w:val="22"/>
                  </w:rPr>
                </m:ctrlPr>
              </m:naryPr>
              <m:sub>
                <m:r>
                  <w:rPr>
                    <w:rFonts w:ascii="Cambria Math" w:hAnsi="Cambria Math"/>
                    <w:sz w:val="22"/>
                    <w:szCs w:val="22"/>
                  </w:rPr>
                  <m:t>y</m:t>
                </m:r>
              </m:sub>
              <m:sup/>
              <m:e>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l,t,y</m:t>
                    </m:r>
                  </m:sub>
                </m:sSub>
              </m:e>
            </m:nary>
          </m:e>
        </m:nary>
        <m:r>
          <w:rPr>
            <w:rFonts w:ascii="Cambria Math" w:hAnsi="Cambria Math"/>
            <w:sz w:val="22"/>
            <w:szCs w:val="22"/>
          </w:rPr>
          <m:t>*</m:t>
        </m:r>
        <m:nary>
          <m:naryPr>
            <m:chr m:val="∑"/>
            <m:limLoc m:val="undOvr"/>
            <m:supHide m:val="1"/>
            <m:ctrlPr>
              <w:rPr>
                <w:rFonts w:ascii="Cambria Math" w:hAnsi="Cambria Math"/>
                <w:i/>
                <w:sz w:val="22"/>
                <w:szCs w:val="22"/>
              </w:rPr>
            </m:ctrlPr>
          </m:naryPr>
          <m:sub>
            <m:r>
              <w:rPr>
                <w:rFonts w:ascii="Cambria Math" w:hAnsi="Cambria Math"/>
                <w:sz w:val="22"/>
                <w:szCs w:val="22"/>
              </w:rPr>
              <m:t>j</m:t>
            </m:r>
          </m:sub>
          <m:sup/>
          <m:e>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j</m:t>
                </m:r>
              </m:sub>
              <m:sup>
                <m:r>
                  <w:rPr>
                    <w:rFonts w:ascii="Cambria Math" w:hAnsi="Cambria Math"/>
                    <w:sz w:val="22"/>
                    <w:szCs w:val="22"/>
                  </w:rPr>
                  <m:t>T</m:t>
                </m:r>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l,j</m:t>
                </m:r>
              </m:sub>
            </m:sSub>
          </m:e>
        </m:nary>
      </m:oMath>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r>
      <w:r w:rsidR="00B86BD8">
        <w:rPr>
          <w:sz w:val="22"/>
          <w:szCs w:val="22"/>
        </w:rPr>
        <w:tab/>
        <w:t xml:space="preserve">    (15)</w:t>
      </w:r>
    </w:p>
    <w:p w:rsidR="00B86BD8" w:rsidRDefault="00B86BD8" w:rsidP="00BA71F0">
      <w:pPr>
        <w:jc w:val="both"/>
        <w:rPr>
          <w:sz w:val="22"/>
          <w:szCs w:val="22"/>
        </w:rPr>
      </w:pPr>
      <w:r>
        <w:rPr>
          <w:sz w:val="22"/>
          <w:szCs w:val="22"/>
        </w:rPr>
        <w:t xml:space="preserve">   </w:t>
      </w:r>
    </w:p>
    <w:p w:rsidR="00B86BD8" w:rsidRDefault="00B86BD8" w:rsidP="00BA71F0">
      <w:pPr>
        <w:pStyle w:val="BodyText"/>
        <w:spacing w:line="240" w:lineRule="auto"/>
        <w:jc w:val="both"/>
        <w:rPr>
          <w:szCs w:val="22"/>
        </w:rPr>
      </w:pPr>
    </w:p>
    <w:p w:rsidR="00B86BD8" w:rsidRPr="00CA76B1" w:rsidRDefault="00B86BD8" w:rsidP="00BA71F0">
      <w:pPr>
        <w:pStyle w:val="BodyText"/>
        <w:spacing w:line="240" w:lineRule="auto"/>
        <w:jc w:val="both"/>
        <w:rPr>
          <w:b/>
          <w:i/>
          <w:szCs w:val="22"/>
        </w:rPr>
      </w:pPr>
      <w:r w:rsidRPr="00CA76B1">
        <w:rPr>
          <w:b/>
          <w:i/>
          <w:szCs w:val="22"/>
        </w:rPr>
        <w:t>Penalties</w:t>
      </w:r>
    </w:p>
    <w:p w:rsidR="00B86BD8" w:rsidRDefault="00B86BD8" w:rsidP="00BA71F0">
      <w:pPr>
        <w:jc w:val="both"/>
        <w:rPr>
          <w:sz w:val="22"/>
          <w:szCs w:val="22"/>
        </w:rPr>
      </w:pPr>
      <w:r w:rsidRPr="00CA76B1">
        <w:rPr>
          <w:sz w:val="22"/>
          <w:szCs w:val="22"/>
        </w:rPr>
        <w:lastRenderedPageBreak/>
        <w:t>Penalties</w:t>
      </w:r>
      <w:r>
        <w:rPr>
          <w:sz w:val="22"/>
          <w:szCs w:val="22"/>
        </w:rPr>
        <w:t xml:space="preserve"> are imposed on the deviations of annual pot fishing mortality about mean pot fishing mortality, annual trawl fishing mortality about mean trawl fishing mortality, recruitment about mean recruitment, average pot fishing mortality about a fixed F value k, and the posfunction :</w:t>
      </w:r>
    </w:p>
    <w:p w:rsidR="00B86BD8" w:rsidRDefault="00B86BD8" w:rsidP="009C372F">
      <w:pPr>
        <w:spacing w:before="120"/>
        <w:jc w:val="center"/>
        <w:rPr>
          <w:sz w:val="22"/>
          <w:szCs w:val="22"/>
        </w:rPr>
      </w:pPr>
      <w:r w:rsidRPr="00326C3A">
        <w:rPr>
          <w:position w:val="-28"/>
          <w:sz w:val="22"/>
          <w:szCs w:val="22"/>
        </w:rPr>
        <w:object w:dxaOrig="2340" w:dyaOrig="540">
          <v:shape id="_x0000_i1076" type="#_x0000_t75" style="width:118.95pt;height:28.15pt" o:ole="">
            <v:imagedata r:id="rId178" o:title=""/>
          </v:shape>
          <o:OLEObject Type="Embed" ProgID="Equation.DSMT4" ShapeID="_x0000_i1076" DrawAspect="Content" ObjectID="_1460439748" r:id="rId179"/>
        </w:objec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(16)</w:t>
      </w:r>
    </w:p>
    <w:p w:rsidR="00B86BD8" w:rsidRDefault="00B86BD8" w:rsidP="009C372F">
      <w:pPr>
        <w:jc w:val="center"/>
        <w:rPr>
          <w:sz w:val="22"/>
          <w:szCs w:val="22"/>
        </w:rPr>
      </w:pPr>
      <w:r w:rsidRPr="00326C3A">
        <w:rPr>
          <w:position w:val="-28"/>
          <w:sz w:val="22"/>
          <w:szCs w:val="22"/>
        </w:rPr>
        <w:object w:dxaOrig="2780" w:dyaOrig="540">
          <v:shape id="_x0000_i1077" type="#_x0000_t75" style="width:138.8pt;height:28.15pt" o:ole="">
            <v:imagedata r:id="rId180" o:title=""/>
          </v:shape>
          <o:OLEObject Type="Embed" ProgID="Equation.DSMT4" ShapeID="_x0000_i1077" DrawAspect="Content" ObjectID="_1460439749" r:id="rId181"/>
        </w:objec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(17)</w:t>
      </w:r>
    </w:p>
    <w:p w:rsidR="00B86BD8" w:rsidRDefault="00B86BD8" w:rsidP="009C372F">
      <w:pPr>
        <w:jc w:val="center"/>
        <w:rPr>
          <w:sz w:val="22"/>
          <w:szCs w:val="22"/>
        </w:rPr>
      </w:pPr>
      <w:r w:rsidRPr="00326C3A">
        <w:rPr>
          <w:position w:val="-28"/>
          <w:sz w:val="22"/>
          <w:szCs w:val="22"/>
        </w:rPr>
        <w:object w:dxaOrig="1740" w:dyaOrig="540">
          <v:shape id="_x0000_i1078" type="#_x0000_t75" style="width:87.65pt;height:28.15pt" o:ole="">
            <v:imagedata r:id="rId182" o:title=""/>
          </v:shape>
          <o:OLEObject Type="Embed" ProgID="Equation.DSMT4" ShapeID="_x0000_i1078" DrawAspect="Content" ObjectID="_1460439750" r:id="rId183"/>
        </w:objec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(18)</w:t>
      </w:r>
    </w:p>
    <w:p w:rsidR="00B86BD8" w:rsidRPr="00227A20" w:rsidRDefault="009374C7" w:rsidP="009C372F">
      <w:pPr>
        <w:jc w:val="center"/>
        <w:rPr>
          <w:sz w:val="22"/>
          <w:szCs w:val="22"/>
        </w:rPr>
      </w:pP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4</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Fmean</m:t>
            </m:r>
          </m:sub>
        </m:sSub>
        <m:sSup>
          <m:sSupPr>
            <m:ctrlPr>
              <w:rPr>
                <w:rFonts w:ascii="Cambria Math" w:hAnsi="Cambria Math"/>
                <w:i/>
                <w:sz w:val="22"/>
                <w:szCs w:val="22"/>
              </w:rPr>
            </m:ctrlPr>
          </m:sSupPr>
          <m:e>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F</m:t>
                </m:r>
              </m:e>
            </m:acc>
            <m:r>
              <w:rPr>
                <w:rFonts w:ascii="Cambria Math" w:hAnsi="Cambria Math"/>
                <w:sz w:val="22"/>
                <w:szCs w:val="22"/>
              </w:rPr>
              <m:t>-k)</m:t>
            </m:r>
          </m:e>
          <m:sup>
            <m:r>
              <w:rPr>
                <w:rFonts w:ascii="Cambria Math" w:hAnsi="Cambria Math"/>
                <w:sz w:val="22"/>
                <w:szCs w:val="22"/>
              </w:rPr>
              <m:t>2</m:t>
            </m:r>
          </m:sup>
        </m:sSup>
      </m:oMath>
      <w:r w:rsidR="00B86BD8">
        <w:rPr>
          <w:sz w:val="22"/>
          <w:szCs w:val="22"/>
        </w:rPr>
        <w:tab/>
      </w:r>
      <w:r w:rsidR="00B86BD8">
        <w:rPr>
          <w:sz w:val="22"/>
          <w:szCs w:val="22"/>
        </w:rPr>
        <w:tab/>
      </w:r>
      <w:r w:rsidR="00B86BD8">
        <w:rPr>
          <w:sz w:val="22"/>
          <w:szCs w:val="22"/>
        </w:rPr>
        <w:tab/>
      </w:r>
      <w:r w:rsidR="00B86BD8">
        <w:rPr>
          <w:sz w:val="22"/>
          <w:szCs w:val="22"/>
        </w:rPr>
        <w:tab/>
        <w:t xml:space="preserve">              </w:t>
      </w:r>
      <w:r w:rsidR="00B86BD8">
        <w:rPr>
          <w:sz w:val="22"/>
          <w:szCs w:val="22"/>
        </w:rPr>
        <w:tab/>
      </w:r>
      <w:r w:rsidR="00B86BD8">
        <w:rPr>
          <w:sz w:val="22"/>
          <w:szCs w:val="22"/>
        </w:rPr>
        <w:tab/>
      </w:r>
      <w:r w:rsidR="00B86BD8">
        <w:rPr>
          <w:sz w:val="22"/>
          <w:szCs w:val="22"/>
        </w:rPr>
        <w:tab/>
      </w:r>
      <w:r w:rsidR="00B86BD8">
        <w:rPr>
          <w:sz w:val="22"/>
          <w:szCs w:val="22"/>
        </w:rPr>
        <w:tab/>
        <w:t>(19)</w:t>
      </w:r>
    </w:p>
    <w:p w:rsidR="00B86BD8" w:rsidRDefault="00B86BD8" w:rsidP="009C372F">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B86BD8" w:rsidRDefault="009374C7" w:rsidP="009C372F">
      <w:pPr>
        <w:jc w:val="center"/>
        <w:rPr>
          <w:sz w:val="22"/>
          <w:szCs w:val="22"/>
        </w:rPr>
      </w:pP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5</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posfn</m:t>
            </m:r>
          </m:sub>
        </m:sSub>
        <m:r>
          <w:rPr>
            <w:rFonts w:ascii="Cambria Math" w:hAnsi="Cambria Math"/>
            <w:sz w:val="22"/>
            <w:szCs w:val="22"/>
          </w:rPr>
          <m:t>*fpen</m:t>
        </m:r>
      </m:oMath>
      <w:r w:rsidR="00B86BD8">
        <w:rPr>
          <w:sz w:val="22"/>
          <w:szCs w:val="22"/>
        </w:rPr>
        <w:t xml:space="preserve">                                                                     </w:t>
      </w:r>
      <w:r w:rsidR="00B86BD8">
        <w:rPr>
          <w:sz w:val="22"/>
          <w:szCs w:val="22"/>
        </w:rPr>
        <w:tab/>
      </w:r>
      <w:r w:rsidR="00B86BD8">
        <w:rPr>
          <w:sz w:val="22"/>
          <w:szCs w:val="22"/>
        </w:rPr>
        <w:tab/>
      </w:r>
      <w:r w:rsidR="00B86BD8">
        <w:rPr>
          <w:sz w:val="22"/>
          <w:szCs w:val="22"/>
        </w:rPr>
        <w:tab/>
      </w:r>
      <w:r w:rsidR="00B86BD8">
        <w:rPr>
          <w:sz w:val="22"/>
          <w:szCs w:val="22"/>
        </w:rPr>
        <w:tab/>
        <w:t xml:space="preserve">  (20)</w:t>
      </w:r>
    </w:p>
    <w:p w:rsidR="00B86BD8" w:rsidRDefault="00B86BD8" w:rsidP="00BA71F0">
      <w:pPr>
        <w:rPr>
          <w:sz w:val="22"/>
          <w:szCs w:val="22"/>
        </w:rPr>
      </w:pPr>
    </w:p>
    <w:p w:rsidR="00B86BD8" w:rsidRDefault="00B86BD8" w:rsidP="00BA71F0">
      <w:pPr>
        <w:jc w:val="right"/>
        <w:rPr>
          <w:sz w:val="22"/>
          <w:szCs w:val="22"/>
        </w:rPr>
      </w:pPr>
    </w:p>
    <w:p w:rsidR="00B86BD8" w:rsidRDefault="00B86BD8" w:rsidP="00BA71F0">
      <w:pPr>
        <w:pStyle w:val="BodyText"/>
        <w:spacing w:line="240" w:lineRule="auto"/>
        <w:jc w:val="both"/>
        <w:rPr>
          <w:b/>
          <w:szCs w:val="22"/>
        </w:rPr>
      </w:pPr>
    </w:p>
    <w:p w:rsidR="00B86BD8" w:rsidRPr="00326C3A" w:rsidRDefault="00B86BD8" w:rsidP="00BA71F0">
      <w:pPr>
        <w:pStyle w:val="BodyText"/>
        <w:spacing w:line="240" w:lineRule="auto"/>
        <w:jc w:val="both"/>
        <w:rPr>
          <w:b/>
          <w:szCs w:val="22"/>
        </w:rPr>
      </w:pPr>
      <w:r w:rsidRPr="00326C3A">
        <w:rPr>
          <w:b/>
          <w:szCs w:val="22"/>
        </w:rPr>
        <w:t>Output Quantities</w:t>
      </w:r>
    </w:p>
    <w:p w:rsidR="00B86BD8" w:rsidRDefault="00B86BD8" w:rsidP="00BA71F0">
      <w:pPr>
        <w:rPr>
          <w:i/>
          <w:sz w:val="22"/>
          <w:szCs w:val="22"/>
        </w:rPr>
      </w:pPr>
    </w:p>
    <w:p w:rsidR="00B86BD8" w:rsidRDefault="00B86BD8" w:rsidP="00BA71F0">
      <w:pPr>
        <w:rPr>
          <w:sz w:val="22"/>
          <w:szCs w:val="22"/>
        </w:rPr>
      </w:pPr>
      <w:r w:rsidRPr="00AB1B90">
        <w:rPr>
          <w:i/>
          <w:sz w:val="22"/>
          <w:szCs w:val="22"/>
        </w:rPr>
        <w:t>Harvest rate</w:t>
      </w:r>
    </w:p>
    <w:p w:rsidR="00B86BD8" w:rsidRDefault="00B86BD8" w:rsidP="00BA71F0">
      <w:pPr>
        <w:rPr>
          <w:sz w:val="22"/>
          <w:szCs w:val="22"/>
        </w:rPr>
      </w:pPr>
    </w:p>
    <w:p w:rsidR="00B86BD8" w:rsidRDefault="00B86BD8" w:rsidP="00BA71F0">
      <w:pPr>
        <w:rPr>
          <w:sz w:val="22"/>
          <w:szCs w:val="22"/>
        </w:rPr>
      </w:pPr>
      <w:r w:rsidRPr="00FC679D">
        <w:rPr>
          <w:sz w:val="22"/>
          <w:szCs w:val="22"/>
        </w:rPr>
        <w:t>Total pot fishery harvest rate:</w:t>
      </w:r>
      <w:r>
        <w:rPr>
          <w:sz w:val="22"/>
          <w:szCs w:val="22"/>
        </w:rPr>
        <w:t xml:space="preserve"> </w:t>
      </w:r>
    </w:p>
    <w:p w:rsidR="00B86BD8" w:rsidRDefault="00B86BD8" w:rsidP="00BA71F0">
      <w:pPr>
        <w:rPr>
          <w:sz w:val="22"/>
          <w:szCs w:val="22"/>
        </w:rPr>
      </w:pPr>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t</m:t>
            </m:r>
          </m:sub>
        </m:sSub>
        <m:r>
          <w:rPr>
            <w:rFonts w:ascii="Cambria Math" w:hAnsi="Cambria Math"/>
            <w:sz w:val="22"/>
            <w:szCs w:val="22"/>
          </w:rPr>
          <m:t>=</m:t>
        </m:r>
        <m:f>
          <m:fPr>
            <m:ctrlPr>
              <w:rPr>
                <w:rFonts w:ascii="Cambria Math" w:hAnsi="Cambria Math"/>
                <w:i/>
                <w:sz w:val="22"/>
                <w:szCs w:val="22"/>
              </w:rPr>
            </m:ctrlPr>
          </m:fPr>
          <m:num>
            <m:nary>
              <m:naryPr>
                <m:chr m:val="∑"/>
                <m:limLoc m:val="subSup"/>
                <m:ctrlPr>
                  <w:rPr>
                    <w:rFonts w:ascii="Cambria Math" w:hAnsi="Cambria Math"/>
                    <w:i/>
                    <w:sz w:val="22"/>
                    <w:szCs w:val="22"/>
                  </w:rPr>
                </m:ctrlPr>
              </m:naryPr>
              <m:sub>
                <m:r>
                  <w:rPr>
                    <w:rFonts w:ascii="Cambria Math" w:hAnsi="Cambria Math"/>
                    <w:sz w:val="22"/>
                    <w:szCs w:val="22"/>
                  </w:rPr>
                  <m:t>j=1</m:t>
                </m:r>
              </m:sub>
              <m:sup>
                <m:r>
                  <w:rPr>
                    <w:rFonts w:ascii="Cambria Math" w:hAnsi="Cambria Math"/>
                    <w:sz w:val="22"/>
                    <w:szCs w:val="22"/>
                  </w:rPr>
                  <m:t>n</m:t>
                </m:r>
              </m:sup>
              <m:e>
                <m:d>
                  <m:dPr>
                    <m:ctrlPr>
                      <w:rPr>
                        <w:rFonts w:ascii="Cambria Math" w:hAnsi="Cambria Math"/>
                        <w:i/>
                        <w:sz w:val="22"/>
                        <w:szCs w:val="22"/>
                      </w:rPr>
                    </m:ctrlPr>
                  </m:dPr>
                  <m:e>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C</m:t>
                            </m:r>
                          </m:e>
                        </m:acc>
                      </m:e>
                      <m:sub>
                        <m:r>
                          <w:rPr>
                            <w:rFonts w:ascii="Cambria Math" w:hAnsi="Cambria Math"/>
                            <w:sz w:val="22"/>
                            <w:szCs w:val="22"/>
                          </w:rPr>
                          <m:t>j,t</m:t>
                        </m:r>
                      </m:sub>
                    </m:sSub>
                    <m:r>
                      <w:rPr>
                        <w:rFonts w:ascii="Cambria Math" w:hAnsi="Cambria Math"/>
                        <w:sz w:val="22"/>
                        <w:szCs w:val="22"/>
                      </w:rPr>
                      <m:t xml:space="preserve">+ </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D</m:t>
                            </m:r>
                          </m:e>
                        </m:acc>
                      </m:e>
                      <m:sub>
                        <m:r>
                          <w:rPr>
                            <w:rFonts w:ascii="Cambria Math" w:hAnsi="Cambria Math"/>
                            <w:sz w:val="22"/>
                            <w:szCs w:val="22"/>
                          </w:rPr>
                          <m:t>j,t</m:t>
                        </m:r>
                      </m:sub>
                    </m:sSub>
                  </m:e>
                </m:d>
              </m:e>
            </m:nary>
          </m:num>
          <m:den>
            <m:nary>
              <m:naryPr>
                <m:chr m:val="∑"/>
                <m:limLoc m:val="subSup"/>
                <m:ctrlPr>
                  <w:rPr>
                    <w:rFonts w:ascii="Cambria Math" w:hAnsi="Cambria Math"/>
                    <w:i/>
                    <w:sz w:val="22"/>
                    <w:szCs w:val="22"/>
                  </w:rPr>
                </m:ctrlPr>
              </m:naryPr>
              <m:sub>
                <m:r>
                  <w:rPr>
                    <w:rFonts w:ascii="Cambria Math" w:hAnsi="Cambria Math"/>
                    <w:sz w:val="22"/>
                    <w:szCs w:val="22"/>
                  </w:rPr>
                  <m:t>j=1</m:t>
                </m:r>
              </m:sub>
              <m:sup>
                <m:r>
                  <w:rPr>
                    <w:rFonts w:ascii="Cambria Math" w:hAnsi="Cambria Math"/>
                    <w:sz w:val="22"/>
                    <w:szCs w:val="22"/>
                  </w:rPr>
                  <m:t>n</m:t>
                </m:r>
              </m:sup>
              <m:e>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j,t</m:t>
                    </m:r>
                  </m:sub>
                </m:sSub>
              </m:e>
            </m:nary>
          </m:den>
        </m:f>
      </m:oMath>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t xml:space="preserve"> (21)</w:t>
      </w:r>
      <w:r>
        <w:rPr>
          <w:sz w:val="22"/>
          <w:szCs w:val="22"/>
        </w:rPr>
        <w:tab/>
      </w:r>
    </w:p>
    <w:p w:rsidR="00B86BD8" w:rsidRDefault="00B86BD8" w:rsidP="00BA71F0">
      <w:pPr>
        <w:rPr>
          <w:sz w:val="22"/>
          <w:szCs w:val="22"/>
        </w:rPr>
      </w:pPr>
    </w:p>
    <w:p w:rsidR="00B86BD8" w:rsidRPr="00FC679D" w:rsidRDefault="00B86BD8" w:rsidP="00BA71F0">
      <w:pPr>
        <w:rPr>
          <w:sz w:val="22"/>
          <w:szCs w:val="22"/>
        </w:rPr>
      </w:pPr>
      <w:r w:rsidRPr="00FC679D">
        <w:rPr>
          <w:sz w:val="22"/>
          <w:szCs w:val="22"/>
        </w:rPr>
        <w:t xml:space="preserve">Exploited legal male biomass at the survey time </w:t>
      </w:r>
      <w:r>
        <w:rPr>
          <w:sz w:val="22"/>
          <w:szCs w:val="22"/>
        </w:rPr>
        <w:t>at the start of</w:t>
      </w:r>
      <w:r w:rsidRPr="00FC679D">
        <w:rPr>
          <w:sz w:val="22"/>
          <w:szCs w:val="22"/>
        </w:rPr>
        <w:t xml:space="preserve"> year </w:t>
      </w:r>
      <w:r w:rsidRPr="00FC679D">
        <w:rPr>
          <w:i/>
          <w:sz w:val="22"/>
          <w:szCs w:val="22"/>
        </w:rPr>
        <w:t>t</w:t>
      </w:r>
      <w:r w:rsidRPr="00FC679D">
        <w:rPr>
          <w:sz w:val="22"/>
          <w:szCs w:val="22"/>
        </w:rPr>
        <w:t>:</w:t>
      </w:r>
    </w:p>
    <w:p w:rsidR="00B86BD8" w:rsidRPr="009034A6" w:rsidRDefault="00B86BD8" w:rsidP="002F18CC">
      <w:pPr>
        <w:spacing w:before="120" w:after="120"/>
        <w:rPr>
          <w:szCs w:val="24"/>
        </w:rPr>
      </w:pPr>
      <w:r w:rsidRPr="005E6690">
        <w:rPr>
          <w:position w:val="-30"/>
          <w:szCs w:val="24"/>
        </w:rPr>
        <w:object w:dxaOrig="2640" w:dyaOrig="700">
          <v:shape id="_x0000_i1079" type="#_x0000_t75" style="width:130.45pt;height:35.5pt" o:ole="">
            <v:imagedata r:id="rId184" o:title=""/>
          </v:shape>
          <o:OLEObject Type="Embed" ProgID="Equation.DSMT4" ShapeID="_x0000_i1079" DrawAspect="Content" ObjectID="_1460439751" r:id="rId185"/>
        </w:object>
      </w:r>
      <w:r>
        <w:rPr>
          <w:position w:val="-32"/>
          <w:szCs w:val="24"/>
        </w:rPr>
        <w:tab/>
      </w:r>
      <w:r>
        <w:rPr>
          <w:position w:val="-32"/>
          <w:szCs w:val="24"/>
        </w:rPr>
        <w:tab/>
      </w:r>
      <w:r>
        <w:rPr>
          <w:position w:val="-32"/>
          <w:szCs w:val="24"/>
        </w:rPr>
        <w:tab/>
      </w:r>
      <w:r>
        <w:rPr>
          <w:position w:val="-32"/>
          <w:szCs w:val="24"/>
        </w:rPr>
        <w:tab/>
      </w:r>
      <w:r>
        <w:rPr>
          <w:position w:val="-32"/>
          <w:szCs w:val="24"/>
        </w:rPr>
        <w:tab/>
      </w:r>
      <w:r>
        <w:rPr>
          <w:position w:val="-32"/>
          <w:szCs w:val="24"/>
        </w:rPr>
        <w:tab/>
      </w:r>
      <w:r>
        <w:rPr>
          <w:position w:val="-32"/>
          <w:szCs w:val="24"/>
        </w:rPr>
        <w:tab/>
      </w:r>
      <w:r>
        <w:rPr>
          <w:position w:val="-32"/>
          <w:szCs w:val="24"/>
        </w:rPr>
        <w:tab/>
        <w:t>(22)</w:t>
      </w:r>
    </w:p>
    <w:p w:rsidR="00B86BD8" w:rsidRDefault="00B86BD8" w:rsidP="00BA71F0">
      <w:pPr>
        <w:rPr>
          <w:szCs w:val="24"/>
        </w:rPr>
      </w:pPr>
      <w:r>
        <w:rPr>
          <w:szCs w:val="24"/>
        </w:rPr>
        <w:t xml:space="preserve">where </w:t>
      </w:r>
      <w:r w:rsidRPr="005E6690">
        <w:rPr>
          <w:position w:val="-14"/>
          <w:szCs w:val="24"/>
        </w:rPr>
        <w:object w:dxaOrig="300" w:dyaOrig="380">
          <v:shape id="_x0000_i1080" type="#_x0000_t75" style="width:15.65pt;height:17.75pt" o:ole="">
            <v:imagedata r:id="rId186" o:title=""/>
          </v:shape>
          <o:OLEObject Type="Embed" ProgID="Equation.DSMT4" ShapeID="_x0000_i1080" DrawAspect="Content" ObjectID="_1460439752" r:id="rId187"/>
        </w:object>
      </w:r>
      <w:r>
        <w:rPr>
          <w:szCs w:val="24"/>
        </w:rPr>
        <w:t xml:space="preserve"> is the weight of an animal is length-class j.</w:t>
      </w:r>
    </w:p>
    <w:p w:rsidR="00B86BD8" w:rsidRDefault="00B86BD8" w:rsidP="00BA71F0">
      <w:pPr>
        <w:ind w:firstLine="360"/>
        <w:rPr>
          <w:sz w:val="22"/>
          <w:szCs w:val="22"/>
        </w:rPr>
      </w:pPr>
    </w:p>
    <w:p w:rsidR="00B86BD8" w:rsidRDefault="00B86BD8" w:rsidP="00BA71F0">
      <w:pPr>
        <w:ind w:firstLine="360"/>
        <w:rPr>
          <w:sz w:val="22"/>
          <w:szCs w:val="22"/>
        </w:rPr>
      </w:pPr>
      <w:r w:rsidRPr="00FC679D">
        <w:rPr>
          <w:sz w:val="22"/>
          <w:szCs w:val="22"/>
        </w:rPr>
        <w:t xml:space="preserve">Mature male biomass on 15 February spawning time (NPFMC 2007) in the following year: </w:t>
      </w:r>
    </w:p>
    <w:p w:rsidR="00B86BD8" w:rsidRDefault="00B86BD8" w:rsidP="00BA71F0">
      <w:pPr>
        <w:ind w:firstLine="360"/>
        <w:rPr>
          <w:sz w:val="22"/>
          <w:szCs w:val="22"/>
        </w:rPr>
      </w:pPr>
    </w:p>
    <w:p w:rsidR="00B86BD8" w:rsidRPr="00FC679D" w:rsidRDefault="009374C7" w:rsidP="00BA71F0">
      <w:pPr>
        <w:ind w:firstLine="360"/>
        <w:rPr>
          <w:sz w:val="22"/>
          <w:szCs w:val="22"/>
        </w:rPr>
      </w:pPr>
      <m:oMath>
        <m:sSub>
          <m:sSubPr>
            <m:ctrlPr>
              <w:rPr>
                <w:rFonts w:ascii="Cambria Math" w:hAnsi="Cambria Math"/>
                <w:i/>
                <w:sz w:val="22"/>
                <w:szCs w:val="22"/>
              </w:rPr>
            </m:ctrlPr>
          </m:sSubPr>
          <m:e>
            <m:r>
              <w:rPr>
                <w:rFonts w:ascii="Cambria Math" w:hAnsi="Cambria Math"/>
                <w:sz w:val="22"/>
                <w:szCs w:val="22"/>
              </w:rPr>
              <m:t>MMB</m:t>
            </m:r>
          </m:e>
          <m:sub>
            <m:r>
              <w:rPr>
                <w:rFonts w:ascii="Cambria Math" w:hAnsi="Cambria Math"/>
                <w:sz w:val="22"/>
                <w:szCs w:val="22"/>
              </w:rPr>
              <m:t>t</m:t>
            </m:r>
          </m:sub>
        </m:sSub>
        <m:r>
          <w:rPr>
            <w:rFonts w:ascii="Cambria Math" w:hAnsi="Cambria Math"/>
            <w:sz w:val="22"/>
            <w:szCs w:val="22"/>
          </w:rPr>
          <m:t xml:space="preserve">= </m:t>
        </m:r>
        <m:nary>
          <m:naryPr>
            <m:chr m:val="∑"/>
            <m:limLoc m:val="undOvr"/>
            <m:ctrlPr>
              <w:rPr>
                <w:rFonts w:ascii="Cambria Math" w:hAnsi="Cambria Math"/>
                <w:i/>
                <w:sz w:val="22"/>
                <w:szCs w:val="22"/>
              </w:rPr>
            </m:ctrlPr>
          </m:naryPr>
          <m:sub>
            <m:r>
              <w:rPr>
                <w:rFonts w:ascii="Cambria Math" w:hAnsi="Cambria Math"/>
                <w:sz w:val="22"/>
                <w:szCs w:val="22"/>
              </w:rPr>
              <m:t>j=mature size</m:t>
            </m:r>
          </m:sub>
          <m:sup>
            <m:r>
              <w:rPr>
                <w:rFonts w:ascii="Cambria Math" w:hAnsi="Cambria Math"/>
                <w:sz w:val="22"/>
                <w:szCs w:val="22"/>
              </w:rPr>
              <m:t>n</m:t>
            </m:r>
          </m:sup>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j,t</m:t>
                </m:r>
              </m:sub>
            </m:sSub>
            <m:sSup>
              <m:sSupPr>
                <m:ctrlPr>
                  <w:rPr>
                    <w:rFonts w:ascii="Cambria Math" w:hAnsi="Cambria Math"/>
                    <w:i/>
                    <w:sz w:val="22"/>
                    <w:szCs w:val="22"/>
                  </w:rPr>
                </m:ctrlPr>
              </m:sSupPr>
              <m:e>
                <m:r>
                  <w:rPr>
                    <w:rFonts w:ascii="Cambria Math" w:hAnsi="Cambria Math"/>
                    <w:sz w:val="22"/>
                    <w:szCs w:val="22"/>
                  </w:rPr>
                  <m:t>e</m:t>
                </m:r>
              </m:e>
              <m:sup>
                <m:sSup>
                  <m:sSupPr>
                    <m:ctrlPr>
                      <w:rPr>
                        <w:rFonts w:ascii="Cambria Math" w:hAnsi="Cambria Math"/>
                        <w:i/>
                        <w:sz w:val="22"/>
                        <w:szCs w:val="22"/>
                      </w:rPr>
                    </m:ctrlPr>
                  </m:sSupPr>
                  <m:e>
                    <m:r>
                      <w:rPr>
                        <w:rFonts w:ascii="Cambria Math" w:hAnsi="Cambria Math"/>
                        <w:sz w:val="22"/>
                        <w:szCs w:val="22"/>
                      </w:rPr>
                      <m:t>y</m:t>
                    </m:r>
                  </m:e>
                  <m:sup>
                    <m:r>
                      <w:rPr>
                        <w:rFonts w:ascii="Cambria Math" w:hAnsi="Cambria Math"/>
                        <w:sz w:val="22"/>
                        <w:szCs w:val="22"/>
                      </w:rPr>
                      <m:t>'</m:t>
                    </m:r>
                  </m:sup>
                </m:sSup>
                <m:r>
                  <w:rPr>
                    <w:rFonts w:ascii="Cambria Math" w:hAnsi="Cambria Math"/>
                    <w:sz w:val="22"/>
                    <w:szCs w:val="22"/>
                  </w:rPr>
                  <m:t>M</m:t>
                </m:r>
              </m:sup>
            </m:sSup>
            <m:r>
              <w:rPr>
                <w:rFonts w:ascii="Cambria Math" w:hAnsi="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C</m:t>
                    </m:r>
                  </m:e>
                </m:acc>
              </m:e>
              <m:sub>
                <m:r>
                  <w:rPr>
                    <w:rFonts w:ascii="Cambria Math" w:hAnsi="Cambria Math"/>
                    <w:sz w:val="22"/>
                    <w:szCs w:val="22"/>
                  </w:rPr>
                  <m:t>j,t</m:t>
                </m:r>
              </m:sub>
            </m:sSub>
          </m:e>
        </m:nary>
        <m:r>
          <w:rPr>
            <w:rFonts w:ascii="Cambria Math" w:hAnsi="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D</m:t>
                </m:r>
              </m:e>
            </m:acc>
          </m:e>
          <m:sub>
            <m:r>
              <w:rPr>
                <w:rFonts w:ascii="Cambria Math" w:hAnsi="Cambria Math"/>
                <w:sz w:val="22"/>
                <w:szCs w:val="22"/>
              </w:rPr>
              <m:t>j,t</m:t>
            </m:r>
          </m:sub>
        </m:sSub>
        <m:r>
          <w:rPr>
            <w:rFonts w:ascii="Cambria Math" w:hAnsi="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Tr</m:t>
                </m:r>
              </m:e>
            </m:acc>
          </m:e>
          <m:sub>
            <m:r>
              <w:rPr>
                <w:rFonts w:ascii="Cambria Math" w:hAnsi="Cambria Math"/>
                <w:sz w:val="22"/>
                <w:szCs w:val="22"/>
              </w:rPr>
              <m:t>j,t</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e</m:t>
            </m:r>
          </m:e>
          <m: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-y'</m:t>
                </m:r>
              </m:e>
            </m:d>
            <m:r>
              <w:rPr>
                <w:rFonts w:ascii="Cambria Math" w:hAnsi="Cambria Math"/>
                <w:sz w:val="22"/>
                <w:szCs w:val="22"/>
              </w:rPr>
              <m:t>M</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j</m:t>
            </m:r>
          </m:sub>
        </m:sSub>
      </m:oMath>
      <w:r w:rsidR="00B86BD8">
        <w:rPr>
          <w:sz w:val="22"/>
          <w:szCs w:val="22"/>
        </w:rPr>
        <w:t xml:space="preserve">                        (23)</w:t>
      </w:r>
    </w:p>
    <w:p w:rsidR="00B86BD8" w:rsidRDefault="00B86BD8" w:rsidP="00BA71F0">
      <w:pPr>
        <w:rPr>
          <w:szCs w:val="24"/>
        </w:rPr>
      </w:pPr>
    </w:p>
    <w:p w:rsidR="00B86BD8" w:rsidRPr="00FC679D" w:rsidRDefault="00B86BD8" w:rsidP="00BA71F0">
      <w:pPr>
        <w:rPr>
          <w:sz w:val="22"/>
          <w:szCs w:val="22"/>
        </w:rPr>
      </w:pPr>
      <w:r w:rsidRPr="00FC679D">
        <w:rPr>
          <w:szCs w:val="24"/>
        </w:rPr>
        <w:t xml:space="preserve">where </w:t>
      </w:r>
      <w:r w:rsidRPr="00FC679D">
        <w:rPr>
          <w:position w:val="-10"/>
          <w:sz w:val="22"/>
          <w:szCs w:val="22"/>
        </w:rPr>
        <w:object w:dxaOrig="260" w:dyaOrig="320">
          <v:shape id="_x0000_i1081" type="#_x0000_t75" style="width:13.55pt;height:15.65pt" o:ole="">
            <v:imagedata r:id="rId188" o:title=""/>
          </v:shape>
          <o:OLEObject Type="Embed" ProgID="Equation.3" ShapeID="_x0000_i1081" DrawAspect="Content" ObjectID="_1460439753" r:id="rId189"/>
        </w:object>
      </w:r>
      <w:r w:rsidRPr="00FC679D">
        <w:rPr>
          <w:sz w:val="22"/>
          <w:szCs w:val="22"/>
        </w:rPr>
        <w:t>is the elapsed time from 1 July to 15 February in the following year.</w:t>
      </w:r>
    </w:p>
    <w:p w:rsidR="00B86BD8" w:rsidRPr="00FC679D" w:rsidRDefault="00B86BD8" w:rsidP="00BA71F0">
      <w:pPr>
        <w:jc w:val="both"/>
        <w:rPr>
          <w:sz w:val="22"/>
          <w:szCs w:val="22"/>
        </w:rPr>
      </w:pPr>
      <w:r w:rsidRPr="00FC679D">
        <w:rPr>
          <w:sz w:val="22"/>
          <w:szCs w:val="22"/>
        </w:rPr>
        <w:t xml:space="preserve">For estimating next year limit harvest level from current year stock abundance, a limit </w:t>
      </w:r>
      <w:r w:rsidRPr="00FC679D">
        <w:rPr>
          <w:position w:val="-4"/>
          <w:sz w:val="22"/>
          <w:szCs w:val="22"/>
        </w:rPr>
        <w:object w:dxaOrig="300" w:dyaOrig="260">
          <v:shape id="_x0000_i1082" type="#_x0000_t75" style="width:15.65pt;height:13.55pt" o:ole="">
            <v:imagedata r:id="rId190" o:title=""/>
          </v:shape>
          <o:OLEObject Type="Embed" ProgID="Equation.3" ShapeID="_x0000_i1082" DrawAspect="Content" ObjectID="_1460439754" r:id="rId191"/>
        </w:object>
      </w:r>
      <w:r w:rsidRPr="00FC679D">
        <w:rPr>
          <w:sz w:val="22"/>
          <w:szCs w:val="22"/>
        </w:rPr>
        <w:t xml:space="preserve"> value is needed. Current crab management plan specifies five different Tier formulas for different stocks depending on the strength of information available for a stock, for computing </w:t>
      </w:r>
      <w:r w:rsidRPr="00FC679D">
        <w:rPr>
          <w:i/>
          <w:position w:val="-4"/>
          <w:sz w:val="22"/>
          <w:szCs w:val="22"/>
        </w:rPr>
        <w:object w:dxaOrig="300" w:dyaOrig="260">
          <v:shape id="_x0000_i1083" type="#_x0000_t75" style="width:15.65pt;height:13.55pt" o:ole="">
            <v:imagedata r:id="rId192" o:title=""/>
          </v:shape>
          <o:OLEObject Type="Embed" ProgID="Equation.3" ShapeID="_x0000_i1083" DrawAspect="Content" ObjectID="_1460439755" r:id="rId193"/>
        </w:object>
      </w:r>
      <w:r w:rsidRPr="00FC679D">
        <w:rPr>
          <w:sz w:val="22"/>
          <w:szCs w:val="22"/>
        </w:rPr>
        <w:t xml:space="preserve"> (NPFMC 2007). For the golden king crab, the following Tier 4 formula is applied to compute </w:t>
      </w:r>
      <w:r w:rsidRPr="00FC679D">
        <w:rPr>
          <w:i/>
          <w:position w:val="-4"/>
          <w:sz w:val="22"/>
          <w:szCs w:val="22"/>
        </w:rPr>
        <w:object w:dxaOrig="300" w:dyaOrig="260">
          <v:shape id="_x0000_i1084" type="#_x0000_t75" style="width:15.65pt;height:13.55pt" o:ole="">
            <v:imagedata r:id="rId194" o:title=""/>
          </v:shape>
          <o:OLEObject Type="Embed" ProgID="Equation.3" ShapeID="_x0000_i1084" DrawAspect="Content" ObjectID="_1460439756" r:id="rId195"/>
        </w:object>
      </w:r>
      <w:r w:rsidRPr="00FC679D">
        <w:rPr>
          <w:sz w:val="22"/>
          <w:szCs w:val="22"/>
        </w:rPr>
        <w:t>:</w:t>
      </w:r>
    </w:p>
    <w:p w:rsidR="00B86BD8" w:rsidRPr="00FC679D" w:rsidRDefault="00B86BD8" w:rsidP="00BA71F0">
      <w:pPr>
        <w:rPr>
          <w:sz w:val="22"/>
          <w:szCs w:val="22"/>
        </w:rPr>
      </w:pPr>
      <w:r w:rsidRPr="00FC679D">
        <w:rPr>
          <w:sz w:val="22"/>
          <w:szCs w:val="22"/>
        </w:rPr>
        <w:t xml:space="preserve">(a) If </w:t>
      </w:r>
      <w:r w:rsidRPr="00FC679D">
        <w:rPr>
          <w:position w:val="-12"/>
          <w:sz w:val="22"/>
          <w:szCs w:val="22"/>
        </w:rPr>
        <w:object w:dxaOrig="1520" w:dyaOrig="380">
          <v:shape id="_x0000_i1085" type="#_x0000_t75" style="width:77.2pt;height:17.75pt" o:ole="">
            <v:imagedata r:id="rId196" o:title=""/>
          </v:shape>
          <o:OLEObject Type="Embed" ProgID="Equation.3" ShapeID="_x0000_i1085" DrawAspect="Content" ObjectID="_1460439757" r:id="rId197"/>
        </w:object>
      </w:r>
      <w:r w:rsidRPr="00FC679D">
        <w:rPr>
          <w:sz w:val="22"/>
          <w:szCs w:val="22"/>
        </w:rPr>
        <w:t xml:space="preserve">,   </w:t>
      </w:r>
      <w:r w:rsidRPr="00FC679D">
        <w:rPr>
          <w:position w:val="-10"/>
          <w:sz w:val="22"/>
          <w:szCs w:val="22"/>
        </w:rPr>
        <w:object w:dxaOrig="859" w:dyaOrig="320">
          <v:shape id="_x0000_i1086" type="#_x0000_t75" style="width:41.75pt;height:15.65pt" o:ole="">
            <v:imagedata r:id="rId198" o:title=""/>
          </v:shape>
          <o:OLEObject Type="Embed" ProgID="Equation.3" ShapeID="_x0000_i1086" DrawAspect="Content" ObjectID="_1460439758" r:id="rId199"/>
        </w:object>
      </w:r>
      <w:r w:rsidRPr="00FC679D">
        <w:rPr>
          <w:position w:val="-10"/>
          <w:sz w:val="22"/>
          <w:szCs w:val="22"/>
        </w:rPr>
        <w:t>,</w:t>
      </w:r>
    </w:p>
    <w:p w:rsidR="00B86BD8" w:rsidRPr="00FC679D" w:rsidRDefault="00B86BD8" w:rsidP="00BA71F0">
      <w:pPr>
        <w:rPr>
          <w:sz w:val="22"/>
          <w:szCs w:val="22"/>
        </w:rPr>
      </w:pPr>
      <w:r w:rsidRPr="00FC679D">
        <w:rPr>
          <w:sz w:val="22"/>
          <w:szCs w:val="22"/>
        </w:rPr>
        <w:t xml:space="preserve">(b) If </w:t>
      </w:r>
      <w:r w:rsidRPr="00FC679D">
        <w:rPr>
          <w:position w:val="-12"/>
          <w:sz w:val="22"/>
          <w:szCs w:val="22"/>
        </w:rPr>
        <w:object w:dxaOrig="1520" w:dyaOrig="380">
          <v:shape id="_x0000_i1087" type="#_x0000_t75" style="width:77.2pt;height:17.75pt" o:ole="">
            <v:imagedata r:id="rId200" o:title=""/>
          </v:shape>
          <o:OLEObject Type="Embed" ProgID="Equation.3" ShapeID="_x0000_i1087" DrawAspect="Content" ObjectID="_1460439759" r:id="rId201"/>
        </w:object>
      </w:r>
      <w:r w:rsidRPr="00FC679D">
        <w:rPr>
          <w:sz w:val="22"/>
          <w:szCs w:val="22"/>
        </w:rPr>
        <w:t xml:space="preserve">and </w:t>
      </w:r>
      <w:r w:rsidRPr="00FC679D">
        <w:rPr>
          <w:position w:val="-12"/>
          <w:sz w:val="22"/>
          <w:szCs w:val="22"/>
        </w:rPr>
        <w:object w:dxaOrig="1939" w:dyaOrig="380">
          <v:shape id="_x0000_i1088" type="#_x0000_t75" style="width:97.05pt;height:17.75pt" o:ole="">
            <v:imagedata r:id="rId202" o:title=""/>
          </v:shape>
          <o:OLEObject Type="Embed" ProgID="Equation.3" ShapeID="_x0000_i1088" DrawAspect="Content" ObjectID="_1460439760" r:id="rId203"/>
        </w:object>
      </w:r>
      <w:r w:rsidRPr="00FC679D">
        <w:rPr>
          <w:sz w:val="22"/>
          <w:szCs w:val="22"/>
        </w:rPr>
        <w:t xml:space="preserve">,   </w:t>
      </w:r>
    </w:p>
    <w:p w:rsidR="00B86BD8" w:rsidRPr="00FC679D" w:rsidRDefault="00B86BD8" w:rsidP="00BA71F0">
      <w:pPr>
        <w:rPr>
          <w:sz w:val="22"/>
          <w:szCs w:val="22"/>
        </w:rPr>
      </w:pPr>
      <w:r w:rsidRPr="00FC679D">
        <w:rPr>
          <w:sz w:val="22"/>
          <w:szCs w:val="22"/>
        </w:rPr>
        <w:t xml:space="preserve"> </w:t>
      </w:r>
      <w:r w:rsidRPr="00FC679D">
        <w:rPr>
          <w:position w:val="-30"/>
          <w:sz w:val="22"/>
          <w:szCs w:val="22"/>
        </w:rPr>
        <w:object w:dxaOrig="2240" w:dyaOrig="980">
          <v:shape id="_x0000_i1089" type="#_x0000_t75" style="width:110.6pt;height:48pt" o:ole="">
            <v:imagedata r:id="rId204" o:title=""/>
          </v:shape>
          <o:OLEObject Type="Embed" ProgID="Equation.3" ShapeID="_x0000_i1089" DrawAspect="Content" ObjectID="_1460439761" r:id="rId205"/>
        </w:object>
      </w:r>
      <w:r w:rsidRPr="00FC679D">
        <w:rPr>
          <w:sz w:val="22"/>
          <w:szCs w:val="22"/>
        </w:rPr>
        <w:tab/>
      </w:r>
      <w:r w:rsidRPr="00FC679D">
        <w:rPr>
          <w:sz w:val="22"/>
          <w:szCs w:val="22"/>
        </w:rPr>
        <w:tab/>
      </w:r>
      <w:r w:rsidRPr="00FC679D">
        <w:rPr>
          <w:sz w:val="22"/>
          <w:szCs w:val="22"/>
        </w:rPr>
        <w:tab/>
      </w:r>
      <w:r w:rsidRPr="00FC679D">
        <w:rPr>
          <w:sz w:val="22"/>
          <w:szCs w:val="22"/>
        </w:rPr>
        <w:tab/>
      </w:r>
      <w:r w:rsidRPr="00FC679D">
        <w:rPr>
          <w:sz w:val="22"/>
          <w:szCs w:val="22"/>
        </w:rPr>
        <w:tab/>
      </w:r>
      <w:r w:rsidRPr="00FC679D">
        <w:rPr>
          <w:sz w:val="22"/>
          <w:szCs w:val="22"/>
        </w:rPr>
        <w:tab/>
      </w:r>
      <w:r w:rsidRPr="00FC679D">
        <w:rPr>
          <w:sz w:val="22"/>
          <w:szCs w:val="22"/>
        </w:rPr>
        <w:tab/>
      </w:r>
      <w:r>
        <w:rPr>
          <w:sz w:val="22"/>
          <w:szCs w:val="22"/>
        </w:rPr>
        <w:t xml:space="preserve">            </w:t>
      </w:r>
      <w:r w:rsidRPr="00FC679D">
        <w:rPr>
          <w:sz w:val="22"/>
          <w:szCs w:val="22"/>
        </w:rPr>
        <w:t xml:space="preserve"> (</w:t>
      </w:r>
      <w:r>
        <w:rPr>
          <w:sz w:val="22"/>
          <w:szCs w:val="22"/>
        </w:rPr>
        <w:t>24</w:t>
      </w:r>
      <w:r w:rsidRPr="00FC679D">
        <w:rPr>
          <w:sz w:val="22"/>
          <w:szCs w:val="22"/>
        </w:rPr>
        <w:t>)</w:t>
      </w:r>
    </w:p>
    <w:p w:rsidR="00B86BD8" w:rsidRPr="00FC679D" w:rsidRDefault="00B86BD8" w:rsidP="00BA71F0">
      <w:pPr>
        <w:rPr>
          <w:sz w:val="22"/>
          <w:szCs w:val="22"/>
        </w:rPr>
      </w:pPr>
      <w:r w:rsidRPr="00FC679D">
        <w:rPr>
          <w:sz w:val="22"/>
          <w:szCs w:val="22"/>
        </w:rPr>
        <w:t xml:space="preserve">(c ) If </w:t>
      </w:r>
      <w:r w:rsidRPr="00FC679D">
        <w:rPr>
          <w:position w:val="-12"/>
          <w:sz w:val="22"/>
          <w:szCs w:val="22"/>
        </w:rPr>
        <w:object w:dxaOrig="1939" w:dyaOrig="380">
          <v:shape id="_x0000_i1090" type="#_x0000_t75" style="width:97.05pt;height:17.75pt" o:ole="">
            <v:imagedata r:id="rId206" o:title=""/>
          </v:shape>
          <o:OLEObject Type="Embed" ProgID="Equation.3" ShapeID="_x0000_i1090" DrawAspect="Content" ObjectID="_1460439762" r:id="rId207"/>
        </w:object>
      </w:r>
      <w:r w:rsidRPr="00FC679D">
        <w:rPr>
          <w:sz w:val="22"/>
          <w:szCs w:val="22"/>
        </w:rPr>
        <w:t xml:space="preserve">, </w:t>
      </w:r>
      <w:r w:rsidRPr="00FC679D">
        <w:rPr>
          <w:position w:val="-10"/>
          <w:sz w:val="22"/>
          <w:szCs w:val="22"/>
        </w:rPr>
        <w:object w:dxaOrig="660" w:dyaOrig="320">
          <v:shape id="_x0000_i1091" type="#_x0000_t75" style="width:33.4pt;height:15.65pt" o:ole="">
            <v:imagedata r:id="rId208" o:title=""/>
          </v:shape>
          <o:OLEObject Type="Embed" ProgID="Equation.3" ShapeID="_x0000_i1091" DrawAspect="Content" ObjectID="_1460439763" r:id="rId209"/>
        </w:object>
      </w:r>
    </w:p>
    <w:p w:rsidR="00B86BD8" w:rsidRPr="00FC679D" w:rsidRDefault="00B86BD8" w:rsidP="00BA71F0">
      <w:pPr>
        <w:jc w:val="both"/>
        <w:rPr>
          <w:sz w:val="22"/>
          <w:szCs w:val="22"/>
        </w:rPr>
      </w:pPr>
      <w:r w:rsidRPr="00FC679D">
        <w:rPr>
          <w:sz w:val="22"/>
          <w:szCs w:val="22"/>
        </w:rPr>
        <w:lastRenderedPageBreak/>
        <w:t xml:space="preserve">where </w:t>
      </w:r>
      <w:r w:rsidRPr="00FC679D">
        <w:rPr>
          <w:position w:val="-10"/>
          <w:sz w:val="22"/>
          <w:szCs w:val="22"/>
        </w:rPr>
        <w:object w:dxaOrig="200" w:dyaOrig="260">
          <v:shape id="_x0000_i1092" type="#_x0000_t75" style="width:9.4pt;height:13.55pt" o:ole="">
            <v:imagedata r:id="rId210" o:title=""/>
          </v:shape>
          <o:OLEObject Type="Embed" ProgID="Equation.3" ShapeID="_x0000_i1092" DrawAspect="Content" ObjectID="_1460439764" r:id="rId211"/>
        </w:object>
      </w:r>
      <w:r w:rsidRPr="00FC679D">
        <w:rPr>
          <w:sz w:val="22"/>
          <w:szCs w:val="22"/>
        </w:rPr>
        <w:t xml:space="preserve">is a constant multiplier of </w:t>
      </w:r>
      <w:r w:rsidRPr="00FC679D">
        <w:rPr>
          <w:i/>
          <w:sz w:val="22"/>
          <w:szCs w:val="22"/>
        </w:rPr>
        <w:t>M,</w:t>
      </w:r>
      <w:r w:rsidRPr="00FC679D">
        <w:rPr>
          <w:i/>
          <w:position w:val="-6"/>
          <w:sz w:val="22"/>
          <w:szCs w:val="22"/>
        </w:rPr>
        <w:object w:dxaOrig="240" w:dyaOrig="220">
          <v:shape id="_x0000_i1093" type="#_x0000_t75" style="width:13.55pt;height:12.5pt" o:ole="">
            <v:imagedata r:id="rId212" o:title=""/>
          </v:shape>
          <o:OLEObject Type="Embed" ProgID="Equation.3" ShapeID="_x0000_i1093" DrawAspect="Content" ObjectID="_1460439765" r:id="rId213"/>
        </w:object>
      </w:r>
      <w:r w:rsidRPr="00FC679D">
        <w:rPr>
          <w:sz w:val="22"/>
          <w:szCs w:val="22"/>
        </w:rPr>
        <w:t xml:space="preserve"> is a parameter, and </w:t>
      </w:r>
      <w:r w:rsidRPr="00FC679D">
        <w:rPr>
          <w:position w:val="-4"/>
          <w:sz w:val="22"/>
          <w:szCs w:val="22"/>
        </w:rPr>
        <w:object w:dxaOrig="639" w:dyaOrig="300">
          <v:shape id="_x0000_i1094" type="#_x0000_t75" style="width:33.4pt;height:15.65pt" o:ole="">
            <v:imagedata r:id="rId214" o:title=""/>
          </v:shape>
          <o:OLEObject Type="Embed" ProgID="Equation.3" ShapeID="_x0000_i1094" DrawAspect="Content" ObjectID="_1460439766" r:id="rId215"/>
        </w:object>
      </w:r>
      <w:r w:rsidRPr="00FC679D">
        <w:rPr>
          <w:sz w:val="22"/>
          <w:szCs w:val="22"/>
        </w:rPr>
        <w:t xml:space="preserve">is </w:t>
      </w:r>
      <w:r>
        <w:rPr>
          <w:sz w:val="22"/>
          <w:szCs w:val="22"/>
        </w:rPr>
        <w:t xml:space="preserve">the mean mature male biomass estimated for a </w:t>
      </w:r>
      <w:r w:rsidRPr="00FC679D">
        <w:rPr>
          <w:sz w:val="22"/>
          <w:szCs w:val="22"/>
        </w:rPr>
        <w:t>selected time period</w:t>
      </w:r>
      <w:r>
        <w:rPr>
          <w:sz w:val="22"/>
          <w:szCs w:val="22"/>
        </w:rPr>
        <w:t xml:space="preserve"> and used as a </w:t>
      </w:r>
      <w:r w:rsidRPr="00FC679D">
        <w:rPr>
          <w:sz w:val="22"/>
          <w:szCs w:val="22"/>
        </w:rPr>
        <w:t xml:space="preserve">the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MSY</m:t>
            </m:r>
          </m:sub>
        </m:sSub>
        <m:r>
          <w:rPr>
            <w:rFonts w:ascii="Cambria Math" w:hAnsi="Cambria Math"/>
            <w:sz w:val="22"/>
            <w:szCs w:val="22"/>
          </w:rPr>
          <m:t xml:space="preserve"> proxy</m:t>
        </m:r>
      </m:oMath>
      <w:r w:rsidRPr="00FC679D">
        <w:rPr>
          <w:sz w:val="22"/>
          <w:szCs w:val="22"/>
        </w:rPr>
        <w:t xml:space="preserve"> </w:t>
      </w:r>
      <w:r>
        <w:rPr>
          <w:sz w:val="22"/>
          <w:szCs w:val="22"/>
        </w:rPr>
        <w:t xml:space="preserve"> for the</w:t>
      </w:r>
      <w:r w:rsidRPr="00FC679D">
        <w:rPr>
          <w:sz w:val="22"/>
          <w:szCs w:val="22"/>
        </w:rPr>
        <w:t xml:space="preserve"> Tier 4</w:t>
      </w:r>
      <w:r>
        <w:rPr>
          <w:sz w:val="22"/>
          <w:szCs w:val="22"/>
        </w:rPr>
        <w:t xml:space="preserve"> stock</w:t>
      </w:r>
      <w:r w:rsidRPr="00FC679D">
        <w:rPr>
          <w:sz w:val="22"/>
          <w:szCs w:val="22"/>
        </w:rPr>
        <w:t xml:space="preserve">. </w:t>
      </w:r>
    </w:p>
    <w:p w:rsidR="00B86BD8" w:rsidRDefault="00B86BD8" w:rsidP="00BA71F0">
      <w:pPr>
        <w:jc w:val="both"/>
        <w:rPr>
          <w:sz w:val="22"/>
          <w:szCs w:val="22"/>
        </w:rPr>
      </w:pPr>
    </w:p>
    <w:p w:rsidR="00B86BD8" w:rsidRPr="00FC679D" w:rsidRDefault="00B86BD8" w:rsidP="00BA71F0">
      <w:pPr>
        <w:jc w:val="both"/>
        <w:rPr>
          <w:sz w:val="22"/>
          <w:szCs w:val="22"/>
        </w:rPr>
      </w:pPr>
      <w:r w:rsidRPr="00FC679D">
        <w:rPr>
          <w:sz w:val="22"/>
          <w:szCs w:val="22"/>
        </w:rPr>
        <w:t xml:space="preserve">Because projected </w:t>
      </w:r>
      <w:r w:rsidRPr="00FC679D">
        <w:rPr>
          <w:position w:val="-12"/>
          <w:sz w:val="22"/>
          <w:szCs w:val="22"/>
        </w:rPr>
        <w:object w:dxaOrig="680" w:dyaOrig="360">
          <v:shape id="_x0000_i1095" type="#_x0000_t75" style="width:33.4pt;height:17.75pt" o:ole="">
            <v:imagedata r:id="rId216" o:title=""/>
          </v:shape>
          <o:OLEObject Type="Embed" ProgID="Equation.3" ShapeID="_x0000_i1095" DrawAspect="Content" ObjectID="_1460439767" r:id="rId217"/>
        </w:object>
      </w:r>
      <w:r w:rsidRPr="00FC679D">
        <w:rPr>
          <w:sz w:val="22"/>
          <w:szCs w:val="22"/>
        </w:rPr>
        <w:t xml:space="preserve"> is depended on the intervening retained and discard catch (i.e., </w:t>
      </w:r>
      <w:r w:rsidRPr="00FC679D">
        <w:rPr>
          <w:position w:val="-12"/>
          <w:sz w:val="22"/>
          <w:szCs w:val="22"/>
        </w:rPr>
        <w:object w:dxaOrig="680" w:dyaOrig="360">
          <v:shape id="_x0000_i1096" type="#_x0000_t75" style="width:33.4pt;height:17.75pt" o:ole="">
            <v:imagedata r:id="rId218" o:title=""/>
          </v:shape>
          <o:OLEObject Type="Embed" ProgID="Equation.3" ShapeID="_x0000_i1096" DrawAspect="Content" ObjectID="_1460439768" r:id="rId219"/>
        </w:object>
      </w:r>
      <w:r w:rsidRPr="00FC679D">
        <w:rPr>
          <w:sz w:val="22"/>
          <w:szCs w:val="22"/>
        </w:rPr>
        <w:t>is estimated after the fishery), an iterative procedure is used using equations (</w:t>
      </w:r>
      <w:r>
        <w:rPr>
          <w:sz w:val="22"/>
          <w:szCs w:val="22"/>
        </w:rPr>
        <w:t>23</w:t>
      </w:r>
      <w:r w:rsidRPr="00FC679D">
        <w:rPr>
          <w:sz w:val="22"/>
          <w:szCs w:val="22"/>
        </w:rPr>
        <w:t>) and (</w:t>
      </w:r>
      <w:r>
        <w:rPr>
          <w:sz w:val="22"/>
          <w:szCs w:val="22"/>
        </w:rPr>
        <w:t>24</w:t>
      </w:r>
      <w:r w:rsidRPr="00FC679D">
        <w:rPr>
          <w:sz w:val="22"/>
          <w:szCs w:val="22"/>
        </w:rPr>
        <w:t>) with retained and discard catch predicted from equations (</w:t>
      </w:r>
      <w:r>
        <w:rPr>
          <w:sz w:val="22"/>
          <w:szCs w:val="22"/>
        </w:rPr>
        <w:t>2b-d)</w:t>
      </w:r>
      <w:r w:rsidRPr="00FC679D">
        <w:rPr>
          <w:sz w:val="22"/>
          <w:szCs w:val="22"/>
        </w:rPr>
        <w:t>. The next year limit harvest catch is estimated using equations (</w:t>
      </w:r>
      <w:r>
        <w:rPr>
          <w:sz w:val="22"/>
          <w:szCs w:val="22"/>
        </w:rPr>
        <w:t>2b-d</w:t>
      </w:r>
      <w:r w:rsidRPr="00FC679D">
        <w:rPr>
          <w:sz w:val="22"/>
          <w:szCs w:val="22"/>
        </w:rPr>
        <w:t>) with the estimated</w:t>
      </w:r>
      <w:r w:rsidRPr="00FC679D">
        <w:rPr>
          <w:position w:val="-4"/>
          <w:sz w:val="22"/>
          <w:szCs w:val="22"/>
        </w:rPr>
        <w:object w:dxaOrig="300" w:dyaOrig="260">
          <v:shape id="_x0000_i1097" type="#_x0000_t75" style="width:15.65pt;height:13.55pt" o:ole="">
            <v:imagedata r:id="rId220" o:title=""/>
          </v:shape>
          <o:OLEObject Type="Embed" ProgID="Equation.3" ShapeID="_x0000_i1097" DrawAspect="Content" ObjectID="_1460439769" r:id="rId221"/>
        </w:object>
      </w:r>
      <w:r w:rsidRPr="00FC679D">
        <w:rPr>
          <w:sz w:val="22"/>
          <w:szCs w:val="22"/>
        </w:rPr>
        <w:t xml:space="preserve"> value. </w:t>
      </w:r>
    </w:p>
    <w:p w:rsidR="00B86BD8" w:rsidRDefault="00B86BD8" w:rsidP="00BA71F0">
      <w:pPr>
        <w:pStyle w:val="BodyText"/>
        <w:spacing w:line="240" w:lineRule="auto"/>
        <w:jc w:val="both"/>
        <w:rPr>
          <w:i/>
          <w:szCs w:val="22"/>
        </w:rPr>
      </w:pPr>
    </w:p>
    <w:p w:rsidR="00B86BD8" w:rsidRDefault="00B86BD8" w:rsidP="00BA71F0">
      <w:pPr>
        <w:rPr>
          <w:bCs/>
          <w:color w:val="000000" w:themeColor="text1"/>
          <w:sz w:val="22"/>
          <w:szCs w:val="18"/>
        </w:rPr>
      </w:pPr>
      <w:r>
        <w:br w:type="page"/>
      </w:r>
    </w:p>
    <w:p w:rsidR="00B86BD8" w:rsidRPr="00A00328" w:rsidRDefault="00B86BD8" w:rsidP="00BA71F0">
      <w:pPr>
        <w:pStyle w:val="Caption"/>
        <w:keepNext/>
        <w:jc w:val="both"/>
        <w:rPr>
          <w:szCs w:val="22"/>
        </w:rPr>
      </w:pPr>
      <w:r>
        <w:lastRenderedPageBreak/>
        <w:t xml:space="preserve">Table A1. </w:t>
      </w:r>
      <w:r w:rsidRPr="00A00328">
        <w:rPr>
          <w:szCs w:val="22"/>
        </w:rPr>
        <w:t>Estimated parameters of the population dynamics model</w:t>
      </w:r>
    </w:p>
    <w:tbl>
      <w:tblPr>
        <w:tblW w:w="0" w:type="auto"/>
        <w:tblLook w:val="04A0" w:firstRow="1" w:lastRow="0" w:firstColumn="1" w:lastColumn="0" w:noHBand="0" w:noVBand="1"/>
      </w:tblPr>
      <w:tblGrid>
        <w:gridCol w:w="4428"/>
        <w:gridCol w:w="4428"/>
      </w:tblGrid>
      <w:tr w:rsidR="00B86BD8" w:rsidRPr="00D55B37" w:rsidTr="00BA71F0">
        <w:trPr>
          <w:trHeight w:val="317"/>
        </w:trPr>
        <w:tc>
          <w:tcPr>
            <w:tcW w:w="4428" w:type="dxa"/>
          </w:tcPr>
          <w:p w:rsidR="00B86BD8" w:rsidRPr="00D55B37" w:rsidRDefault="00B86BD8" w:rsidP="00BA71F0">
            <w:pPr>
              <w:pStyle w:val="BodyText"/>
              <w:spacing w:after="120" w:line="240" w:lineRule="auto"/>
              <w:jc w:val="center"/>
              <w:rPr>
                <w:b/>
                <w:iCs/>
                <w:sz w:val="20"/>
              </w:rPr>
            </w:pPr>
            <w:r w:rsidRPr="00D55B37">
              <w:rPr>
                <w:sz w:val="20"/>
              </w:rPr>
              <w:t>Parameter</w:t>
            </w:r>
          </w:p>
        </w:tc>
        <w:tc>
          <w:tcPr>
            <w:tcW w:w="4428" w:type="dxa"/>
          </w:tcPr>
          <w:p w:rsidR="00B86BD8" w:rsidRPr="00D55B37" w:rsidRDefault="00B86BD8" w:rsidP="00BA71F0">
            <w:pPr>
              <w:pStyle w:val="BodyText"/>
              <w:spacing w:after="120" w:line="240" w:lineRule="auto"/>
              <w:jc w:val="center"/>
              <w:rPr>
                <w:b/>
                <w:iCs/>
                <w:sz w:val="20"/>
              </w:rPr>
            </w:pPr>
            <w:r w:rsidRPr="00D55B37">
              <w:rPr>
                <w:sz w:val="20"/>
              </w:rPr>
              <w:t>Number of parameters</w:t>
            </w:r>
          </w:p>
        </w:tc>
      </w:tr>
      <w:tr w:rsidR="00B86BD8" w:rsidRPr="003B0123" w:rsidTr="00BA71F0">
        <w:trPr>
          <w:trHeight w:val="317"/>
        </w:trPr>
        <w:tc>
          <w:tcPr>
            <w:tcW w:w="4428" w:type="dxa"/>
          </w:tcPr>
          <w:p w:rsidR="00B86BD8" w:rsidRPr="00D55B37" w:rsidRDefault="00B86BD8" w:rsidP="00BA71F0">
            <w:pPr>
              <w:pStyle w:val="BodyText"/>
              <w:spacing w:line="240" w:lineRule="auto"/>
              <w:rPr>
                <w:sz w:val="20"/>
              </w:rPr>
            </w:pPr>
            <w:r w:rsidRPr="00D55B37">
              <w:rPr>
                <w:sz w:val="20"/>
              </w:rPr>
              <w:t>Initial conditions</w:t>
            </w:r>
          </w:p>
        </w:tc>
        <w:tc>
          <w:tcPr>
            <w:tcW w:w="4428" w:type="dxa"/>
          </w:tcPr>
          <w:p w:rsidR="00B86BD8" w:rsidRPr="00D55B37" w:rsidRDefault="00B86BD8" w:rsidP="00BA71F0">
            <w:pPr>
              <w:pStyle w:val="BodyText"/>
              <w:spacing w:line="240" w:lineRule="auto"/>
              <w:rPr>
                <w:sz w:val="20"/>
              </w:rPr>
            </w:pPr>
          </w:p>
        </w:tc>
      </w:tr>
      <w:tr w:rsidR="00B86BD8" w:rsidRPr="003B0123" w:rsidTr="00BA71F0">
        <w:trPr>
          <w:trHeight w:val="317"/>
        </w:trPr>
        <w:tc>
          <w:tcPr>
            <w:tcW w:w="4428" w:type="dxa"/>
          </w:tcPr>
          <w:p w:rsidR="00B86BD8" w:rsidRPr="00D55B37" w:rsidRDefault="00B86BD8" w:rsidP="00BA71F0">
            <w:pPr>
              <w:pStyle w:val="BodyText"/>
              <w:spacing w:line="240" w:lineRule="auto"/>
              <w:ind w:left="144"/>
              <w:rPr>
                <w:sz w:val="20"/>
              </w:rPr>
            </w:pPr>
            <w:r w:rsidRPr="00D55B37">
              <w:rPr>
                <w:sz w:val="20"/>
              </w:rPr>
              <w:t xml:space="preserve">Initial total numbers, </w:t>
            </w:r>
            <w:r w:rsidRPr="00D55B37">
              <w:rPr>
                <w:position w:val="-12"/>
                <w:sz w:val="20"/>
              </w:rPr>
              <w:object w:dxaOrig="520" w:dyaOrig="380">
                <v:shape id="_x0000_i1098" type="#_x0000_t75" style="width:28.15pt;height:17.75pt" o:ole="">
                  <v:imagedata r:id="rId222" o:title=""/>
                </v:shape>
                <o:OLEObject Type="Embed" ProgID="Equation.DSMT4" ShapeID="_x0000_i1098" DrawAspect="Content" ObjectID="_1460439770" r:id="rId223"/>
              </w:object>
            </w:r>
          </w:p>
        </w:tc>
        <w:tc>
          <w:tcPr>
            <w:tcW w:w="4428" w:type="dxa"/>
          </w:tcPr>
          <w:p w:rsidR="00B86BD8" w:rsidRPr="00D55B37" w:rsidRDefault="00B86BD8" w:rsidP="00BA71F0">
            <w:pPr>
              <w:pStyle w:val="BodyText"/>
              <w:spacing w:line="240" w:lineRule="auto"/>
              <w:rPr>
                <w:sz w:val="20"/>
              </w:rPr>
            </w:pPr>
            <w:r w:rsidRPr="00D55B37">
              <w:rPr>
                <w:sz w:val="20"/>
              </w:rPr>
              <w:t>1</w:t>
            </w:r>
          </w:p>
        </w:tc>
      </w:tr>
      <w:tr w:rsidR="00B86BD8" w:rsidRPr="003B0123" w:rsidTr="00BA71F0">
        <w:trPr>
          <w:trHeight w:val="317"/>
        </w:trPr>
        <w:tc>
          <w:tcPr>
            <w:tcW w:w="4428" w:type="dxa"/>
          </w:tcPr>
          <w:p w:rsidR="00B86BD8" w:rsidRPr="00D55B37" w:rsidRDefault="00B86BD8" w:rsidP="00BA71F0">
            <w:pPr>
              <w:pStyle w:val="BodyText"/>
              <w:spacing w:line="240" w:lineRule="auto"/>
              <w:ind w:left="144"/>
              <w:rPr>
                <w:sz w:val="20"/>
              </w:rPr>
            </w:pPr>
            <w:r w:rsidRPr="00D55B37">
              <w:rPr>
                <w:sz w:val="20"/>
              </w:rPr>
              <w:t xml:space="preserve">Length-specific proportions, </w:t>
            </w:r>
            <w:r w:rsidRPr="00D55B37">
              <w:rPr>
                <w:position w:val="-12"/>
                <w:sz w:val="20"/>
              </w:rPr>
              <w:object w:dxaOrig="240" w:dyaOrig="360">
                <v:shape id="_x0000_i1099" type="#_x0000_t75" style="width:13.55pt;height:17.75pt" o:ole="">
                  <v:imagedata r:id="rId224" o:title=""/>
                </v:shape>
                <o:OLEObject Type="Embed" ProgID="Equation.DSMT4" ShapeID="_x0000_i1099" DrawAspect="Content" ObjectID="_1460439771" r:id="rId225"/>
              </w:object>
            </w:r>
          </w:p>
        </w:tc>
        <w:tc>
          <w:tcPr>
            <w:tcW w:w="4428" w:type="dxa"/>
          </w:tcPr>
          <w:p w:rsidR="00B86BD8" w:rsidRPr="00D55B37" w:rsidRDefault="00B86BD8" w:rsidP="00BA71F0">
            <w:pPr>
              <w:pStyle w:val="BodyText"/>
              <w:spacing w:line="240" w:lineRule="auto"/>
              <w:rPr>
                <w:sz w:val="20"/>
              </w:rPr>
            </w:pPr>
            <w:r w:rsidRPr="00D55B37">
              <w:rPr>
                <w:i/>
                <w:sz w:val="20"/>
              </w:rPr>
              <w:t>n</w:t>
            </w:r>
            <w:r w:rsidRPr="00D55B37">
              <w:rPr>
                <w:sz w:val="20"/>
              </w:rPr>
              <w:t>-1</w:t>
            </w:r>
          </w:p>
        </w:tc>
      </w:tr>
      <w:tr w:rsidR="00B86BD8" w:rsidRPr="003B0123" w:rsidTr="00BA71F0">
        <w:trPr>
          <w:trHeight w:val="317"/>
        </w:trPr>
        <w:tc>
          <w:tcPr>
            <w:tcW w:w="4428" w:type="dxa"/>
          </w:tcPr>
          <w:p w:rsidR="00B86BD8" w:rsidRPr="00D55B37" w:rsidRDefault="00B86BD8" w:rsidP="00BA71F0">
            <w:pPr>
              <w:pStyle w:val="BodyText"/>
              <w:spacing w:line="240" w:lineRule="auto"/>
              <w:rPr>
                <w:sz w:val="20"/>
              </w:rPr>
            </w:pPr>
            <w:r w:rsidRPr="00D55B37">
              <w:rPr>
                <w:sz w:val="20"/>
              </w:rPr>
              <w:t>Fishing mortalities</w:t>
            </w:r>
          </w:p>
        </w:tc>
        <w:tc>
          <w:tcPr>
            <w:tcW w:w="4428" w:type="dxa"/>
          </w:tcPr>
          <w:p w:rsidR="00B86BD8" w:rsidRPr="00D55B37" w:rsidRDefault="00B86BD8" w:rsidP="00BA71F0">
            <w:pPr>
              <w:pStyle w:val="BodyText"/>
              <w:spacing w:line="240" w:lineRule="auto"/>
              <w:rPr>
                <w:sz w:val="20"/>
              </w:rPr>
            </w:pPr>
          </w:p>
        </w:tc>
      </w:tr>
      <w:tr w:rsidR="00B86BD8" w:rsidRPr="003B0123" w:rsidTr="00BA71F0">
        <w:trPr>
          <w:trHeight w:val="317"/>
        </w:trPr>
        <w:tc>
          <w:tcPr>
            <w:tcW w:w="4428" w:type="dxa"/>
          </w:tcPr>
          <w:p w:rsidR="00B86BD8" w:rsidRPr="00D55B37" w:rsidRDefault="00B86BD8" w:rsidP="00BA71F0">
            <w:pPr>
              <w:pStyle w:val="BodyText"/>
              <w:spacing w:line="240" w:lineRule="auto"/>
              <w:ind w:left="144"/>
              <w:rPr>
                <w:sz w:val="20"/>
              </w:rPr>
            </w:pPr>
            <w:r w:rsidRPr="00D55B37">
              <w:rPr>
                <w:sz w:val="20"/>
              </w:rPr>
              <w:t xml:space="preserve">Pot fishery, </w:t>
            </w:r>
            <w:r w:rsidRPr="00D55B37">
              <w:rPr>
                <w:position w:val="-12"/>
                <w:sz w:val="20"/>
              </w:rPr>
              <w:object w:dxaOrig="260" w:dyaOrig="360">
                <v:shape id="_x0000_i1100" type="#_x0000_t75" style="width:13.55pt;height:17.75pt" o:ole="">
                  <v:imagedata r:id="rId226" o:title=""/>
                </v:shape>
                <o:OLEObject Type="Embed" ProgID="Equation.DSMT4" ShapeID="_x0000_i1100" DrawAspect="Content" ObjectID="_1460439772" r:id="rId227"/>
              </w:object>
            </w:r>
          </w:p>
        </w:tc>
        <w:tc>
          <w:tcPr>
            <w:tcW w:w="4428" w:type="dxa"/>
          </w:tcPr>
          <w:p w:rsidR="00B86BD8" w:rsidRPr="00D55B37" w:rsidRDefault="00B86BD8" w:rsidP="00BA71F0">
            <w:pPr>
              <w:pStyle w:val="BodyText"/>
              <w:spacing w:line="240" w:lineRule="auto"/>
              <w:rPr>
                <w:sz w:val="20"/>
              </w:rPr>
            </w:pPr>
            <w:r w:rsidRPr="00D55B37">
              <w:rPr>
                <w:sz w:val="20"/>
              </w:rPr>
              <w:t>1985</w:t>
            </w:r>
            <w:r>
              <w:rPr>
                <w:i/>
                <w:sz w:val="20"/>
              </w:rPr>
              <w:t>–</w:t>
            </w:r>
            <w:r w:rsidRPr="00D55B37">
              <w:rPr>
                <w:sz w:val="20"/>
              </w:rPr>
              <w:t>201</w:t>
            </w:r>
            <w:r>
              <w:rPr>
                <w:sz w:val="20"/>
              </w:rPr>
              <w:t>2</w:t>
            </w:r>
          </w:p>
        </w:tc>
      </w:tr>
      <w:tr w:rsidR="00B86BD8" w:rsidRPr="003B0123" w:rsidTr="00BA71F0">
        <w:trPr>
          <w:trHeight w:val="317"/>
        </w:trPr>
        <w:tc>
          <w:tcPr>
            <w:tcW w:w="4428" w:type="dxa"/>
          </w:tcPr>
          <w:p w:rsidR="00B86BD8" w:rsidRPr="00D55B37" w:rsidRDefault="00B86BD8" w:rsidP="00BA71F0">
            <w:pPr>
              <w:pStyle w:val="BodyText"/>
              <w:spacing w:line="240" w:lineRule="auto"/>
              <w:ind w:left="144"/>
              <w:rPr>
                <w:sz w:val="20"/>
              </w:rPr>
            </w:pPr>
            <w:r w:rsidRPr="00D55B37">
              <w:rPr>
                <w:sz w:val="20"/>
              </w:rPr>
              <w:t xml:space="preserve">Mean pot fishery fishing mortality, </w:t>
            </w:r>
            <w:r w:rsidRPr="00D55B37">
              <w:rPr>
                <w:position w:val="-4"/>
                <w:sz w:val="20"/>
              </w:rPr>
              <w:object w:dxaOrig="260" w:dyaOrig="300">
                <v:shape id="_x0000_i1101" type="#_x0000_t75" style="width:13.55pt;height:15.65pt" o:ole="">
                  <v:imagedata r:id="rId228" o:title=""/>
                </v:shape>
                <o:OLEObject Type="Embed" ProgID="Equation.DSMT4" ShapeID="_x0000_i1101" DrawAspect="Content" ObjectID="_1460439773" r:id="rId229"/>
              </w:object>
            </w:r>
          </w:p>
        </w:tc>
        <w:tc>
          <w:tcPr>
            <w:tcW w:w="4428" w:type="dxa"/>
          </w:tcPr>
          <w:p w:rsidR="00B86BD8" w:rsidRPr="00D55B37" w:rsidRDefault="00B86BD8" w:rsidP="00BA71F0">
            <w:pPr>
              <w:pStyle w:val="BodyText"/>
              <w:spacing w:line="240" w:lineRule="auto"/>
              <w:rPr>
                <w:sz w:val="20"/>
              </w:rPr>
            </w:pPr>
            <w:r w:rsidRPr="00D55B37">
              <w:rPr>
                <w:sz w:val="20"/>
              </w:rPr>
              <w:t>1</w:t>
            </w:r>
          </w:p>
        </w:tc>
      </w:tr>
      <w:tr w:rsidR="00B86BD8" w:rsidRPr="003B0123" w:rsidTr="00BA71F0">
        <w:trPr>
          <w:trHeight w:val="317"/>
        </w:trPr>
        <w:tc>
          <w:tcPr>
            <w:tcW w:w="4428" w:type="dxa"/>
          </w:tcPr>
          <w:p w:rsidR="00B86BD8" w:rsidRPr="00D55B37" w:rsidRDefault="00B86BD8" w:rsidP="00BA71F0">
            <w:pPr>
              <w:pStyle w:val="BodyText"/>
              <w:spacing w:line="240" w:lineRule="auto"/>
              <w:ind w:left="144"/>
              <w:rPr>
                <w:sz w:val="20"/>
              </w:rPr>
            </w:pPr>
            <w:r w:rsidRPr="00D55B37">
              <w:rPr>
                <w:sz w:val="20"/>
              </w:rPr>
              <w:t xml:space="preserve">Trawl fishery, </w:t>
            </w:r>
            <w:r w:rsidRPr="00D55B37">
              <w:rPr>
                <w:position w:val="-12"/>
                <w:sz w:val="20"/>
              </w:rPr>
              <w:object w:dxaOrig="400" w:dyaOrig="380">
                <v:shape id="_x0000_i1102" type="#_x0000_t75" style="width:18.8pt;height:17.75pt" o:ole="">
                  <v:imagedata r:id="rId230" o:title=""/>
                </v:shape>
                <o:OLEObject Type="Embed" ProgID="Equation.DSMT4" ShapeID="_x0000_i1102" DrawAspect="Content" ObjectID="_1460439774" r:id="rId231"/>
              </w:object>
            </w:r>
          </w:p>
        </w:tc>
        <w:tc>
          <w:tcPr>
            <w:tcW w:w="4428" w:type="dxa"/>
          </w:tcPr>
          <w:p w:rsidR="00B86BD8" w:rsidRPr="00D55B37" w:rsidRDefault="00B86BD8" w:rsidP="00BA71F0">
            <w:pPr>
              <w:pStyle w:val="BodyText"/>
              <w:spacing w:line="240" w:lineRule="auto"/>
              <w:rPr>
                <w:sz w:val="20"/>
              </w:rPr>
            </w:pPr>
            <w:r w:rsidRPr="00D55B37">
              <w:rPr>
                <w:sz w:val="20"/>
              </w:rPr>
              <w:t>1995</w:t>
            </w:r>
            <w:r>
              <w:rPr>
                <w:sz w:val="20"/>
              </w:rPr>
              <w:t>–</w:t>
            </w:r>
            <w:r w:rsidRPr="00D55B37">
              <w:rPr>
                <w:sz w:val="20"/>
              </w:rPr>
              <w:t>201</w:t>
            </w:r>
            <w:r>
              <w:rPr>
                <w:sz w:val="20"/>
              </w:rPr>
              <w:t>2</w:t>
            </w:r>
            <w:r w:rsidRPr="00D55B37">
              <w:rPr>
                <w:sz w:val="20"/>
              </w:rPr>
              <w:t xml:space="preserve"> (the mean F for 1995 to </w:t>
            </w:r>
            <w:r>
              <w:rPr>
                <w:sz w:val="20"/>
              </w:rPr>
              <w:t>1999</w:t>
            </w:r>
            <w:r w:rsidRPr="00D55B37">
              <w:rPr>
                <w:sz w:val="20"/>
              </w:rPr>
              <w:t xml:space="preserve"> was used to project back the trawl discards up to 1985.</w:t>
            </w:r>
          </w:p>
        </w:tc>
      </w:tr>
      <w:tr w:rsidR="00B86BD8" w:rsidRPr="003B0123" w:rsidTr="00BA71F0">
        <w:trPr>
          <w:trHeight w:val="317"/>
        </w:trPr>
        <w:tc>
          <w:tcPr>
            <w:tcW w:w="4428" w:type="dxa"/>
          </w:tcPr>
          <w:p w:rsidR="00B86BD8" w:rsidRPr="00D55B37" w:rsidRDefault="00B86BD8" w:rsidP="00BA71F0">
            <w:pPr>
              <w:pStyle w:val="BodyText"/>
              <w:spacing w:line="240" w:lineRule="auto"/>
              <w:rPr>
                <w:sz w:val="20"/>
              </w:rPr>
            </w:pPr>
            <w:r w:rsidRPr="00D55B37">
              <w:rPr>
                <w:sz w:val="20"/>
              </w:rPr>
              <w:t xml:space="preserve">   Mean trawl fishery fishing mortality, </w:t>
            </w:r>
            <w:r w:rsidRPr="00D55B37">
              <w:rPr>
                <w:position w:val="-4"/>
                <w:sz w:val="20"/>
              </w:rPr>
              <w:object w:dxaOrig="400" w:dyaOrig="300">
                <v:shape id="_x0000_i1103" type="#_x0000_t75" style="width:18.8pt;height:15.65pt" o:ole="">
                  <v:imagedata r:id="rId232" o:title=""/>
                </v:shape>
                <o:OLEObject Type="Embed" ProgID="Equation.DSMT4" ShapeID="_x0000_i1103" DrawAspect="Content" ObjectID="_1460439775" r:id="rId233"/>
              </w:object>
            </w:r>
          </w:p>
        </w:tc>
        <w:tc>
          <w:tcPr>
            <w:tcW w:w="4428" w:type="dxa"/>
          </w:tcPr>
          <w:p w:rsidR="00B86BD8" w:rsidRPr="00D55B37" w:rsidRDefault="00B86BD8" w:rsidP="00BA71F0">
            <w:pPr>
              <w:pStyle w:val="BodyText"/>
              <w:spacing w:line="240" w:lineRule="auto"/>
              <w:rPr>
                <w:sz w:val="20"/>
              </w:rPr>
            </w:pPr>
            <w:r w:rsidRPr="00D55B37">
              <w:rPr>
                <w:sz w:val="20"/>
              </w:rPr>
              <w:t>1</w:t>
            </w:r>
          </w:p>
        </w:tc>
      </w:tr>
      <w:tr w:rsidR="00B86BD8" w:rsidRPr="003B0123" w:rsidTr="00BA71F0">
        <w:trPr>
          <w:trHeight w:val="317"/>
        </w:trPr>
        <w:tc>
          <w:tcPr>
            <w:tcW w:w="4428" w:type="dxa"/>
          </w:tcPr>
          <w:p w:rsidR="00B86BD8" w:rsidRPr="00D55B37" w:rsidRDefault="00B86BD8" w:rsidP="00BA71F0">
            <w:pPr>
              <w:pStyle w:val="BodyText"/>
              <w:spacing w:line="240" w:lineRule="auto"/>
              <w:rPr>
                <w:sz w:val="20"/>
              </w:rPr>
            </w:pPr>
            <w:r w:rsidRPr="00D55B37">
              <w:rPr>
                <w:sz w:val="20"/>
              </w:rPr>
              <w:t>Selectivity and retention</w:t>
            </w:r>
          </w:p>
        </w:tc>
        <w:tc>
          <w:tcPr>
            <w:tcW w:w="4428" w:type="dxa"/>
          </w:tcPr>
          <w:p w:rsidR="00B86BD8" w:rsidRPr="00D55B37" w:rsidRDefault="00B86BD8" w:rsidP="00BA71F0">
            <w:pPr>
              <w:pStyle w:val="BodyText"/>
              <w:spacing w:line="240" w:lineRule="auto"/>
              <w:rPr>
                <w:sz w:val="20"/>
              </w:rPr>
            </w:pPr>
          </w:p>
        </w:tc>
      </w:tr>
      <w:tr w:rsidR="00B86BD8" w:rsidRPr="003B0123" w:rsidTr="00BA71F0">
        <w:trPr>
          <w:trHeight w:val="317"/>
        </w:trPr>
        <w:tc>
          <w:tcPr>
            <w:tcW w:w="4428" w:type="dxa"/>
          </w:tcPr>
          <w:p w:rsidR="00B86BD8" w:rsidRPr="00D55B37" w:rsidRDefault="00B86BD8" w:rsidP="00BA71F0">
            <w:pPr>
              <w:pStyle w:val="BodyText"/>
              <w:spacing w:line="240" w:lineRule="auto"/>
              <w:ind w:left="144"/>
              <w:rPr>
                <w:sz w:val="20"/>
              </w:rPr>
            </w:pPr>
            <w:r w:rsidRPr="00D55B37">
              <w:rPr>
                <w:sz w:val="20"/>
              </w:rPr>
              <w:t xml:space="preserve">Pot fishery total selectivity </w:t>
            </w:r>
            <m:oMath>
              <m:sSubSup>
                <m:sSubSupPr>
                  <m:ctrlPr>
                    <w:rPr>
                      <w:rFonts w:ascii="Cambria Math" w:hAnsi="Cambria Math"/>
                      <w:i/>
                      <w:sz w:val="20"/>
                    </w:rPr>
                  </m:ctrlPr>
                </m:sSubSupPr>
                <m:e>
                  <m:r>
                    <w:rPr>
                      <w:rFonts w:ascii="Cambria Math" w:hAnsi="Cambria Math"/>
                      <w:sz w:val="20"/>
                    </w:rPr>
                    <m:t>θ</m:t>
                  </m:r>
                </m:e>
                <m:sub>
                  <m:r>
                    <w:rPr>
                      <w:rFonts w:ascii="Cambria Math" w:hAnsi="Cambria Math"/>
                      <w:sz w:val="20"/>
                    </w:rPr>
                    <m:t>50</m:t>
                  </m:r>
                </m:sub>
                <m:sup>
                  <m:r>
                    <w:rPr>
                      <w:rFonts w:ascii="Cambria Math" w:hAnsi="Cambria Math"/>
                      <w:sz w:val="20"/>
                    </w:rPr>
                    <m:t>T</m:t>
                  </m:r>
                </m:sup>
              </m:sSubSup>
            </m:oMath>
          </w:p>
        </w:tc>
        <w:tc>
          <w:tcPr>
            <w:tcW w:w="4428" w:type="dxa"/>
          </w:tcPr>
          <w:p w:rsidR="00B86BD8" w:rsidRPr="00D55B37" w:rsidRDefault="00B86BD8" w:rsidP="00BA71F0">
            <w:pPr>
              <w:pStyle w:val="BodyText"/>
              <w:spacing w:line="240" w:lineRule="auto"/>
              <w:rPr>
                <w:sz w:val="20"/>
              </w:rPr>
            </w:pPr>
            <w:r w:rsidRPr="00D55B37">
              <w:rPr>
                <w:sz w:val="20"/>
              </w:rPr>
              <w:t>2 (1985</w:t>
            </w:r>
            <w:r>
              <w:rPr>
                <w:sz w:val="20"/>
              </w:rPr>
              <w:t>–</w:t>
            </w:r>
            <w:r w:rsidRPr="00D55B37">
              <w:rPr>
                <w:sz w:val="20"/>
              </w:rPr>
              <w:t>2004; 2005+)</w:t>
            </w:r>
          </w:p>
        </w:tc>
      </w:tr>
      <w:tr w:rsidR="00B86BD8" w:rsidRPr="003B0123" w:rsidTr="00BA71F0">
        <w:trPr>
          <w:trHeight w:val="317"/>
        </w:trPr>
        <w:tc>
          <w:tcPr>
            <w:tcW w:w="4428" w:type="dxa"/>
          </w:tcPr>
          <w:p w:rsidR="00B86BD8" w:rsidRPr="00D55B37" w:rsidRDefault="00B86BD8" w:rsidP="00BA71F0">
            <w:pPr>
              <w:pStyle w:val="BodyText"/>
              <w:spacing w:line="240" w:lineRule="auto"/>
              <w:ind w:left="144"/>
              <w:rPr>
                <w:sz w:val="20"/>
              </w:rPr>
            </w:pPr>
            <w:r w:rsidRPr="00D55B37">
              <w:rPr>
                <w:sz w:val="20"/>
              </w:rPr>
              <w:t xml:space="preserve">Pot fishery total selectivity </w:t>
            </w:r>
            <m:oMath>
              <m:sSubSup>
                <m:sSubSupPr>
                  <m:ctrlPr>
                    <w:rPr>
                      <w:rFonts w:ascii="Cambria Math" w:hAnsi="Cambria Math"/>
                      <w:i/>
                      <w:sz w:val="20"/>
                    </w:rPr>
                  </m:ctrlPr>
                </m:sSubSupPr>
                <m:e>
                  <m:r>
                    <w:rPr>
                      <w:rFonts w:ascii="Cambria Math" w:hAnsi="Cambria Math"/>
                      <w:sz w:val="20"/>
                    </w:rPr>
                    <m:t>θ</m:t>
                  </m:r>
                </m:e>
                <m:sub>
                  <m:r>
                    <w:rPr>
                      <w:rFonts w:ascii="Cambria Math" w:hAnsi="Cambria Math"/>
                      <w:sz w:val="20"/>
                    </w:rPr>
                    <m:t>95</m:t>
                  </m:r>
                </m:sub>
                <m:sup>
                  <m:r>
                    <w:rPr>
                      <w:rFonts w:ascii="Cambria Math" w:hAnsi="Cambria Math"/>
                      <w:sz w:val="20"/>
                    </w:rPr>
                    <m:t>T</m:t>
                  </m:r>
                </m:sup>
              </m:sSubSup>
            </m:oMath>
          </w:p>
        </w:tc>
        <w:tc>
          <w:tcPr>
            <w:tcW w:w="4428" w:type="dxa"/>
          </w:tcPr>
          <w:p w:rsidR="00B86BD8" w:rsidRPr="00D55B37" w:rsidRDefault="00B86BD8" w:rsidP="00BA71F0">
            <w:pPr>
              <w:pStyle w:val="BodyText"/>
              <w:spacing w:line="240" w:lineRule="auto"/>
              <w:rPr>
                <w:sz w:val="20"/>
              </w:rPr>
            </w:pPr>
            <w:r w:rsidRPr="00D55B37">
              <w:rPr>
                <w:sz w:val="20"/>
              </w:rPr>
              <w:t>2 (1985</w:t>
            </w:r>
            <w:r>
              <w:rPr>
                <w:sz w:val="20"/>
              </w:rPr>
              <w:t>–</w:t>
            </w:r>
            <w:r w:rsidRPr="00D55B37">
              <w:rPr>
                <w:sz w:val="20"/>
              </w:rPr>
              <w:t>2004; 2005+)</w:t>
            </w:r>
          </w:p>
        </w:tc>
      </w:tr>
      <w:tr w:rsidR="00B86BD8" w:rsidRPr="003B0123" w:rsidTr="00BA71F0">
        <w:trPr>
          <w:trHeight w:val="317"/>
        </w:trPr>
        <w:tc>
          <w:tcPr>
            <w:tcW w:w="4428" w:type="dxa"/>
          </w:tcPr>
          <w:p w:rsidR="00B86BD8" w:rsidRPr="00D55B37" w:rsidRDefault="00B86BD8" w:rsidP="00BA71F0">
            <w:pPr>
              <w:pStyle w:val="BodyText"/>
              <w:spacing w:line="240" w:lineRule="auto"/>
              <w:ind w:left="144"/>
              <w:rPr>
                <w:sz w:val="20"/>
              </w:rPr>
            </w:pPr>
            <w:r w:rsidRPr="00D55B37">
              <w:rPr>
                <w:sz w:val="20"/>
              </w:rPr>
              <w:t xml:space="preserve">Trawl fishery selectivity </w:t>
            </w:r>
            <m:oMath>
              <m:sSubSup>
                <m:sSubSupPr>
                  <m:ctrlPr>
                    <w:rPr>
                      <w:rFonts w:ascii="Cambria Math" w:hAnsi="Cambria Math"/>
                      <w:i/>
                      <w:sz w:val="20"/>
                    </w:rPr>
                  </m:ctrlPr>
                </m:sSubSupPr>
                <m:e>
                  <m:r>
                    <w:rPr>
                      <w:rFonts w:ascii="Cambria Math" w:hAnsi="Cambria Math"/>
                      <w:sz w:val="20"/>
                    </w:rPr>
                    <m:t>θ</m:t>
                  </m:r>
                </m:e>
                <m:sub>
                  <m:r>
                    <w:rPr>
                      <w:rFonts w:ascii="Cambria Math" w:hAnsi="Cambria Math"/>
                      <w:sz w:val="20"/>
                    </w:rPr>
                    <m:t>50</m:t>
                  </m:r>
                </m:sub>
                <m:sup>
                  <m:r>
                    <w:rPr>
                      <w:rFonts w:ascii="Cambria Math" w:hAnsi="Cambria Math"/>
                      <w:sz w:val="20"/>
                    </w:rPr>
                    <m:t>Tr</m:t>
                  </m:r>
                </m:sup>
              </m:sSubSup>
            </m:oMath>
          </w:p>
        </w:tc>
        <w:tc>
          <w:tcPr>
            <w:tcW w:w="4428" w:type="dxa"/>
          </w:tcPr>
          <w:p w:rsidR="00B86BD8" w:rsidRPr="00D55B37" w:rsidRDefault="00B86BD8" w:rsidP="00BA71F0">
            <w:pPr>
              <w:pStyle w:val="BodyText"/>
              <w:spacing w:line="240" w:lineRule="auto"/>
              <w:rPr>
                <w:sz w:val="20"/>
              </w:rPr>
            </w:pPr>
            <w:r w:rsidRPr="00D55B37">
              <w:rPr>
                <w:sz w:val="20"/>
              </w:rPr>
              <w:t>1</w:t>
            </w:r>
          </w:p>
        </w:tc>
      </w:tr>
      <w:tr w:rsidR="00B86BD8" w:rsidRPr="003B0123" w:rsidTr="00BA71F0">
        <w:trPr>
          <w:trHeight w:val="317"/>
        </w:trPr>
        <w:tc>
          <w:tcPr>
            <w:tcW w:w="4428" w:type="dxa"/>
          </w:tcPr>
          <w:p w:rsidR="00B86BD8" w:rsidRPr="00D55B37" w:rsidRDefault="00B86BD8" w:rsidP="00BA71F0">
            <w:pPr>
              <w:pStyle w:val="BodyText"/>
              <w:spacing w:line="240" w:lineRule="auto"/>
              <w:ind w:left="144"/>
              <w:rPr>
                <w:sz w:val="20"/>
              </w:rPr>
            </w:pPr>
            <w:r w:rsidRPr="00D55B37">
              <w:rPr>
                <w:sz w:val="20"/>
              </w:rPr>
              <w:t xml:space="preserve">Trawl fishery selectivity </w:t>
            </w:r>
            <m:oMath>
              <m:sSubSup>
                <m:sSubSupPr>
                  <m:ctrlPr>
                    <w:rPr>
                      <w:rFonts w:ascii="Cambria Math" w:hAnsi="Cambria Math"/>
                      <w:i/>
                      <w:sz w:val="20"/>
                    </w:rPr>
                  </m:ctrlPr>
                </m:sSubSupPr>
                <m:e>
                  <m:r>
                    <w:rPr>
                      <w:rFonts w:ascii="Cambria Math" w:hAnsi="Cambria Math"/>
                      <w:sz w:val="20"/>
                    </w:rPr>
                    <m:t>θ</m:t>
                  </m:r>
                </m:e>
                <m:sub>
                  <m:r>
                    <w:rPr>
                      <w:rFonts w:ascii="Cambria Math" w:hAnsi="Cambria Math"/>
                      <w:sz w:val="20"/>
                    </w:rPr>
                    <m:t>95</m:t>
                  </m:r>
                </m:sub>
                <m:sup>
                  <m:r>
                    <w:rPr>
                      <w:rFonts w:ascii="Cambria Math" w:hAnsi="Cambria Math"/>
                      <w:sz w:val="20"/>
                    </w:rPr>
                    <m:t>Tr</m:t>
                  </m:r>
                </m:sup>
              </m:sSubSup>
            </m:oMath>
          </w:p>
        </w:tc>
        <w:tc>
          <w:tcPr>
            <w:tcW w:w="4428" w:type="dxa"/>
          </w:tcPr>
          <w:p w:rsidR="00B86BD8" w:rsidRPr="00D55B37" w:rsidRDefault="00B86BD8" w:rsidP="00BA71F0">
            <w:pPr>
              <w:pStyle w:val="BodyText"/>
              <w:spacing w:line="240" w:lineRule="auto"/>
              <w:rPr>
                <w:sz w:val="20"/>
              </w:rPr>
            </w:pPr>
            <w:r w:rsidRPr="00D55B37">
              <w:rPr>
                <w:sz w:val="20"/>
              </w:rPr>
              <w:t>1</w:t>
            </w:r>
          </w:p>
        </w:tc>
      </w:tr>
      <w:tr w:rsidR="00B86BD8" w:rsidRPr="003B0123" w:rsidTr="00BA71F0">
        <w:trPr>
          <w:trHeight w:val="317"/>
        </w:trPr>
        <w:tc>
          <w:tcPr>
            <w:tcW w:w="4428" w:type="dxa"/>
          </w:tcPr>
          <w:p w:rsidR="00B86BD8" w:rsidRPr="00D55B37" w:rsidRDefault="00B86BD8" w:rsidP="00BA71F0">
            <w:pPr>
              <w:pStyle w:val="BodyText"/>
              <w:spacing w:line="240" w:lineRule="auto"/>
              <w:ind w:left="144"/>
              <w:rPr>
                <w:sz w:val="20"/>
              </w:rPr>
            </w:pPr>
            <w:r w:rsidRPr="00D55B37">
              <w:rPr>
                <w:sz w:val="20"/>
              </w:rPr>
              <w:t xml:space="preserve">Pot fishery retention </w:t>
            </w:r>
            <m:oMath>
              <m:sSubSup>
                <m:sSubSupPr>
                  <m:ctrlPr>
                    <w:rPr>
                      <w:rFonts w:ascii="Cambria Math" w:hAnsi="Cambria Math"/>
                      <w:i/>
                      <w:sz w:val="20"/>
                    </w:rPr>
                  </m:ctrlPr>
                </m:sSubSupPr>
                <m:e>
                  <m:r>
                    <w:rPr>
                      <w:rFonts w:ascii="Cambria Math" w:hAnsi="Cambria Math"/>
                      <w:sz w:val="20"/>
                    </w:rPr>
                    <m:t>θ</m:t>
                  </m:r>
                </m:e>
                <m:sub>
                  <m:r>
                    <w:rPr>
                      <w:rFonts w:ascii="Cambria Math" w:hAnsi="Cambria Math"/>
                      <w:sz w:val="20"/>
                    </w:rPr>
                    <m:t>50</m:t>
                  </m:r>
                </m:sub>
                <m:sup>
                  <m:r>
                    <w:rPr>
                      <w:rFonts w:ascii="Cambria Math" w:hAnsi="Cambria Math"/>
                      <w:sz w:val="20"/>
                    </w:rPr>
                    <m:t>r</m:t>
                  </m:r>
                </m:sup>
              </m:sSubSup>
            </m:oMath>
          </w:p>
        </w:tc>
        <w:tc>
          <w:tcPr>
            <w:tcW w:w="4428" w:type="dxa"/>
          </w:tcPr>
          <w:p w:rsidR="00B86BD8" w:rsidRPr="00D55B37" w:rsidRDefault="00B86BD8" w:rsidP="00BA71F0">
            <w:pPr>
              <w:pStyle w:val="BodyText"/>
              <w:spacing w:line="240" w:lineRule="auto"/>
              <w:rPr>
                <w:sz w:val="20"/>
              </w:rPr>
            </w:pPr>
            <w:r w:rsidRPr="00D55B37">
              <w:rPr>
                <w:sz w:val="20"/>
              </w:rPr>
              <w:t>2 (1985</w:t>
            </w:r>
            <w:r>
              <w:rPr>
                <w:sz w:val="20"/>
              </w:rPr>
              <w:t>–</w:t>
            </w:r>
            <w:r w:rsidRPr="00D55B37">
              <w:rPr>
                <w:sz w:val="20"/>
              </w:rPr>
              <w:t>2004; 2005+)</w:t>
            </w:r>
          </w:p>
        </w:tc>
      </w:tr>
      <w:tr w:rsidR="00B86BD8" w:rsidRPr="003B0123" w:rsidTr="00BA71F0">
        <w:trPr>
          <w:trHeight w:val="317"/>
        </w:trPr>
        <w:tc>
          <w:tcPr>
            <w:tcW w:w="4428" w:type="dxa"/>
          </w:tcPr>
          <w:p w:rsidR="00B86BD8" w:rsidRPr="00D55B37" w:rsidRDefault="00B86BD8" w:rsidP="00BA71F0">
            <w:pPr>
              <w:pStyle w:val="BodyText"/>
              <w:spacing w:line="240" w:lineRule="auto"/>
              <w:ind w:left="144"/>
              <w:rPr>
                <w:sz w:val="20"/>
              </w:rPr>
            </w:pPr>
            <w:r w:rsidRPr="00D55B37">
              <w:rPr>
                <w:sz w:val="20"/>
              </w:rPr>
              <w:t xml:space="preserve">Pot fishery retention </w:t>
            </w:r>
            <m:oMath>
              <m:sSubSup>
                <m:sSubSupPr>
                  <m:ctrlPr>
                    <w:rPr>
                      <w:rFonts w:ascii="Cambria Math" w:hAnsi="Cambria Math"/>
                      <w:i/>
                      <w:sz w:val="20"/>
                    </w:rPr>
                  </m:ctrlPr>
                </m:sSubSupPr>
                <m:e>
                  <m:r>
                    <w:rPr>
                      <w:rFonts w:ascii="Cambria Math" w:hAnsi="Cambria Math"/>
                      <w:sz w:val="20"/>
                    </w:rPr>
                    <m:t>θ</m:t>
                  </m:r>
                </m:e>
                <m:sub>
                  <m:r>
                    <w:rPr>
                      <w:rFonts w:ascii="Cambria Math" w:hAnsi="Cambria Math"/>
                      <w:sz w:val="20"/>
                    </w:rPr>
                    <m:t>95</m:t>
                  </m:r>
                </m:sub>
                <m:sup>
                  <m:r>
                    <w:rPr>
                      <w:rFonts w:ascii="Cambria Math" w:hAnsi="Cambria Math"/>
                      <w:sz w:val="20"/>
                    </w:rPr>
                    <m:t>r</m:t>
                  </m:r>
                </m:sup>
              </m:sSubSup>
            </m:oMath>
          </w:p>
        </w:tc>
        <w:tc>
          <w:tcPr>
            <w:tcW w:w="4428" w:type="dxa"/>
          </w:tcPr>
          <w:p w:rsidR="00B86BD8" w:rsidRPr="00D55B37" w:rsidRDefault="00B86BD8" w:rsidP="00BA71F0">
            <w:pPr>
              <w:pStyle w:val="BodyText"/>
              <w:spacing w:line="240" w:lineRule="auto"/>
              <w:rPr>
                <w:sz w:val="20"/>
              </w:rPr>
            </w:pPr>
            <w:r w:rsidRPr="00D55B37">
              <w:rPr>
                <w:sz w:val="20"/>
              </w:rPr>
              <w:t>2 (1985</w:t>
            </w:r>
            <w:r>
              <w:rPr>
                <w:sz w:val="20"/>
              </w:rPr>
              <w:t>–</w:t>
            </w:r>
            <w:r w:rsidRPr="00D55B37">
              <w:rPr>
                <w:sz w:val="20"/>
              </w:rPr>
              <w:t>2004; 2005+)</w:t>
            </w:r>
          </w:p>
        </w:tc>
      </w:tr>
      <w:tr w:rsidR="00B86BD8" w:rsidRPr="003B0123" w:rsidTr="00BA71F0">
        <w:trPr>
          <w:trHeight w:val="317"/>
        </w:trPr>
        <w:tc>
          <w:tcPr>
            <w:tcW w:w="4428" w:type="dxa"/>
          </w:tcPr>
          <w:p w:rsidR="00B86BD8" w:rsidRPr="00D55B37" w:rsidRDefault="00B86BD8" w:rsidP="00BA71F0">
            <w:pPr>
              <w:pStyle w:val="BodyText"/>
              <w:spacing w:line="240" w:lineRule="auto"/>
              <w:rPr>
                <w:sz w:val="20"/>
              </w:rPr>
            </w:pPr>
          </w:p>
        </w:tc>
        <w:tc>
          <w:tcPr>
            <w:tcW w:w="4428" w:type="dxa"/>
          </w:tcPr>
          <w:p w:rsidR="00B86BD8" w:rsidRPr="00D55B37" w:rsidRDefault="00B86BD8" w:rsidP="00BA71F0">
            <w:pPr>
              <w:pStyle w:val="BodyText"/>
              <w:spacing w:line="240" w:lineRule="auto"/>
              <w:rPr>
                <w:sz w:val="20"/>
              </w:rPr>
            </w:pPr>
          </w:p>
        </w:tc>
      </w:tr>
      <w:tr w:rsidR="00B86BD8" w:rsidRPr="003B0123" w:rsidTr="00BA71F0">
        <w:trPr>
          <w:trHeight w:val="317"/>
        </w:trPr>
        <w:tc>
          <w:tcPr>
            <w:tcW w:w="4428" w:type="dxa"/>
          </w:tcPr>
          <w:p w:rsidR="00B86BD8" w:rsidRPr="00D55B37" w:rsidRDefault="00B86BD8" w:rsidP="00BA71F0">
            <w:pPr>
              <w:pStyle w:val="BodyText"/>
              <w:spacing w:line="240" w:lineRule="auto"/>
              <w:rPr>
                <w:sz w:val="20"/>
              </w:rPr>
            </w:pPr>
            <w:r w:rsidRPr="00D55B37">
              <w:rPr>
                <w:sz w:val="20"/>
              </w:rPr>
              <w:t>Growth</w:t>
            </w:r>
          </w:p>
        </w:tc>
        <w:tc>
          <w:tcPr>
            <w:tcW w:w="4428" w:type="dxa"/>
          </w:tcPr>
          <w:p w:rsidR="00B86BD8" w:rsidRPr="00D55B37" w:rsidRDefault="00B86BD8" w:rsidP="00BA71F0">
            <w:pPr>
              <w:pStyle w:val="BodyText"/>
              <w:spacing w:line="240" w:lineRule="auto"/>
              <w:rPr>
                <w:sz w:val="20"/>
              </w:rPr>
            </w:pPr>
          </w:p>
        </w:tc>
      </w:tr>
      <w:tr w:rsidR="00B86BD8" w:rsidRPr="003B0123" w:rsidTr="00BA71F0">
        <w:trPr>
          <w:trHeight w:val="317"/>
        </w:trPr>
        <w:tc>
          <w:tcPr>
            <w:tcW w:w="4428" w:type="dxa"/>
          </w:tcPr>
          <w:p w:rsidR="00B86BD8" w:rsidRPr="00D55B37" w:rsidRDefault="00B86BD8" w:rsidP="00BA71F0">
            <w:pPr>
              <w:pStyle w:val="BodyText"/>
              <w:spacing w:line="240" w:lineRule="auto"/>
              <w:ind w:firstLine="144"/>
              <w:rPr>
                <w:sz w:val="20"/>
              </w:rPr>
            </w:pPr>
            <w:r w:rsidRPr="00D55B37">
              <w:rPr>
                <w:sz w:val="20"/>
              </w:rPr>
              <w:t xml:space="preserve"> Expected growth increment, </w:t>
            </w:r>
            <w:r w:rsidRPr="00D55B37">
              <w:rPr>
                <w:position w:val="-12"/>
                <w:sz w:val="20"/>
              </w:rPr>
              <w:object w:dxaOrig="600" w:dyaOrig="360">
                <v:shape id="_x0000_i1104" type="#_x0000_t75" style="width:30.25pt;height:17.75pt" o:ole="">
                  <v:imagedata r:id="rId234" o:title=""/>
                </v:shape>
                <o:OLEObject Type="Embed" ProgID="Equation.DSMT4" ShapeID="_x0000_i1104" DrawAspect="Content" ObjectID="_1460439776" r:id="rId235"/>
              </w:object>
            </w:r>
          </w:p>
        </w:tc>
        <w:tc>
          <w:tcPr>
            <w:tcW w:w="4428" w:type="dxa"/>
          </w:tcPr>
          <w:p w:rsidR="00B86BD8" w:rsidRPr="00D55B37" w:rsidRDefault="00B86BD8" w:rsidP="00BA71F0">
            <w:pPr>
              <w:pStyle w:val="BodyText"/>
              <w:spacing w:line="240" w:lineRule="auto"/>
              <w:rPr>
                <w:sz w:val="20"/>
              </w:rPr>
            </w:pPr>
            <w:r w:rsidRPr="00D55B37">
              <w:rPr>
                <w:sz w:val="20"/>
              </w:rPr>
              <w:t>2</w:t>
            </w:r>
          </w:p>
        </w:tc>
      </w:tr>
      <w:tr w:rsidR="00B86BD8" w:rsidRPr="003B0123" w:rsidTr="00BA71F0">
        <w:trPr>
          <w:trHeight w:val="317"/>
        </w:trPr>
        <w:tc>
          <w:tcPr>
            <w:tcW w:w="4428" w:type="dxa"/>
          </w:tcPr>
          <w:p w:rsidR="00B86BD8" w:rsidRPr="00D55B37" w:rsidRDefault="00B86BD8" w:rsidP="00BA71F0">
            <w:pPr>
              <w:pStyle w:val="BodyText"/>
              <w:spacing w:line="240" w:lineRule="auto"/>
              <w:ind w:left="144"/>
              <w:rPr>
                <w:sz w:val="20"/>
              </w:rPr>
            </w:pPr>
            <w:r w:rsidRPr="00D55B37">
              <w:rPr>
                <w:sz w:val="20"/>
              </w:rPr>
              <w:t xml:space="preserve">Variability in growth increment, </w:t>
            </w:r>
            <w:r w:rsidRPr="00D55B37">
              <w:rPr>
                <w:position w:val="-10"/>
                <w:sz w:val="20"/>
              </w:rPr>
              <w:object w:dxaOrig="240" w:dyaOrig="320">
                <v:shape id="_x0000_i1105" type="#_x0000_t75" style="width:13.55pt;height:15.65pt" o:ole="">
                  <v:imagedata r:id="rId236" o:title=""/>
                </v:shape>
                <o:OLEObject Type="Embed" ProgID="Equation.DSMT4" ShapeID="_x0000_i1105" DrawAspect="Content" ObjectID="_1460439777" r:id="rId237"/>
              </w:object>
            </w:r>
          </w:p>
          <w:p w:rsidR="00B86BD8" w:rsidRPr="00D55B37" w:rsidRDefault="00B86BD8" w:rsidP="00BA71F0">
            <w:pPr>
              <w:pStyle w:val="BodyText"/>
              <w:spacing w:line="240" w:lineRule="auto"/>
              <w:ind w:left="144"/>
              <w:rPr>
                <w:sz w:val="20"/>
              </w:rPr>
            </w:pPr>
            <w:r w:rsidRPr="00D55B37">
              <w:rPr>
                <w:sz w:val="20"/>
              </w:rPr>
              <w:t xml:space="preserve">Molt probability (size transition matrix with tag data) </w:t>
            </w:r>
            <w:r w:rsidRPr="00D55B37">
              <w:rPr>
                <w:i/>
                <w:sz w:val="20"/>
              </w:rPr>
              <w:t>a</w:t>
            </w:r>
          </w:p>
          <w:p w:rsidR="00B86BD8" w:rsidRPr="00D55B37" w:rsidRDefault="00B86BD8" w:rsidP="00BA71F0">
            <w:pPr>
              <w:pStyle w:val="BodyText"/>
              <w:spacing w:line="240" w:lineRule="auto"/>
              <w:ind w:left="144"/>
              <w:rPr>
                <w:sz w:val="20"/>
              </w:rPr>
            </w:pPr>
            <w:r w:rsidRPr="00D55B37">
              <w:rPr>
                <w:sz w:val="20"/>
              </w:rPr>
              <w:t xml:space="preserve">Molt probability (size transition matrix with tag data) </w:t>
            </w:r>
            <w:r w:rsidRPr="00D55B37">
              <w:rPr>
                <w:i/>
                <w:sz w:val="20"/>
              </w:rPr>
              <w:t>b</w:t>
            </w:r>
          </w:p>
        </w:tc>
        <w:tc>
          <w:tcPr>
            <w:tcW w:w="4428" w:type="dxa"/>
          </w:tcPr>
          <w:p w:rsidR="00B86BD8" w:rsidRPr="00D55B37" w:rsidRDefault="00B86BD8" w:rsidP="00BA71F0">
            <w:pPr>
              <w:pStyle w:val="BodyText"/>
              <w:spacing w:line="240" w:lineRule="auto"/>
              <w:rPr>
                <w:sz w:val="20"/>
              </w:rPr>
            </w:pPr>
            <w:r w:rsidRPr="00D55B37">
              <w:rPr>
                <w:sz w:val="20"/>
              </w:rPr>
              <w:t>1</w:t>
            </w:r>
          </w:p>
          <w:p w:rsidR="00B86BD8" w:rsidRPr="00D55B37" w:rsidRDefault="00B86BD8" w:rsidP="00BA71F0">
            <w:pPr>
              <w:pStyle w:val="BodyText"/>
              <w:spacing w:line="240" w:lineRule="auto"/>
              <w:rPr>
                <w:sz w:val="20"/>
              </w:rPr>
            </w:pPr>
            <w:r w:rsidRPr="00D55B37">
              <w:rPr>
                <w:sz w:val="20"/>
              </w:rPr>
              <w:t>1</w:t>
            </w:r>
          </w:p>
          <w:p w:rsidR="00B86BD8" w:rsidRPr="00D55B37" w:rsidRDefault="00B86BD8" w:rsidP="00BA71F0">
            <w:pPr>
              <w:pStyle w:val="BodyText"/>
              <w:spacing w:line="240" w:lineRule="auto"/>
              <w:rPr>
                <w:sz w:val="20"/>
              </w:rPr>
            </w:pPr>
            <w:r w:rsidRPr="00D55B37">
              <w:rPr>
                <w:sz w:val="20"/>
              </w:rPr>
              <w:t xml:space="preserve">1 </w:t>
            </w:r>
          </w:p>
        </w:tc>
      </w:tr>
      <w:tr w:rsidR="00B86BD8" w:rsidRPr="003B0123" w:rsidTr="00BA71F0">
        <w:trPr>
          <w:trHeight w:val="317"/>
        </w:trPr>
        <w:tc>
          <w:tcPr>
            <w:tcW w:w="4428" w:type="dxa"/>
          </w:tcPr>
          <w:p w:rsidR="00B86BD8" w:rsidRPr="00D55B37" w:rsidRDefault="00B86BD8" w:rsidP="00BA71F0">
            <w:pPr>
              <w:pStyle w:val="BodyText"/>
              <w:spacing w:line="240" w:lineRule="auto"/>
              <w:rPr>
                <w:sz w:val="20"/>
              </w:rPr>
            </w:pPr>
            <w:r w:rsidRPr="00D55B37">
              <w:rPr>
                <w:sz w:val="20"/>
              </w:rPr>
              <w:t xml:space="preserve">Natural mortality, </w:t>
            </w:r>
            <w:r w:rsidRPr="00D55B37">
              <w:rPr>
                <w:i/>
                <w:sz w:val="20"/>
              </w:rPr>
              <w:t>M</w:t>
            </w:r>
          </w:p>
        </w:tc>
        <w:tc>
          <w:tcPr>
            <w:tcW w:w="4428" w:type="dxa"/>
          </w:tcPr>
          <w:p w:rsidR="00B86BD8" w:rsidRPr="00D55B37" w:rsidRDefault="00B86BD8" w:rsidP="00BA71F0">
            <w:pPr>
              <w:pStyle w:val="BodyText"/>
              <w:spacing w:line="240" w:lineRule="auto"/>
              <w:rPr>
                <w:sz w:val="20"/>
              </w:rPr>
            </w:pPr>
            <w:r w:rsidRPr="00D55B37">
              <w:rPr>
                <w:sz w:val="20"/>
              </w:rPr>
              <w:t>Pre-specified, 0.18yr</w:t>
            </w:r>
            <w:r w:rsidRPr="00D55B37">
              <w:rPr>
                <w:sz w:val="20"/>
                <w:vertAlign w:val="superscript"/>
              </w:rPr>
              <w:t>-1</w:t>
            </w:r>
          </w:p>
        </w:tc>
      </w:tr>
      <w:tr w:rsidR="00B86BD8" w:rsidRPr="003B0123" w:rsidTr="00BA71F0">
        <w:trPr>
          <w:trHeight w:val="317"/>
        </w:trPr>
        <w:tc>
          <w:tcPr>
            <w:tcW w:w="4428" w:type="dxa"/>
          </w:tcPr>
          <w:p w:rsidR="00B86BD8" w:rsidRPr="00D55B37" w:rsidRDefault="00B86BD8" w:rsidP="00BA71F0">
            <w:pPr>
              <w:pStyle w:val="BodyText"/>
              <w:spacing w:line="240" w:lineRule="auto"/>
              <w:rPr>
                <w:sz w:val="20"/>
              </w:rPr>
            </w:pPr>
            <w:r w:rsidRPr="00D55B37">
              <w:rPr>
                <w:sz w:val="20"/>
              </w:rPr>
              <w:t>Recruitment</w:t>
            </w:r>
          </w:p>
        </w:tc>
        <w:tc>
          <w:tcPr>
            <w:tcW w:w="4428" w:type="dxa"/>
          </w:tcPr>
          <w:p w:rsidR="00B86BD8" w:rsidRPr="00D55B37" w:rsidRDefault="00B86BD8" w:rsidP="00BA71F0">
            <w:pPr>
              <w:pStyle w:val="BodyText"/>
              <w:spacing w:line="240" w:lineRule="auto"/>
              <w:rPr>
                <w:sz w:val="20"/>
              </w:rPr>
            </w:pPr>
          </w:p>
        </w:tc>
      </w:tr>
      <w:tr w:rsidR="00B86BD8" w:rsidRPr="003B0123" w:rsidTr="00BA71F0">
        <w:trPr>
          <w:trHeight w:val="317"/>
        </w:trPr>
        <w:tc>
          <w:tcPr>
            <w:tcW w:w="4428" w:type="dxa"/>
          </w:tcPr>
          <w:p w:rsidR="00B86BD8" w:rsidRPr="00D55B37" w:rsidRDefault="00B86BD8" w:rsidP="00BA71F0">
            <w:pPr>
              <w:pStyle w:val="BodyText"/>
              <w:spacing w:line="240" w:lineRule="auto"/>
              <w:ind w:firstLine="144"/>
              <w:rPr>
                <w:sz w:val="20"/>
              </w:rPr>
            </w:pPr>
            <w:r w:rsidRPr="00D55B37">
              <w:rPr>
                <w:sz w:val="20"/>
              </w:rPr>
              <w:t xml:space="preserve">Distribution to length-class, </w:t>
            </w:r>
            <w:r w:rsidRPr="00D55B37">
              <w:rPr>
                <w:position w:val="-12"/>
                <w:sz w:val="20"/>
              </w:rPr>
              <w:object w:dxaOrig="620" w:dyaOrig="360">
                <v:shape id="_x0000_i1106" type="#_x0000_t75" style="width:30.25pt;height:17.75pt" o:ole="">
                  <v:imagedata r:id="rId238" o:title=""/>
                </v:shape>
                <o:OLEObject Type="Embed" ProgID="Equation.DSMT4" ShapeID="_x0000_i1106" DrawAspect="Content" ObjectID="_1460439778" r:id="rId239"/>
              </w:object>
            </w:r>
          </w:p>
        </w:tc>
        <w:tc>
          <w:tcPr>
            <w:tcW w:w="4428" w:type="dxa"/>
          </w:tcPr>
          <w:p w:rsidR="00B86BD8" w:rsidRPr="00D55B37" w:rsidRDefault="00B86BD8" w:rsidP="00BA71F0">
            <w:pPr>
              <w:pStyle w:val="BodyText"/>
              <w:spacing w:line="240" w:lineRule="auto"/>
              <w:rPr>
                <w:sz w:val="20"/>
              </w:rPr>
            </w:pPr>
            <w:r w:rsidRPr="00D55B37">
              <w:rPr>
                <w:sz w:val="20"/>
              </w:rPr>
              <w:t>2</w:t>
            </w:r>
          </w:p>
        </w:tc>
      </w:tr>
      <w:tr w:rsidR="00B86BD8" w:rsidRPr="003B0123" w:rsidTr="00BA71F0">
        <w:trPr>
          <w:trHeight w:val="317"/>
        </w:trPr>
        <w:tc>
          <w:tcPr>
            <w:tcW w:w="4428" w:type="dxa"/>
          </w:tcPr>
          <w:p w:rsidR="00B86BD8" w:rsidRPr="00D55B37" w:rsidRDefault="00B86BD8" w:rsidP="00BA71F0">
            <w:pPr>
              <w:pStyle w:val="BodyText"/>
              <w:spacing w:line="240" w:lineRule="auto"/>
              <w:ind w:firstLine="144"/>
              <w:rPr>
                <w:sz w:val="20"/>
              </w:rPr>
            </w:pPr>
            <w:r w:rsidRPr="00D55B37">
              <w:rPr>
                <w:sz w:val="20"/>
              </w:rPr>
              <w:t xml:space="preserve">Recruitment deviations, </w:t>
            </w:r>
            <w:r w:rsidRPr="00D55B37">
              <w:rPr>
                <w:position w:val="-12"/>
                <w:sz w:val="20"/>
              </w:rPr>
              <w:object w:dxaOrig="240" w:dyaOrig="360">
                <v:shape id="_x0000_i1107" type="#_x0000_t75" style="width:13.55pt;height:17.75pt" o:ole="">
                  <v:imagedata r:id="rId240" o:title=""/>
                </v:shape>
                <o:OLEObject Type="Embed" ProgID="Equation.DSMT4" ShapeID="_x0000_i1107" DrawAspect="Content" ObjectID="_1460439779" r:id="rId241"/>
              </w:object>
            </w:r>
          </w:p>
        </w:tc>
        <w:tc>
          <w:tcPr>
            <w:tcW w:w="4428" w:type="dxa"/>
          </w:tcPr>
          <w:p w:rsidR="00B86BD8" w:rsidRPr="00D55B37" w:rsidRDefault="00B86BD8" w:rsidP="00BA71F0">
            <w:pPr>
              <w:pStyle w:val="BodyText"/>
              <w:spacing w:line="240" w:lineRule="auto"/>
              <w:rPr>
                <w:i/>
                <w:sz w:val="20"/>
              </w:rPr>
            </w:pPr>
            <w:r w:rsidRPr="00D55B37">
              <w:rPr>
                <w:i/>
                <w:sz w:val="20"/>
              </w:rPr>
              <w:t>n</w:t>
            </w:r>
          </w:p>
        </w:tc>
      </w:tr>
      <w:tr w:rsidR="00B86BD8" w:rsidRPr="003B0123" w:rsidTr="00BA71F0">
        <w:trPr>
          <w:trHeight w:val="317"/>
        </w:trPr>
        <w:tc>
          <w:tcPr>
            <w:tcW w:w="4428" w:type="dxa"/>
          </w:tcPr>
          <w:p w:rsidR="00B86BD8" w:rsidRPr="00D55B37" w:rsidRDefault="00B86BD8" w:rsidP="00BA71F0">
            <w:pPr>
              <w:pStyle w:val="BodyText"/>
              <w:spacing w:line="240" w:lineRule="auto"/>
              <w:rPr>
                <w:sz w:val="20"/>
                <w:vertAlign w:val="subscript"/>
              </w:rPr>
            </w:pPr>
            <w:r w:rsidRPr="00D55B37">
              <w:rPr>
                <w:sz w:val="20"/>
              </w:rPr>
              <w:t xml:space="preserve">   F</w:t>
            </w:r>
            <w:r w:rsidRPr="00D55B37">
              <w:rPr>
                <w:sz w:val="20"/>
                <w:vertAlign w:val="subscript"/>
              </w:rPr>
              <w:t xml:space="preserve">OFL                            </w:t>
            </w:r>
          </w:p>
        </w:tc>
        <w:tc>
          <w:tcPr>
            <w:tcW w:w="4428" w:type="dxa"/>
          </w:tcPr>
          <w:p w:rsidR="00B86BD8" w:rsidRPr="00D55B37" w:rsidRDefault="00B86BD8" w:rsidP="00BA71F0">
            <w:pPr>
              <w:pStyle w:val="BodyText"/>
              <w:spacing w:line="240" w:lineRule="auto"/>
              <w:rPr>
                <w:sz w:val="20"/>
              </w:rPr>
            </w:pPr>
            <w:r w:rsidRPr="00D55B37">
              <w:rPr>
                <w:sz w:val="20"/>
              </w:rPr>
              <w:t>1</w:t>
            </w:r>
          </w:p>
        </w:tc>
      </w:tr>
      <w:tr w:rsidR="00B86BD8" w:rsidRPr="003B0123" w:rsidTr="00BA71F0">
        <w:trPr>
          <w:trHeight w:val="317"/>
        </w:trPr>
        <w:tc>
          <w:tcPr>
            <w:tcW w:w="4428" w:type="dxa"/>
          </w:tcPr>
          <w:p w:rsidR="00B86BD8" w:rsidRPr="00D55B37" w:rsidRDefault="00B86BD8" w:rsidP="00BA71F0">
            <w:pPr>
              <w:pStyle w:val="BodyText"/>
              <w:spacing w:line="240" w:lineRule="auto"/>
              <w:ind w:left="144"/>
              <w:rPr>
                <w:sz w:val="20"/>
              </w:rPr>
            </w:pPr>
            <w:r w:rsidRPr="00D55B37">
              <w:rPr>
                <w:sz w:val="20"/>
              </w:rPr>
              <w:t xml:space="preserve">Fishery catchability, </w:t>
            </w:r>
            <w:r w:rsidRPr="00D55B37">
              <w:rPr>
                <w:i/>
                <w:sz w:val="20"/>
              </w:rPr>
              <w:t>q</w:t>
            </w:r>
          </w:p>
          <w:p w:rsidR="00B86BD8" w:rsidRPr="00D55B37" w:rsidRDefault="00B86BD8" w:rsidP="00BA71F0">
            <w:pPr>
              <w:pStyle w:val="BodyText"/>
              <w:spacing w:line="240" w:lineRule="auto"/>
              <w:ind w:left="144"/>
              <w:rPr>
                <w:sz w:val="20"/>
              </w:rPr>
            </w:pPr>
          </w:p>
        </w:tc>
        <w:tc>
          <w:tcPr>
            <w:tcW w:w="4428" w:type="dxa"/>
          </w:tcPr>
          <w:p w:rsidR="00B86BD8" w:rsidRPr="00D55B37" w:rsidRDefault="00B86BD8" w:rsidP="00BA71F0">
            <w:pPr>
              <w:pStyle w:val="BodyText"/>
              <w:spacing w:line="240" w:lineRule="auto"/>
              <w:rPr>
                <w:sz w:val="20"/>
              </w:rPr>
            </w:pPr>
            <w:r w:rsidRPr="00D55B37">
              <w:rPr>
                <w:sz w:val="20"/>
              </w:rPr>
              <w:t>2 (1985</w:t>
            </w:r>
            <w:r>
              <w:rPr>
                <w:sz w:val="20"/>
              </w:rPr>
              <w:t>–</w:t>
            </w:r>
            <w:r w:rsidRPr="00D55B37">
              <w:rPr>
                <w:sz w:val="20"/>
              </w:rPr>
              <w:t>2004; 2005+)</w:t>
            </w:r>
          </w:p>
          <w:p w:rsidR="00B86BD8" w:rsidRPr="00D55B37" w:rsidRDefault="00B86BD8" w:rsidP="00BA71F0">
            <w:pPr>
              <w:pStyle w:val="BodyText"/>
              <w:spacing w:line="240" w:lineRule="auto"/>
              <w:rPr>
                <w:sz w:val="20"/>
              </w:rPr>
            </w:pPr>
          </w:p>
        </w:tc>
      </w:tr>
      <w:tr w:rsidR="00B86BD8" w:rsidRPr="003B0123" w:rsidTr="00BA71F0">
        <w:trPr>
          <w:trHeight w:val="317"/>
        </w:trPr>
        <w:tc>
          <w:tcPr>
            <w:tcW w:w="4428" w:type="dxa"/>
          </w:tcPr>
          <w:p w:rsidR="00B86BD8" w:rsidRPr="00D55B37" w:rsidRDefault="00B86BD8" w:rsidP="00BA71F0">
            <w:pPr>
              <w:pStyle w:val="BodyText"/>
              <w:spacing w:line="240" w:lineRule="auto"/>
              <w:rPr>
                <w:sz w:val="20"/>
              </w:rPr>
            </w:pPr>
            <w:r w:rsidRPr="00D55B37">
              <w:rPr>
                <w:sz w:val="20"/>
              </w:rPr>
              <w:t>Likelihood weights</w:t>
            </w:r>
          </w:p>
        </w:tc>
        <w:tc>
          <w:tcPr>
            <w:tcW w:w="4428" w:type="dxa"/>
          </w:tcPr>
          <w:p w:rsidR="00B86BD8" w:rsidRPr="00D55B37" w:rsidRDefault="00B86BD8" w:rsidP="00BA71F0">
            <w:pPr>
              <w:pStyle w:val="BodyText"/>
              <w:spacing w:line="240" w:lineRule="auto"/>
              <w:rPr>
                <w:sz w:val="20"/>
              </w:rPr>
            </w:pPr>
            <w:r w:rsidRPr="00D55B37">
              <w:rPr>
                <w:sz w:val="20"/>
              </w:rPr>
              <w:t>Pre-specified, varies for different scenarios</w:t>
            </w:r>
          </w:p>
        </w:tc>
      </w:tr>
    </w:tbl>
    <w:p w:rsidR="00B86BD8" w:rsidRPr="00A00328" w:rsidRDefault="00B86BD8" w:rsidP="00BA71F0">
      <w:pPr>
        <w:pStyle w:val="BodyText"/>
        <w:spacing w:line="240" w:lineRule="auto"/>
        <w:rPr>
          <w:szCs w:val="22"/>
        </w:rPr>
      </w:pPr>
    </w:p>
    <w:p w:rsidR="00B86BD8" w:rsidRDefault="00B86BD8" w:rsidP="00BA71F0">
      <w:pPr>
        <w:pStyle w:val="BodyText"/>
        <w:spacing w:line="240" w:lineRule="auto"/>
        <w:rPr>
          <w:szCs w:val="22"/>
        </w:rPr>
      </w:pPr>
    </w:p>
    <w:p w:rsidR="00B86BD8" w:rsidRDefault="00B86BD8" w:rsidP="00BA71F0">
      <w:pPr>
        <w:rPr>
          <w:bCs/>
          <w:color w:val="000000" w:themeColor="text1"/>
          <w:sz w:val="22"/>
          <w:szCs w:val="22"/>
        </w:rPr>
      </w:pPr>
      <w:r>
        <w:rPr>
          <w:szCs w:val="22"/>
        </w:rPr>
        <w:br w:type="page"/>
      </w:r>
    </w:p>
    <w:p w:rsidR="00B86BD8" w:rsidRPr="00790938" w:rsidRDefault="00B86BD8" w:rsidP="00BA71F0">
      <w:pPr>
        <w:pStyle w:val="Caption"/>
        <w:rPr>
          <w:szCs w:val="22"/>
        </w:rPr>
      </w:pPr>
      <w:r>
        <w:lastRenderedPageBreak/>
        <w:t xml:space="preserve">Table A2a. </w:t>
      </w:r>
      <w:r w:rsidRPr="00790938">
        <w:rPr>
          <w:szCs w:val="22"/>
        </w:rPr>
        <w:t>Specifications for the weigh</w:t>
      </w:r>
      <w:r>
        <w:rPr>
          <w:szCs w:val="22"/>
        </w:rPr>
        <w:t>t</w:t>
      </w:r>
      <w:r w:rsidRPr="00790938">
        <w:rPr>
          <w:szCs w:val="22"/>
        </w:rPr>
        <w:t>s</w:t>
      </w:r>
      <w:r>
        <w:rPr>
          <w:szCs w:val="22"/>
        </w:rPr>
        <w:t xml:space="preserve"> for each scenario for EAG.</w:t>
      </w:r>
    </w:p>
    <w:tbl>
      <w:tblPr>
        <w:tblW w:w="0" w:type="auto"/>
        <w:tblLook w:val="04A0" w:firstRow="1" w:lastRow="0" w:firstColumn="1" w:lastColumn="0" w:noHBand="0" w:noVBand="1"/>
      </w:tblPr>
      <w:tblGrid>
        <w:gridCol w:w="3042"/>
        <w:gridCol w:w="1440"/>
        <w:gridCol w:w="1440"/>
        <w:gridCol w:w="1440"/>
        <w:gridCol w:w="1440"/>
      </w:tblGrid>
      <w:tr w:rsidR="00B86BD8" w:rsidRPr="00BC0445" w:rsidTr="00BA71F0">
        <w:trPr>
          <w:trHeight w:val="317"/>
        </w:trPr>
        <w:tc>
          <w:tcPr>
            <w:tcW w:w="3042" w:type="dxa"/>
            <w:vMerge w:val="restart"/>
            <w:vAlign w:val="bottom"/>
          </w:tcPr>
          <w:p w:rsidR="00B86BD8" w:rsidRPr="006F0B75" w:rsidRDefault="00B86BD8" w:rsidP="00BA71F0">
            <w:pPr>
              <w:pStyle w:val="BodyText"/>
              <w:spacing w:after="120" w:line="240" w:lineRule="auto"/>
              <w:jc w:val="center"/>
              <w:rPr>
                <w:sz w:val="20"/>
              </w:rPr>
            </w:pPr>
            <w:r w:rsidRPr="007E6E5A">
              <w:rPr>
                <w:sz w:val="20"/>
              </w:rPr>
              <w:t>Weight</w:t>
            </w:r>
          </w:p>
        </w:tc>
        <w:tc>
          <w:tcPr>
            <w:tcW w:w="5760" w:type="dxa"/>
            <w:gridSpan w:val="4"/>
            <w:tcBorders>
              <w:top w:val="single" w:sz="12" w:space="0" w:color="000000"/>
              <w:bottom w:val="single" w:sz="4" w:space="0" w:color="auto"/>
            </w:tcBorders>
            <w:vAlign w:val="bottom"/>
          </w:tcPr>
          <w:p w:rsidR="00B86BD8" w:rsidRPr="006F0B75" w:rsidRDefault="00B86BD8" w:rsidP="00BA71F0">
            <w:pPr>
              <w:pStyle w:val="BodyText"/>
              <w:spacing w:after="120" w:line="240" w:lineRule="auto"/>
              <w:jc w:val="center"/>
              <w:rPr>
                <w:sz w:val="20"/>
              </w:rPr>
            </w:pPr>
            <w:r w:rsidRPr="00BC0445">
              <w:rPr>
                <w:sz w:val="20"/>
              </w:rPr>
              <w:t>Value</w:t>
            </w:r>
          </w:p>
        </w:tc>
      </w:tr>
      <w:tr w:rsidR="00B86BD8" w:rsidRPr="00BC0445" w:rsidTr="00BA71F0">
        <w:trPr>
          <w:trHeight w:val="317"/>
        </w:trPr>
        <w:tc>
          <w:tcPr>
            <w:tcW w:w="3042" w:type="dxa"/>
            <w:vMerge/>
            <w:tcBorders>
              <w:bottom w:val="single" w:sz="4" w:space="0" w:color="auto"/>
            </w:tcBorders>
            <w:vAlign w:val="bottom"/>
          </w:tcPr>
          <w:p w:rsidR="00B86BD8" w:rsidRPr="00BC0445" w:rsidRDefault="00B86BD8" w:rsidP="00BA71F0">
            <w:pPr>
              <w:pStyle w:val="BodyText"/>
              <w:spacing w:after="120" w:line="240" w:lineRule="auto"/>
              <w:jc w:val="center"/>
              <w:rPr>
                <w:b/>
                <w:sz w:val="20"/>
              </w:rPr>
            </w:pPr>
          </w:p>
        </w:tc>
        <w:tc>
          <w:tcPr>
            <w:tcW w:w="1440" w:type="dxa"/>
            <w:tcBorders>
              <w:top w:val="single" w:sz="4" w:space="0" w:color="auto"/>
              <w:bottom w:val="single" w:sz="4" w:space="0" w:color="auto"/>
            </w:tcBorders>
            <w:vAlign w:val="bottom"/>
          </w:tcPr>
          <w:p w:rsidR="00B86BD8" w:rsidRPr="00BC0445" w:rsidRDefault="00B86BD8" w:rsidP="00BA71F0">
            <w:pPr>
              <w:pStyle w:val="BodyText"/>
              <w:spacing w:after="120" w:line="240" w:lineRule="auto"/>
              <w:jc w:val="center"/>
              <w:rPr>
                <w:b/>
                <w:sz w:val="20"/>
              </w:rPr>
            </w:pPr>
            <w:r w:rsidRPr="00BC0445">
              <w:rPr>
                <w:b/>
                <w:sz w:val="20"/>
              </w:rPr>
              <w:t>Scenario 1</w:t>
            </w:r>
          </w:p>
        </w:tc>
        <w:tc>
          <w:tcPr>
            <w:tcW w:w="1440" w:type="dxa"/>
            <w:tcBorders>
              <w:top w:val="single" w:sz="4" w:space="0" w:color="auto"/>
              <w:bottom w:val="single" w:sz="4" w:space="0" w:color="auto"/>
            </w:tcBorders>
            <w:vAlign w:val="bottom"/>
          </w:tcPr>
          <w:p w:rsidR="00B86BD8" w:rsidRPr="00BC0445" w:rsidRDefault="00B86BD8" w:rsidP="00BA71F0">
            <w:pPr>
              <w:pStyle w:val="BodyText"/>
              <w:spacing w:after="120" w:line="240" w:lineRule="auto"/>
              <w:jc w:val="center"/>
              <w:rPr>
                <w:b/>
                <w:sz w:val="20"/>
              </w:rPr>
            </w:pPr>
          </w:p>
        </w:tc>
        <w:tc>
          <w:tcPr>
            <w:tcW w:w="1440" w:type="dxa"/>
            <w:tcBorders>
              <w:top w:val="single" w:sz="4" w:space="0" w:color="auto"/>
              <w:bottom w:val="single" w:sz="4" w:space="0" w:color="auto"/>
            </w:tcBorders>
            <w:vAlign w:val="bottom"/>
          </w:tcPr>
          <w:p w:rsidR="00B86BD8" w:rsidRPr="00BC0445" w:rsidRDefault="00B86BD8" w:rsidP="00FC47EE">
            <w:pPr>
              <w:pStyle w:val="BodyText"/>
              <w:spacing w:after="120" w:line="240" w:lineRule="auto"/>
              <w:jc w:val="center"/>
              <w:rPr>
                <w:b/>
                <w:sz w:val="20"/>
              </w:rPr>
            </w:pPr>
            <w:r w:rsidRPr="00BC0445">
              <w:rPr>
                <w:b/>
                <w:sz w:val="20"/>
              </w:rPr>
              <w:t>Scenario 2</w:t>
            </w:r>
          </w:p>
        </w:tc>
        <w:tc>
          <w:tcPr>
            <w:tcW w:w="1440" w:type="dxa"/>
            <w:tcBorders>
              <w:top w:val="single" w:sz="4" w:space="0" w:color="auto"/>
              <w:bottom w:val="single" w:sz="4" w:space="0" w:color="auto"/>
            </w:tcBorders>
            <w:vAlign w:val="bottom"/>
          </w:tcPr>
          <w:p w:rsidR="00B86BD8" w:rsidRPr="00BC0445" w:rsidRDefault="00B86BD8" w:rsidP="00BA71F0">
            <w:pPr>
              <w:pStyle w:val="BodyText"/>
              <w:spacing w:after="120" w:line="240" w:lineRule="auto"/>
              <w:jc w:val="center"/>
              <w:rPr>
                <w:b/>
                <w:sz w:val="20"/>
              </w:rPr>
            </w:pPr>
          </w:p>
        </w:tc>
      </w:tr>
      <w:tr w:rsidR="00B86BD8" w:rsidRPr="00BC0445" w:rsidTr="00BA71F0">
        <w:trPr>
          <w:trHeight w:val="317"/>
        </w:trPr>
        <w:tc>
          <w:tcPr>
            <w:tcW w:w="3042" w:type="dxa"/>
            <w:tcBorders>
              <w:top w:val="single" w:sz="4" w:space="0" w:color="auto"/>
            </w:tcBorders>
          </w:tcPr>
          <w:p w:rsidR="00B86BD8" w:rsidRPr="00BC0445" w:rsidRDefault="00B86BD8" w:rsidP="00BA71F0">
            <w:pPr>
              <w:pStyle w:val="BodyText"/>
              <w:spacing w:line="240" w:lineRule="auto"/>
              <w:rPr>
                <w:sz w:val="20"/>
              </w:rPr>
            </w:pPr>
            <w:r w:rsidRPr="00BC0445">
              <w:rPr>
                <w:sz w:val="20"/>
              </w:rPr>
              <w:t>Catch</w:t>
            </w:r>
          </w:p>
        </w:tc>
        <w:tc>
          <w:tcPr>
            <w:tcW w:w="1440" w:type="dxa"/>
            <w:tcBorders>
              <w:top w:val="single" w:sz="4" w:space="0" w:color="auto"/>
            </w:tcBorders>
          </w:tcPr>
          <w:p w:rsidR="00B86BD8" w:rsidRPr="00BC0445" w:rsidRDefault="00B86BD8" w:rsidP="00BA71F0">
            <w:pPr>
              <w:pStyle w:val="BodyText"/>
              <w:spacing w:line="240" w:lineRule="auto"/>
              <w:jc w:val="right"/>
              <w:rPr>
                <w:sz w:val="20"/>
              </w:rPr>
            </w:pPr>
          </w:p>
        </w:tc>
        <w:tc>
          <w:tcPr>
            <w:tcW w:w="1440" w:type="dxa"/>
            <w:tcBorders>
              <w:top w:val="single" w:sz="4" w:space="0" w:color="auto"/>
            </w:tcBorders>
          </w:tcPr>
          <w:p w:rsidR="00B86BD8" w:rsidRPr="00BC0445" w:rsidRDefault="00B86BD8" w:rsidP="00BA71F0">
            <w:pPr>
              <w:pStyle w:val="BodyText"/>
              <w:spacing w:line="240" w:lineRule="auto"/>
              <w:jc w:val="right"/>
              <w:rPr>
                <w:sz w:val="20"/>
              </w:rPr>
            </w:pPr>
          </w:p>
        </w:tc>
        <w:tc>
          <w:tcPr>
            <w:tcW w:w="1440" w:type="dxa"/>
            <w:tcBorders>
              <w:top w:val="single" w:sz="4" w:space="0" w:color="auto"/>
            </w:tcBorders>
          </w:tcPr>
          <w:p w:rsidR="00B86BD8" w:rsidRPr="00BC0445" w:rsidRDefault="00B86BD8" w:rsidP="00FC47EE">
            <w:pPr>
              <w:pStyle w:val="BodyText"/>
              <w:spacing w:line="240" w:lineRule="auto"/>
              <w:jc w:val="right"/>
              <w:rPr>
                <w:sz w:val="20"/>
              </w:rPr>
            </w:pPr>
          </w:p>
        </w:tc>
        <w:tc>
          <w:tcPr>
            <w:tcW w:w="1440" w:type="dxa"/>
            <w:tcBorders>
              <w:top w:val="single" w:sz="4" w:space="0" w:color="auto"/>
            </w:tcBorders>
          </w:tcPr>
          <w:p w:rsidR="00B86BD8" w:rsidRPr="00BC044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ind w:left="144"/>
              <w:rPr>
                <w:sz w:val="20"/>
              </w:rPr>
            </w:pPr>
            <w:r w:rsidRPr="00BC0445">
              <w:rPr>
                <w:sz w:val="20"/>
              </w:rPr>
              <w:t xml:space="preserve">Retained catch. </w:t>
            </w:r>
            <w:r w:rsidRPr="00BC0445">
              <w:rPr>
                <w:i/>
                <w:sz w:val="20"/>
              </w:rPr>
              <w:sym w:font="Symbol" w:char="F06C"/>
            </w:r>
            <w:r w:rsidRPr="00BC0445">
              <w:rPr>
                <w:i/>
                <w:sz w:val="20"/>
                <w:vertAlign w:val="subscript"/>
              </w:rPr>
              <w:t>r</w:t>
            </w:r>
            <w:r w:rsidRPr="00BC0445">
              <w:rPr>
                <w:sz w:val="20"/>
              </w:rPr>
              <w:t xml:space="preserve"> </w:t>
            </w:r>
          </w:p>
        </w:tc>
        <w:tc>
          <w:tcPr>
            <w:tcW w:w="1440" w:type="dxa"/>
          </w:tcPr>
          <w:p w:rsidR="00B86BD8" w:rsidRPr="00BC0445" w:rsidRDefault="00B86BD8" w:rsidP="00BA71F0">
            <w:pPr>
              <w:pStyle w:val="BodyText"/>
              <w:spacing w:line="240" w:lineRule="auto"/>
              <w:jc w:val="right"/>
              <w:rPr>
                <w:sz w:val="20"/>
              </w:rPr>
            </w:pPr>
            <w:r>
              <w:rPr>
                <w:sz w:val="20"/>
              </w:rPr>
              <w:t>500</w:t>
            </w: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FC47EE">
            <w:pPr>
              <w:pStyle w:val="BodyText"/>
              <w:spacing w:line="240" w:lineRule="auto"/>
              <w:jc w:val="right"/>
              <w:rPr>
                <w:sz w:val="20"/>
              </w:rPr>
            </w:pPr>
            <w:r>
              <w:rPr>
                <w:sz w:val="20"/>
              </w:rPr>
              <w:t>500</w:t>
            </w:r>
          </w:p>
        </w:tc>
        <w:tc>
          <w:tcPr>
            <w:tcW w:w="1440" w:type="dxa"/>
          </w:tcPr>
          <w:p w:rsidR="00B86BD8" w:rsidRPr="00BC044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ind w:left="144"/>
              <w:rPr>
                <w:sz w:val="20"/>
              </w:rPr>
            </w:pPr>
            <w:r>
              <w:rPr>
                <w:sz w:val="20"/>
              </w:rPr>
              <w:t>Total</w:t>
            </w:r>
            <w:r w:rsidRPr="00BC0445">
              <w:rPr>
                <w:sz w:val="20"/>
              </w:rPr>
              <w:t xml:space="preserve"> catch, </w:t>
            </w:r>
            <w:r w:rsidRPr="00BC0445">
              <w:rPr>
                <w:i/>
                <w:sz w:val="20"/>
              </w:rPr>
              <w:sym w:font="Symbol" w:char="F06C"/>
            </w:r>
            <w:r w:rsidRPr="00BC0445">
              <w:rPr>
                <w:i/>
                <w:sz w:val="20"/>
                <w:vertAlign w:val="subscript"/>
              </w:rPr>
              <w:t>D</w:t>
            </w:r>
          </w:p>
        </w:tc>
        <w:tc>
          <w:tcPr>
            <w:tcW w:w="1440" w:type="dxa"/>
          </w:tcPr>
          <w:p w:rsidR="00B86BD8" w:rsidRPr="00BC0445" w:rsidRDefault="00B86BD8" w:rsidP="00BA71F0">
            <w:pPr>
              <w:pStyle w:val="BodyText"/>
              <w:spacing w:line="240" w:lineRule="auto"/>
              <w:jc w:val="right"/>
              <w:rPr>
                <w:sz w:val="20"/>
              </w:rPr>
            </w:pPr>
            <w:r>
              <w:rPr>
                <w:sz w:val="20"/>
              </w:rPr>
              <w:t>50</w:t>
            </w: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FC47EE">
            <w:pPr>
              <w:pStyle w:val="BodyText"/>
              <w:spacing w:line="240" w:lineRule="auto"/>
              <w:jc w:val="right"/>
              <w:rPr>
                <w:sz w:val="20"/>
              </w:rPr>
            </w:pPr>
            <w:r>
              <w:rPr>
                <w:sz w:val="20"/>
              </w:rPr>
              <w:t>50</w:t>
            </w:r>
          </w:p>
        </w:tc>
        <w:tc>
          <w:tcPr>
            <w:tcW w:w="1440" w:type="dxa"/>
          </w:tcPr>
          <w:p w:rsidR="00B86BD8" w:rsidRPr="00BC044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ind w:left="144"/>
              <w:rPr>
                <w:sz w:val="20"/>
              </w:rPr>
            </w:pPr>
            <w:r w:rsidRPr="00BC0445">
              <w:rPr>
                <w:sz w:val="20"/>
              </w:rPr>
              <w:t xml:space="preserve">Groundfish catch, </w:t>
            </w:r>
            <w:r w:rsidRPr="00BC0445">
              <w:rPr>
                <w:i/>
                <w:sz w:val="20"/>
              </w:rPr>
              <w:sym w:font="Symbol" w:char="F06C"/>
            </w:r>
            <w:r w:rsidRPr="00BC0445">
              <w:rPr>
                <w:i/>
                <w:sz w:val="20"/>
                <w:vertAlign w:val="subscript"/>
              </w:rPr>
              <w:t>GD</w:t>
            </w:r>
          </w:p>
        </w:tc>
        <w:tc>
          <w:tcPr>
            <w:tcW w:w="1440" w:type="dxa"/>
          </w:tcPr>
          <w:p w:rsidR="00B86BD8" w:rsidRPr="00BC0445" w:rsidRDefault="00B86BD8" w:rsidP="00BA71F0">
            <w:pPr>
              <w:pStyle w:val="BodyText"/>
              <w:spacing w:line="240" w:lineRule="auto"/>
              <w:jc w:val="right"/>
              <w:rPr>
                <w:sz w:val="20"/>
              </w:rPr>
            </w:pPr>
            <w:r w:rsidRPr="00BC0445">
              <w:rPr>
                <w:sz w:val="20"/>
              </w:rPr>
              <w:t>25</w:t>
            </w: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FC47EE">
            <w:pPr>
              <w:pStyle w:val="BodyText"/>
              <w:spacing w:line="240" w:lineRule="auto"/>
              <w:jc w:val="right"/>
              <w:rPr>
                <w:sz w:val="20"/>
              </w:rPr>
            </w:pPr>
            <w:r w:rsidRPr="00BC0445">
              <w:rPr>
                <w:sz w:val="20"/>
              </w:rPr>
              <w:t>25</w:t>
            </w:r>
          </w:p>
        </w:tc>
        <w:tc>
          <w:tcPr>
            <w:tcW w:w="1440" w:type="dxa"/>
          </w:tcPr>
          <w:p w:rsidR="00B86BD8" w:rsidRPr="00BC0445" w:rsidRDefault="00B86BD8" w:rsidP="00BA71F0">
            <w:pPr>
              <w:pStyle w:val="BodyText"/>
              <w:spacing w:line="240" w:lineRule="auto"/>
              <w:jc w:val="right"/>
              <w:rPr>
                <w:sz w:val="20"/>
              </w:rPr>
            </w:pPr>
          </w:p>
        </w:tc>
      </w:tr>
      <w:tr w:rsidR="00B86BD8" w:rsidRPr="00BC0445" w:rsidTr="00BA71F0">
        <w:trPr>
          <w:trHeight w:val="1044"/>
        </w:trPr>
        <w:tc>
          <w:tcPr>
            <w:tcW w:w="3042" w:type="dxa"/>
          </w:tcPr>
          <w:p w:rsidR="00B86BD8" w:rsidRPr="00BC0445" w:rsidRDefault="00B86BD8" w:rsidP="00BA71F0">
            <w:pPr>
              <w:pStyle w:val="BodyText"/>
              <w:spacing w:line="240" w:lineRule="auto"/>
              <w:rPr>
                <w:sz w:val="20"/>
              </w:rPr>
            </w:pPr>
            <w:r w:rsidRPr="00BC0445">
              <w:rPr>
                <w:sz w:val="20"/>
              </w:rPr>
              <w:t xml:space="preserve">Catch-rate, </w:t>
            </w:r>
            <w:r w:rsidRPr="006F0B75">
              <w:rPr>
                <w:position w:val="-14"/>
                <w:sz w:val="20"/>
              </w:rPr>
              <w:object w:dxaOrig="680" w:dyaOrig="380">
                <v:shape id="_x0000_i1108" type="#_x0000_t75" style="width:33.4pt;height:17.75pt" o:ole="">
                  <v:imagedata r:id="rId242" o:title=""/>
                </v:shape>
                <o:OLEObject Type="Embed" ProgID="Equation.DSMT4" ShapeID="_x0000_i1108" DrawAspect="Content" ObjectID="_1460439780" r:id="rId243"/>
              </w:object>
            </w:r>
            <w:r w:rsidRPr="00BC0445">
              <w:rPr>
                <w:sz w:val="20"/>
              </w:rPr>
              <w:t>:</w:t>
            </w:r>
          </w:p>
          <w:p w:rsidR="00B86BD8" w:rsidRPr="00BC0445" w:rsidRDefault="00B86BD8" w:rsidP="00BA71F0">
            <w:pPr>
              <w:pStyle w:val="BodyText"/>
              <w:spacing w:line="240" w:lineRule="auto"/>
              <w:rPr>
                <w:sz w:val="20"/>
              </w:rPr>
            </w:pPr>
            <w:r w:rsidRPr="00BC0445">
              <w:rPr>
                <w:sz w:val="20"/>
              </w:rPr>
              <w:t xml:space="preserve">      19</w:t>
            </w:r>
            <w:r>
              <w:rPr>
                <w:sz w:val="20"/>
              </w:rPr>
              <w:t>9</w:t>
            </w:r>
            <w:r w:rsidRPr="00BC0445">
              <w:rPr>
                <w:sz w:val="20"/>
              </w:rPr>
              <w:t>5–201</w:t>
            </w:r>
            <w:r>
              <w:rPr>
                <w:sz w:val="20"/>
              </w:rPr>
              <w:t>2</w:t>
            </w:r>
            <w:r w:rsidRPr="00BC0445">
              <w:rPr>
                <w:sz w:val="20"/>
              </w:rPr>
              <w:t xml:space="preserve"> observer </w:t>
            </w:r>
            <w:r>
              <w:rPr>
                <w:sz w:val="20"/>
              </w:rPr>
              <w:t>legal size crab</w:t>
            </w:r>
          </w:p>
        </w:tc>
        <w:tc>
          <w:tcPr>
            <w:tcW w:w="1440" w:type="dxa"/>
          </w:tcPr>
          <w:p w:rsidR="00B86BD8" w:rsidRPr="00BC0445" w:rsidRDefault="00B86BD8" w:rsidP="00BA71F0">
            <w:pPr>
              <w:pStyle w:val="BodyText"/>
              <w:spacing w:line="240" w:lineRule="auto"/>
              <w:jc w:val="right"/>
              <w:rPr>
                <w:sz w:val="20"/>
              </w:rPr>
            </w:pPr>
          </w:p>
          <w:p w:rsidR="00B86BD8" w:rsidRPr="00BC0445" w:rsidRDefault="00B86BD8" w:rsidP="00BA71F0">
            <w:pPr>
              <w:pStyle w:val="BodyText"/>
              <w:spacing w:line="240" w:lineRule="auto"/>
              <w:jc w:val="right"/>
              <w:rPr>
                <w:sz w:val="20"/>
              </w:rPr>
            </w:pPr>
          </w:p>
          <w:p w:rsidR="00B86BD8" w:rsidRPr="00BC0445" w:rsidRDefault="00B86BD8" w:rsidP="00BA71F0">
            <w:pPr>
              <w:pStyle w:val="BodyText"/>
              <w:spacing w:line="240" w:lineRule="auto"/>
              <w:jc w:val="right"/>
              <w:rPr>
                <w:sz w:val="20"/>
              </w:rPr>
            </w:pPr>
          </w:p>
          <w:p w:rsidR="00B86BD8" w:rsidRPr="00BC0445" w:rsidRDefault="00B86BD8" w:rsidP="00BA71F0">
            <w:pPr>
              <w:pStyle w:val="BodyText"/>
              <w:spacing w:line="240" w:lineRule="auto"/>
              <w:jc w:val="right"/>
              <w:rPr>
                <w:sz w:val="20"/>
              </w:rPr>
            </w:pPr>
            <w:r w:rsidRPr="00BC0445">
              <w:rPr>
                <w:sz w:val="20"/>
              </w:rPr>
              <w:t>1</w:t>
            </w:r>
          </w:p>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FC47EE">
            <w:pPr>
              <w:pStyle w:val="BodyText"/>
              <w:spacing w:line="240" w:lineRule="auto"/>
              <w:jc w:val="right"/>
              <w:rPr>
                <w:sz w:val="20"/>
              </w:rPr>
            </w:pPr>
          </w:p>
          <w:p w:rsidR="00B86BD8" w:rsidRPr="00BC0445" w:rsidRDefault="00B86BD8" w:rsidP="00FC47EE">
            <w:pPr>
              <w:pStyle w:val="BodyText"/>
              <w:spacing w:line="240" w:lineRule="auto"/>
              <w:jc w:val="right"/>
              <w:rPr>
                <w:sz w:val="20"/>
              </w:rPr>
            </w:pPr>
          </w:p>
          <w:p w:rsidR="00B86BD8" w:rsidRPr="00BC0445" w:rsidRDefault="00B86BD8" w:rsidP="00FC47EE">
            <w:pPr>
              <w:pStyle w:val="BodyText"/>
              <w:spacing w:line="240" w:lineRule="auto"/>
              <w:jc w:val="right"/>
              <w:rPr>
                <w:sz w:val="20"/>
              </w:rPr>
            </w:pPr>
          </w:p>
          <w:p w:rsidR="00B86BD8" w:rsidRPr="00BC0445" w:rsidRDefault="00B86BD8" w:rsidP="00FC47EE">
            <w:pPr>
              <w:pStyle w:val="BodyText"/>
              <w:spacing w:line="240" w:lineRule="auto"/>
              <w:jc w:val="right"/>
              <w:rPr>
                <w:sz w:val="20"/>
              </w:rPr>
            </w:pPr>
            <w:r w:rsidRPr="00BC0445">
              <w:rPr>
                <w:sz w:val="20"/>
              </w:rPr>
              <w:t>1</w:t>
            </w:r>
          </w:p>
          <w:p w:rsidR="00B86BD8" w:rsidRPr="00BC0445" w:rsidRDefault="00B86BD8" w:rsidP="00FC47EE">
            <w:pPr>
              <w:pStyle w:val="BodyText"/>
              <w:spacing w:line="240" w:lineRule="auto"/>
              <w:jc w:val="right"/>
              <w:rPr>
                <w:sz w:val="20"/>
              </w:rPr>
            </w:pPr>
          </w:p>
        </w:tc>
        <w:tc>
          <w:tcPr>
            <w:tcW w:w="1440" w:type="dxa"/>
          </w:tcPr>
          <w:p w:rsidR="00B86BD8" w:rsidRPr="00BC044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ind w:firstLine="144"/>
              <w:rPr>
                <w:sz w:val="20"/>
              </w:rPr>
            </w:pP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FC47EE">
            <w:pPr>
              <w:pStyle w:val="BodyText"/>
              <w:spacing w:line="240" w:lineRule="auto"/>
              <w:jc w:val="right"/>
              <w:rPr>
                <w:sz w:val="20"/>
              </w:rPr>
            </w:pPr>
          </w:p>
        </w:tc>
        <w:tc>
          <w:tcPr>
            <w:tcW w:w="1440" w:type="dxa"/>
          </w:tcPr>
          <w:p w:rsidR="00B86BD8" w:rsidRPr="00BC044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rPr>
                <w:sz w:val="20"/>
              </w:rPr>
            </w:pPr>
            <w:r w:rsidRPr="00BC0445">
              <w:rPr>
                <w:sz w:val="20"/>
              </w:rPr>
              <w:t>Penalty weights</w:t>
            </w: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FC47EE">
            <w:pPr>
              <w:pStyle w:val="BodyText"/>
              <w:spacing w:line="240" w:lineRule="auto"/>
              <w:jc w:val="right"/>
              <w:rPr>
                <w:sz w:val="20"/>
              </w:rPr>
            </w:pPr>
          </w:p>
        </w:tc>
        <w:tc>
          <w:tcPr>
            <w:tcW w:w="1440" w:type="dxa"/>
          </w:tcPr>
          <w:p w:rsidR="00B86BD8" w:rsidRPr="00BC044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ind w:firstLine="144"/>
              <w:rPr>
                <w:sz w:val="20"/>
              </w:rPr>
            </w:pPr>
            <w:r w:rsidRPr="00BC0445">
              <w:rPr>
                <w:sz w:val="20"/>
              </w:rPr>
              <w:t xml:space="preserve">Pot fishing mortality, </w:t>
            </w:r>
            <w:r w:rsidRPr="006F0B75">
              <w:rPr>
                <w:position w:val="-12"/>
                <w:sz w:val="20"/>
              </w:rPr>
              <w:object w:dxaOrig="300" w:dyaOrig="360">
                <v:shape id="_x0000_i1109" type="#_x0000_t75" style="width:15.65pt;height:17.75pt" o:ole="">
                  <v:imagedata r:id="rId244" o:title=""/>
                </v:shape>
                <o:OLEObject Type="Embed" ProgID="Equation.DSMT4" ShapeID="_x0000_i1109" DrawAspect="Content" ObjectID="_1460439781" r:id="rId245"/>
              </w:object>
            </w:r>
          </w:p>
        </w:tc>
        <w:tc>
          <w:tcPr>
            <w:tcW w:w="1440" w:type="dxa"/>
          </w:tcPr>
          <w:p w:rsidR="00B86BD8" w:rsidRPr="00BC0445" w:rsidRDefault="00B86BD8" w:rsidP="00BA71F0">
            <w:pPr>
              <w:pStyle w:val="BodyText"/>
              <w:spacing w:line="240" w:lineRule="auto"/>
              <w:jc w:val="right"/>
              <w:rPr>
                <w:sz w:val="20"/>
              </w:rPr>
            </w:pPr>
            <w:r>
              <w:rPr>
                <w:sz w:val="20"/>
              </w:rPr>
              <w:t xml:space="preserve">Initially 1000, relaxed to </w:t>
            </w:r>
            <w:r w:rsidRPr="00BC0445">
              <w:rPr>
                <w:sz w:val="20"/>
              </w:rPr>
              <w:t>0.0001</w:t>
            </w:r>
            <w:r>
              <w:rPr>
                <w:sz w:val="20"/>
              </w:rPr>
              <w:t xml:space="preserve"> at the final optimization</w:t>
            </w:r>
          </w:p>
        </w:tc>
        <w:tc>
          <w:tcPr>
            <w:tcW w:w="1440" w:type="dxa"/>
          </w:tcPr>
          <w:p w:rsidR="00B86BD8" w:rsidRDefault="00B86BD8" w:rsidP="00BA71F0"/>
        </w:tc>
        <w:tc>
          <w:tcPr>
            <w:tcW w:w="1440" w:type="dxa"/>
          </w:tcPr>
          <w:p w:rsidR="00B86BD8" w:rsidRDefault="00B86BD8" w:rsidP="00FC47EE">
            <w:r w:rsidRPr="003F5C05">
              <w:t>Initially 1000, relaxed to 0.0001 at the final optimization</w:t>
            </w:r>
          </w:p>
        </w:tc>
        <w:tc>
          <w:tcPr>
            <w:tcW w:w="1440" w:type="dxa"/>
          </w:tcPr>
          <w:p w:rsidR="00B86BD8" w:rsidRDefault="00B86BD8" w:rsidP="00BA71F0"/>
        </w:tc>
      </w:tr>
      <w:tr w:rsidR="00B86BD8" w:rsidRPr="00BC0445" w:rsidTr="00BA71F0">
        <w:trPr>
          <w:trHeight w:val="317"/>
        </w:trPr>
        <w:tc>
          <w:tcPr>
            <w:tcW w:w="3042" w:type="dxa"/>
          </w:tcPr>
          <w:p w:rsidR="00B86BD8" w:rsidRPr="00BC0445" w:rsidRDefault="00B86BD8" w:rsidP="00BA71F0">
            <w:pPr>
              <w:pStyle w:val="BodyText"/>
              <w:spacing w:line="240" w:lineRule="auto"/>
              <w:ind w:firstLine="144"/>
              <w:rPr>
                <w:sz w:val="20"/>
              </w:rPr>
            </w:pPr>
            <w:r w:rsidRPr="00BC0445">
              <w:rPr>
                <w:sz w:val="20"/>
              </w:rPr>
              <w:t xml:space="preserve">Trawl fishing mortality, </w:t>
            </w:r>
            <w:r w:rsidRPr="006F0B75">
              <w:rPr>
                <w:position w:val="-14"/>
                <w:sz w:val="20"/>
              </w:rPr>
              <w:object w:dxaOrig="420" w:dyaOrig="380">
                <v:shape id="_x0000_i1110" type="#_x0000_t75" style="width:22.95pt;height:17.75pt" o:ole="">
                  <v:imagedata r:id="rId246" o:title=""/>
                </v:shape>
                <o:OLEObject Type="Embed" ProgID="Equation.DSMT4" ShapeID="_x0000_i1110" DrawAspect="Content" ObjectID="_1460439782" r:id="rId247"/>
              </w:object>
            </w:r>
          </w:p>
        </w:tc>
        <w:tc>
          <w:tcPr>
            <w:tcW w:w="1440" w:type="dxa"/>
          </w:tcPr>
          <w:p w:rsidR="00B86BD8" w:rsidRPr="00BC0445" w:rsidRDefault="00B86BD8" w:rsidP="00BA71F0">
            <w:pPr>
              <w:pStyle w:val="BodyText"/>
              <w:spacing w:line="240" w:lineRule="auto"/>
              <w:jc w:val="right"/>
              <w:rPr>
                <w:sz w:val="20"/>
              </w:rPr>
            </w:pPr>
            <w:r>
              <w:rPr>
                <w:sz w:val="20"/>
              </w:rPr>
              <w:t>0.0001</w:t>
            </w:r>
          </w:p>
        </w:tc>
        <w:tc>
          <w:tcPr>
            <w:tcW w:w="1440" w:type="dxa"/>
          </w:tcPr>
          <w:p w:rsidR="00B86BD8" w:rsidRPr="00B41D05" w:rsidRDefault="00B86BD8" w:rsidP="00BA71F0">
            <w:pPr>
              <w:pStyle w:val="BodyText"/>
              <w:spacing w:line="240" w:lineRule="auto"/>
              <w:jc w:val="right"/>
              <w:rPr>
                <w:sz w:val="20"/>
              </w:rPr>
            </w:pPr>
          </w:p>
        </w:tc>
        <w:tc>
          <w:tcPr>
            <w:tcW w:w="1440" w:type="dxa"/>
          </w:tcPr>
          <w:p w:rsidR="00B86BD8" w:rsidRPr="00B41D05" w:rsidRDefault="00B86BD8" w:rsidP="00FC47EE">
            <w:pPr>
              <w:pStyle w:val="BodyText"/>
              <w:spacing w:line="240" w:lineRule="auto"/>
              <w:jc w:val="right"/>
              <w:rPr>
                <w:sz w:val="20"/>
              </w:rPr>
            </w:pPr>
            <w:r w:rsidRPr="00EC2190">
              <w:rPr>
                <w:sz w:val="20"/>
              </w:rPr>
              <w:t>0.0001</w:t>
            </w:r>
          </w:p>
        </w:tc>
        <w:tc>
          <w:tcPr>
            <w:tcW w:w="1440" w:type="dxa"/>
          </w:tcPr>
          <w:p w:rsidR="00B86BD8" w:rsidRPr="00B41D0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ind w:firstLine="144"/>
              <w:rPr>
                <w:sz w:val="20"/>
              </w:rPr>
            </w:pPr>
            <w:r w:rsidRPr="00BC0445">
              <w:rPr>
                <w:sz w:val="20"/>
              </w:rPr>
              <w:t xml:space="preserve">Recruitment, </w:t>
            </w:r>
            <w:r w:rsidRPr="006F0B75">
              <w:rPr>
                <w:position w:val="-12"/>
                <w:sz w:val="20"/>
              </w:rPr>
              <w:object w:dxaOrig="300" w:dyaOrig="360">
                <v:shape id="_x0000_i1111" type="#_x0000_t75" style="width:15.65pt;height:17.75pt" o:ole="">
                  <v:imagedata r:id="rId248" o:title=""/>
                </v:shape>
                <o:OLEObject Type="Embed" ProgID="Equation.DSMT4" ShapeID="_x0000_i1111" DrawAspect="Content" ObjectID="_1460439783" r:id="rId249"/>
              </w:object>
            </w:r>
          </w:p>
        </w:tc>
        <w:tc>
          <w:tcPr>
            <w:tcW w:w="1440" w:type="dxa"/>
          </w:tcPr>
          <w:p w:rsidR="00B86BD8" w:rsidRPr="00BC0445" w:rsidRDefault="00B86BD8" w:rsidP="00BA71F0">
            <w:pPr>
              <w:pStyle w:val="BodyText"/>
              <w:spacing w:line="240" w:lineRule="auto"/>
              <w:jc w:val="right"/>
              <w:rPr>
                <w:sz w:val="20"/>
              </w:rPr>
            </w:pPr>
            <w:r>
              <w:rPr>
                <w:sz w:val="20"/>
              </w:rPr>
              <w:t>1.5</w:t>
            </w: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FC47EE">
            <w:pPr>
              <w:pStyle w:val="BodyText"/>
              <w:spacing w:line="240" w:lineRule="auto"/>
              <w:jc w:val="right"/>
              <w:rPr>
                <w:sz w:val="20"/>
              </w:rPr>
            </w:pPr>
            <w:r>
              <w:rPr>
                <w:sz w:val="20"/>
              </w:rPr>
              <w:t>1.5</w:t>
            </w:r>
          </w:p>
        </w:tc>
        <w:tc>
          <w:tcPr>
            <w:tcW w:w="1440" w:type="dxa"/>
          </w:tcPr>
          <w:p w:rsidR="00B86BD8" w:rsidRPr="00BC044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ind w:firstLine="144"/>
              <w:rPr>
                <w:sz w:val="20"/>
              </w:rPr>
            </w:pPr>
            <w:r w:rsidRPr="00BC0445">
              <w:rPr>
                <w:sz w:val="20"/>
              </w:rPr>
              <w:t>Tagging likelihood weight</w:t>
            </w:r>
          </w:p>
        </w:tc>
        <w:tc>
          <w:tcPr>
            <w:tcW w:w="1440" w:type="dxa"/>
          </w:tcPr>
          <w:p w:rsidR="00B86BD8" w:rsidRPr="00BC0445" w:rsidRDefault="00B86BD8" w:rsidP="00BA71F0">
            <w:pPr>
              <w:pStyle w:val="BodyText"/>
              <w:spacing w:line="240" w:lineRule="auto"/>
              <w:jc w:val="right"/>
              <w:rPr>
                <w:sz w:val="20"/>
              </w:rPr>
            </w:pPr>
            <w:r>
              <w:rPr>
                <w:sz w:val="20"/>
              </w:rPr>
              <w:t>0.001</w:t>
            </w:r>
          </w:p>
        </w:tc>
        <w:tc>
          <w:tcPr>
            <w:tcW w:w="1440" w:type="dxa"/>
          </w:tcPr>
          <w:p w:rsidR="00B86BD8" w:rsidRPr="00271ECF" w:rsidRDefault="00B86BD8" w:rsidP="00BA71F0">
            <w:pPr>
              <w:pStyle w:val="BodyText"/>
              <w:spacing w:line="240" w:lineRule="auto"/>
              <w:jc w:val="right"/>
              <w:rPr>
                <w:sz w:val="20"/>
              </w:rPr>
            </w:pPr>
          </w:p>
        </w:tc>
        <w:tc>
          <w:tcPr>
            <w:tcW w:w="1440" w:type="dxa"/>
          </w:tcPr>
          <w:p w:rsidR="00B86BD8" w:rsidRPr="00271ECF" w:rsidRDefault="00B86BD8" w:rsidP="00FC47EE">
            <w:pPr>
              <w:pStyle w:val="BodyText"/>
              <w:spacing w:line="240" w:lineRule="auto"/>
              <w:jc w:val="right"/>
              <w:rPr>
                <w:sz w:val="20"/>
              </w:rPr>
            </w:pPr>
            <w:r w:rsidRPr="00DF5174">
              <w:rPr>
                <w:sz w:val="20"/>
              </w:rPr>
              <w:t>0.001</w:t>
            </w:r>
          </w:p>
        </w:tc>
        <w:tc>
          <w:tcPr>
            <w:tcW w:w="1440" w:type="dxa"/>
          </w:tcPr>
          <w:p w:rsidR="00B86BD8" w:rsidRPr="00271ECF" w:rsidRDefault="00B86BD8" w:rsidP="00BA71F0">
            <w:pPr>
              <w:pStyle w:val="BodyText"/>
              <w:spacing w:line="240" w:lineRule="auto"/>
              <w:jc w:val="right"/>
              <w:rPr>
                <w:sz w:val="20"/>
              </w:rPr>
            </w:pPr>
          </w:p>
        </w:tc>
      </w:tr>
    </w:tbl>
    <w:p w:rsidR="00B86BD8" w:rsidRDefault="00B86BD8" w:rsidP="00BA71F0">
      <w:pPr>
        <w:pStyle w:val="BodyText"/>
        <w:spacing w:line="240" w:lineRule="auto"/>
        <w:rPr>
          <w:i/>
          <w:szCs w:val="22"/>
        </w:rPr>
      </w:pPr>
    </w:p>
    <w:p w:rsidR="00B86BD8" w:rsidRPr="00872096" w:rsidRDefault="00B86BD8" w:rsidP="00BA71F0"/>
    <w:p w:rsidR="00B86BD8" w:rsidRPr="00872096" w:rsidRDefault="00B86BD8" w:rsidP="00BA71F0"/>
    <w:p w:rsidR="00B86BD8" w:rsidRPr="00872096"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Default="00B86BD8" w:rsidP="00BA71F0"/>
    <w:p w:rsidR="00B86BD8" w:rsidRPr="00872096" w:rsidRDefault="00B86BD8" w:rsidP="00BA71F0"/>
    <w:p w:rsidR="00B86BD8" w:rsidRPr="00872096" w:rsidRDefault="00B86BD8" w:rsidP="00BA71F0"/>
    <w:p w:rsidR="00B86BD8" w:rsidRPr="00872096" w:rsidRDefault="00B86BD8" w:rsidP="00BA71F0"/>
    <w:p w:rsidR="00B86BD8" w:rsidRPr="00872096" w:rsidRDefault="00B86BD8" w:rsidP="00BA71F0"/>
    <w:p w:rsidR="00B86BD8" w:rsidRPr="00872096" w:rsidRDefault="00B86BD8" w:rsidP="00BA71F0"/>
    <w:p w:rsidR="00B86BD8" w:rsidRPr="00D55B37" w:rsidRDefault="00B86BD8" w:rsidP="00BA71F0">
      <w:pPr>
        <w:rPr>
          <w:sz w:val="22"/>
          <w:szCs w:val="22"/>
        </w:rPr>
      </w:pPr>
      <w:r>
        <w:rPr>
          <w:sz w:val="22"/>
          <w:szCs w:val="22"/>
        </w:rPr>
        <w:lastRenderedPageBreak/>
        <w:t xml:space="preserve">Table A2b. </w:t>
      </w:r>
      <w:r w:rsidRPr="00D55B37">
        <w:rPr>
          <w:sz w:val="22"/>
          <w:szCs w:val="22"/>
        </w:rPr>
        <w:t>Specifications for the weights for each scenario for WAG.</w:t>
      </w:r>
    </w:p>
    <w:p w:rsidR="00B86BD8" w:rsidRDefault="00B86BD8" w:rsidP="00BA71F0">
      <w:pPr>
        <w:pStyle w:val="BodyText"/>
        <w:spacing w:line="240" w:lineRule="auto"/>
        <w:rPr>
          <w:i/>
          <w:szCs w:val="22"/>
        </w:rPr>
      </w:pPr>
    </w:p>
    <w:tbl>
      <w:tblPr>
        <w:tblW w:w="0" w:type="auto"/>
        <w:tblLook w:val="04A0" w:firstRow="1" w:lastRow="0" w:firstColumn="1" w:lastColumn="0" w:noHBand="0" w:noVBand="1"/>
      </w:tblPr>
      <w:tblGrid>
        <w:gridCol w:w="3042"/>
        <w:gridCol w:w="1440"/>
        <w:gridCol w:w="1440"/>
        <w:gridCol w:w="1440"/>
        <w:gridCol w:w="1440"/>
      </w:tblGrid>
      <w:tr w:rsidR="00B86BD8" w:rsidRPr="00BC0445" w:rsidTr="00BA71F0">
        <w:trPr>
          <w:trHeight w:val="317"/>
        </w:trPr>
        <w:tc>
          <w:tcPr>
            <w:tcW w:w="3042" w:type="dxa"/>
            <w:vMerge w:val="restart"/>
            <w:vAlign w:val="bottom"/>
          </w:tcPr>
          <w:p w:rsidR="00B86BD8" w:rsidRPr="006F0B75" w:rsidRDefault="00B86BD8" w:rsidP="00BA71F0">
            <w:pPr>
              <w:pStyle w:val="BodyText"/>
              <w:spacing w:after="120" w:line="240" w:lineRule="auto"/>
              <w:jc w:val="center"/>
              <w:rPr>
                <w:sz w:val="20"/>
              </w:rPr>
            </w:pPr>
            <w:r w:rsidRPr="007E6E5A">
              <w:rPr>
                <w:sz w:val="20"/>
              </w:rPr>
              <w:t>Weight</w:t>
            </w:r>
          </w:p>
        </w:tc>
        <w:tc>
          <w:tcPr>
            <w:tcW w:w="5760" w:type="dxa"/>
            <w:gridSpan w:val="4"/>
            <w:tcBorders>
              <w:top w:val="single" w:sz="12" w:space="0" w:color="000000"/>
              <w:bottom w:val="single" w:sz="4" w:space="0" w:color="auto"/>
            </w:tcBorders>
            <w:vAlign w:val="bottom"/>
          </w:tcPr>
          <w:p w:rsidR="00B86BD8" w:rsidRPr="006F0B75" w:rsidRDefault="00B86BD8" w:rsidP="00BA71F0">
            <w:pPr>
              <w:pStyle w:val="BodyText"/>
              <w:spacing w:after="120" w:line="240" w:lineRule="auto"/>
              <w:jc w:val="center"/>
              <w:rPr>
                <w:sz w:val="20"/>
              </w:rPr>
            </w:pPr>
            <w:r w:rsidRPr="00BC0445">
              <w:rPr>
                <w:sz w:val="20"/>
              </w:rPr>
              <w:t>Value</w:t>
            </w:r>
          </w:p>
        </w:tc>
      </w:tr>
      <w:tr w:rsidR="00B86BD8" w:rsidRPr="00BC0445" w:rsidTr="00BA71F0">
        <w:trPr>
          <w:trHeight w:val="317"/>
        </w:trPr>
        <w:tc>
          <w:tcPr>
            <w:tcW w:w="3042" w:type="dxa"/>
            <w:vMerge/>
            <w:tcBorders>
              <w:bottom w:val="single" w:sz="4" w:space="0" w:color="auto"/>
            </w:tcBorders>
            <w:vAlign w:val="bottom"/>
          </w:tcPr>
          <w:p w:rsidR="00B86BD8" w:rsidRPr="00BC0445" w:rsidRDefault="00B86BD8" w:rsidP="00BA71F0">
            <w:pPr>
              <w:pStyle w:val="BodyText"/>
              <w:spacing w:after="120" w:line="240" w:lineRule="auto"/>
              <w:jc w:val="center"/>
              <w:rPr>
                <w:b/>
                <w:sz w:val="20"/>
              </w:rPr>
            </w:pPr>
          </w:p>
        </w:tc>
        <w:tc>
          <w:tcPr>
            <w:tcW w:w="1440" w:type="dxa"/>
            <w:tcBorders>
              <w:top w:val="single" w:sz="4" w:space="0" w:color="auto"/>
              <w:bottom w:val="single" w:sz="4" w:space="0" w:color="auto"/>
            </w:tcBorders>
            <w:vAlign w:val="bottom"/>
          </w:tcPr>
          <w:p w:rsidR="00B86BD8" w:rsidRPr="00BC0445" w:rsidRDefault="00B86BD8" w:rsidP="00BA71F0">
            <w:pPr>
              <w:pStyle w:val="BodyText"/>
              <w:spacing w:after="120" w:line="240" w:lineRule="auto"/>
              <w:jc w:val="center"/>
              <w:rPr>
                <w:b/>
                <w:sz w:val="20"/>
              </w:rPr>
            </w:pPr>
            <w:r w:rsidRPr="00BC0445">
              <w:rPr>
                <w:b/>
                <w:sz w:val="20"/>
              </w:rPr>
              <w:t>Scenario 1</w:t>
            </w:r>
          </w:p>
        </w:tc>
        <w:tc>
          <w:tcPr>
            <w:tcW w:w="1440" w:type="dxa"/>
            <w:tcBorders>
              <w:top w:val="single" w:sz="4" w:space="0" w:color="auto"/>
              <w:bottom w:val="single" w:sz="4" w:space="0" w:color="auto"/>
            </w:tcBorders>
            <w:vAlign w:val="bottom"/>
          </w:tcPr>
          <w:p w:rsidR="00B86BD8" w:rsidRPr="00BC0445" w:rsidRDefault="00B86BD8" w:rsidP="00BA71F0">
            <w:pPr>
              <w:pStyle w:val="BodyText"/>
              <w:spacing w:after="120" w:line="240" w:lineRule="auto"/>
              <w:jc w:val="center"/>
              <w:rPr>
                <w:b/>
                <w:sz w:val="20"/>
              </w:rPr>
            </w:pPr>
          </w:p>
        </w:tc>
        <w:tc>
          <w:tcPr>
            <w:tcW w:w="1440" w:type="dxa"/>
            <w:tcBorders>
              <w:top w:val="single" w:sz="4" w:space="0" w:color="auto"/>
              <w:bottom w:val="single" w:sz="4" w:space="0" w:color="auto"/>
            </w:tcBorders>
            <w:vAlign w:val="bottom"/>
          </w:tcPr>
          <w:p w:rsidR="00B86BD8" w:rsidRPr="00BC0445" w:rsidRDefault="00B86BD8" w:rsidP="00FC47EE">
            <w:pPr>
              <w:pStyle w:val="BodyText"/>
              <w:spacing w:after="120" w:line="240" w:lineRule="auto"/>
              <w:jc w:val="center"/>
              <w:rPr>
                <w:b/>
                <w:sz w:val="20"/>
              </w:rPr>
            </w:pPr>
            <w:r w:rsidRPr="00BC0445">
              <w:rPr>
                <w:b/>
                <w:sz w:val="20"/>
              </w:rPr>
              <w:t>Scenario 2</w:t>
            </w:r>
          </w:p>
        </w:tc>
        <w:tc>
          <w:tcPr>
            <w:tcW w:w="1440" w:type="dxa"/>
            <w:tcBorders>
              <w:top w:val="single" w:sz="4" w:space="0" w:color="auto"/>
              <w:bottom w:val="single" w:sz="4" w:space="0" w:color="auto"/>
            </w:tcBorders>
            <w:vAlign w:val="bottom"/>
          </w:tcPr>
          <w:p w:rsidR="00B86BD8" w:rsidRPr="00BC0445" w:rsidRDefault="00B86BD8" w:rsidP="00BA71F0">
            <w:pPr>
              <w:pStyle w:val="BodyText"/>
              <w:spacing w:after="120" w:line="240" w:lineRule="auto"/>
              <w:jc w:val="center"/>
              <w:rPr>
                <w:b/>
                <w:sz w:val="20"/>
              </w:rPr>
            </w:pPr>
          </w:p>
        </w:tc>
      </w:tr>
      <w:tr w:rsidR="00B86BD8" w:rsidRPr="00BC0445" w:rsidTr="00BA71F0">
        <w:trPr>
          <w:trHeight w:val="317"/>
        </w:trPr>
        <w:tc>
          <w:tcPr>
            <w:tcW w:w="3042" w:type="dxa"/>
            <w:tcBorders>
              <w:top w:val="single" w:sz="4" w:space="0" w:color="auto"/>
            </w:tcBorders>
          </w:tcPr>
          <w:p w:rsidR="00B86BD8" w:rsidRPr="00BC0445" w:rsidRDefault="00B86BD8" w:rsidP="00BA71F0">
            <w:pPr>
              <w:pStyle w:val="BodyText"/>
              <w:spacing w:line="240" w:lineRule="auto"/>
              <w:rPr>
                <w:sz w:val="20"/>
              </w:rPr>
            </w:pPr>
            <w:r w:rsidRPr="00BC0445">
              <w:rPr>
                <w:sz w:val="20"/>
              </w:rPr>
              <w:t>Catch</w:t>
            </w:r>
          </w:p>
        </w:tc>
        <w:tc>
          <w:tcPr>
            <w:tcW w:w="1440" w:type="dxa"/>
            <w:tcBorders>
              <w:top w:val="single" w:sz="4" w:space="0" w:color="auto"/>
            </w:tcBorders>
          </w:tcPr>
          <w:p w:rsidR="00B86BD8" w:rsidRPr="00BC0445" w:rsidRDefault="00B86BD8" w:rsidP="00BA71F0">
            <w:pPr>
              <w:pStyle w:val="BodyText"/>
              <w:spacing w:line="240" w:lineRule="auto"/>
              <w:jc w:val="right"/>
              <w:rPr>
                <w:sz w:val="20"/>
              </w:rPr>
            </w:pPr>
          </w:p>
        </w:tc>
        <w:tc>
          <w:tcPr>
            <w:tcW w:w="1440" w:type="dxa"/>
            <w:tcBorders>
              <w:top w:val="single" w:sz="4" w:space="0" w:color="auto"/>
            </w:tcBorders>
          </w:tcPr>
          <w:p w:rsidR="00B86BD8" w:rsidRPr="00BC0445" w:rsidRDefault="00B86BD8" w:rsidP="00BA71F0">
            <w:pPr>
              <w:pStyle w:val="BodyText"/>
              <w:spacing w:line="240" w:lineRule="auto"/>
              <w:jc w:val="right"/>
              <w:rPr>
                <w:sz w:val="20"/>
              </w:rPr>
            </w:pPr>
          </w:p>
        </w:tc>
        <w:tc>
          <w:tcPr>
            <w:tcW w:w="1440" w:type="dxa"/>
            <w:tcBorders>
              <w:top w:val="single" w:sz="4" w:space="0" w:color="auto"/>
            </w:tcBorders>
          </w:tcPr>
          <w:p w:rsidR="00B86BD8" w:rsidRPr="00BC0445" w:rsidRDefault="00B86BD8" w:rsidP="00FC47EE">
            <w:pPr>
              <w:pStyle w:val="BodyText"/>
              <w:spacing w:line="240" w:lineRule="auto"/>
              <w:jc w:val="right"/>
              <w:rPr>
                <w:sz w:val="20"/>
              </w:rPr>
            </w:pPr>
          </w:p>
        </w:tc>
        <w:tc>
          <w:tcPr>
            <w:tcW w:w="1440" w:type="dxa"/>
            <w:tcBorders>
              <w:top w:val="single" w:sz="4" w:space="0" w:color="auto"/>
            </w:tcBorders>
          </w:tcPr>
          <w:p w:rsidR="00B86BD8" w:rsidRPr="00BC044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ind w:left="144"/>
              <w:rPr>
                <w:sz w:val="20"/>
              </w:rPr>
            </w:pPr>
            <w:r w:rsidRPr="00BC0445">
              <w:rPr>
                <w:sz w:val="20"/>
              </w:rPr>
              <w:t xml:space="preserve">Retained catch. </w:t>
            </w:r>
            <w:r w:rsidRPr="00BC0445">
              <w:rPr>
                <w:i/>
                <w:sz w:val="20"/>
              </w:rPr>
              <w:sym w:font="Symbol" w:char="F06C"/>
            </w:r>
            <w:r w:rsidRPr="00BC0445">
              <w:rPr>
                <w:i/>
                <w:sz w:val="20"/>
                <w:vertAlign w:val="subscript"/>
              </w:rPr>
              <w:t>r</w:t>
            </w:r>
            <w:r w:rsidRPr="00BC0445">
              <w:rPr>
                <w:sz w:val="20"/>
              </w:rPr>
              <w:t xml:space="preserve"> </w:t>
            </w:r>
          </w:p>
        </w:tc>
        <w:tc>
          <w:tcPr>
            <w:tcW w:w="1440" w:type="dxa"/>
          </w:tcPr>
          <w:p w:rsidR="00B86BD8" w:rsidRPr="00BC0445" w:rsidRDefault="00B86BD8" w:rsidP="00BA71F0">
            <w:pPr>
              <w:pStyle w:val="BodyText"/>
              <w:spacing w:line="240" w:lineRule="auto"/>
              <w:jc w:val="right"/>
              <w:rPr>
                <w:sz w:val="20"/>
              </w:rPr>
            </w:pPr>
            <w:r>
              <w:rPr>
                <w:sz w:val="20"/>
              </w:rPr>
              <w:t>500</w:t>
            </w: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FC47EE">
            <w:pPr>
              <w:pStyle w:val="BodyText"/>
              <w:spacing w:line="240" w:lineRule="auto"/>
              <w:jc w:val="right"/>
              <w:rPr>
                <w:sz w:val="20"/>
              </w:rPr>
            </w:pPr>
            <w:r>
              <w:rPr>
                <w:sz w:val="20"/>
              </w:rPr>
              <w:t>500</w:t>
            </w:r>
          </w:p>
        </w:tc>
        <w:tc>
          <w:tcPr>
            <w:tcW w:w="1440" w:type="dxa"/>
          </w:tcPr>
          <w:p w:rsidR="00B86BD8" w:rsidRPr="00BC044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ind w:left="144"/>
              <w:rPr>
                <w:sz w:val="20"/>
              </w:rPr>
            </w:pPr>
            <w:r>
              <w:rPr>
                <w:sz w:val="20"/>
              </w:rPr>
              <w:t>Total</w:t>
            </w:r>
            <w:r w:rsidRPr="00BC0445">
              <w:rPr>
                <w:sz w:val="20"/>
              </w:rPr>
              <w:t xml:space="preserve"> catch, </w:t>
            </w:r>
            <w:r w:rsidRPr="00BC0445">
              <w:rPr>
                <w:i/>
                <w:sz w:val="20"/>
              </w:rPr>
              <w:sym w:font="Symbol" w:char="F06C"/>
            </w:r>
            <w:r w:rsidRPr="00BC0445">
              <w:rPr>
                <w:i/>
                <w:sz w:val="20"/>
                <w:vertAlign w:val="subscript"/>
              </w:rPr>
              <w:t>D</w:t>
            </w:r>
          </w:p>
        </w:tc>
        <w:tc>
          <w:tcPr>
            <w:tcW w:w="1440" w:type="dxa"/>
          </w:tcPr>
          <w:p w:rsidR="00B86BD8" w:rsidRPr="00BC0445" w:rsidRDefault="00B86BD8" w:rsidP="00BA71F0">
            <w:pPr>
              <w:pStyle w:val="BodyText"/>
              <w:spacing w:line="240" w:lineRule="auto"/>
              <w:jc w:val="right"/>
              <w:rPr>
                <w:sz w:val="20"/>
              </w:rPr>
            </w:pPr>
            <w:r>
              <w:rPr>
                <w:sz w:val="20"/>
              </w:rPr>
              <w:t>50</w:t>
            </w: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FC47EE">
            <w:pPr>
              <w:pStyle w:val="BodyText"/>
              <w:spacing w:line="240" w:lineRule="auto"/>
              <w:jc w:val="right"/>
              <w:rPr>
                <w:sz w:val="20"/>
              </w:rPr>
            </w:pPr>
            <w:r>
              <w:rPr>
                <w:sz w:val="20"/>
              </w:rPr>
              <w:t>50</w:t>
            </w:r>
          </w:p>
        </w:tc>
        <w:tc>
          <w:tcPr>
            <w:tcW w:w="1440" w:type="dxa"/>
          </w:tcPr>
          <w:p w:rsidR="00B86BD8" w:rsidRPr="00BC044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ind w:left="144"/>
              <w:rPr>
                <w:sz w:val="20"/>
              </w:rPr>
            </w:pPr>
            <w:r w:rsidRPr="00BC0445">
              <w:rPr>
                <w:sz w:val="20"/>
              </w:rPr>
              <w:t xml:space="preserve">Groundfish catch, </w:t>
            </w:r>
            <w:r w:rsidRPr="00BC0445">
              <w:rPr>
                <w:i/>
                <w:sz w:val="20"/>
              </w:rPr>
              <w:sym w:font="Symbol" w:char="F06C"/>
            </w:r>
            <w:r w:rsidRPr="00BC0445">
              <w:rPr>
                <w:i/>
                <w:sz w:val="20"/>
                <w:vertAlign w:val="subscript"/>
              </w:rPr>
              <w:t>GD</w:t>
            </w:r>
          </w:p>
        </w:tc>
        <w:tc>
          <w:tcPr>
            <w:tcW w:w="1440" w:type="dxa"/>
          </w:tcPr>
          <w:p w:rsidR="00B86BD8" w:rsidRPr="00BC0445" w:rsidRDefault="00B86BD8" w:rsidP="00BA71F0">
            <w:pPr>
              <w:pStyle w:val="BodyText"/>
              <w:spacing w:line="240" w:lineRule="auto"/>
              <w:jc w:val="right"/>
              <w:rPr>
                <w:sz w:val="20"/>
              </w:rPr>
            </w:pPr>
            <w:r w:rsidRPr="00BC0445">
              <w:rPr>
                <w:sz w:val="20"/>
              </w:rPr>
              <w:t>25</w:t>
            </w: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FC47EE">
            <w:pPr>
              <w:pStyle w:val="BodyText"/>
              <w:spacing w:line="240" w:lineRule="auto"/>
              <w:jc w:val="right"/>
              <w:rPr>
                <w:sz w:val="20"/>
              </w:rPr>
            </w:pPr>
            <w:r w:rsidRPr="00BC0445">
              <w:rPr>
                <w:sz w:val="20"/>
              </w:rPr>
              <w:t>25</w:t>
            </w:r>
          </w:p>
        </w:tc>
        <w:tc>
          <w:tcPr>
            <w:tcW w:w="1440" w:type="dxa"/>
          </w:tcPr>
          <w:p w:rsidR="00B86BD8" w:rsidRPr="00BC044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rPr>
                <w:sz w:val="20"/>
              </w:rPr>
            </w:pPr>
            <w:r w:rsidRPr="00BC0445">
              <w:rPr>
                <w:sz w:val="20"/>
              </w:rPr>
              <w:t xml:space="preserve">Catch-rate, </w:t>
            </w:r>
            <w:r w:rsidRPr="006F0B75">
              <w:rPr>
                <w:position w:val="-14"/>
                <w:sz w:val="20"/>
              </w:rPr>
              <w:object w:dxaOrig="680" w:dyaOrig="380">
                <v:shape id="_x0000_i1112" type="#_x0000_t75" style="width:33.4pt;height:17.75pt" o:ole="">
                  <v:imagedata r:id="rId242" o:title=""/>
                </v:shape>
                <o:OLEObject Type="Embed" ProgID="Equation.DSMT4" ShapeID="_x0000_i1112" DrawAspect="Content" ObjectID="_1460439784" r:id="rId250"/>
              </w:object>
            </w:r>
            <w:r w:rsidRPr="00BC0445">
              <w:rPr>
                <w:sz w:val="20"/>
              </w:rPr>
              <w:t>:</w:t>
            </w:r>
          </w:p>
          <w:p w:rsidR="00B86BD8" w:rsidRPr="00BC0445" w:rsidRDefault="00B86BD8" w:rsidP="00BA71F0">
            <w:pPr>
              <w:pStyle w:val="BodyText"/>
              <w:spacing w:line="240" w:lineRule="auto"/>
              <w:rPr>
                <w:sz w:val="20"/>
              </w:rPr>
            </w:pPr>
            <w:r w:rsidRPr="00BC0445">
              <w:rPr>
                <w:sz w:val="20"/>
              </w:rPr>
              <w:t xml:space="preserve">      19</w:t>
            </w:r>
            <w:r>
              <w:rPr>
                <w:sz w:val="20"/>
              </w:rPr>
              <w:t>9</w:t>
            </w:r>
            <w:r w:rsidRPr="00BC0445">
              <w:rPr>
                <w:sz w:val="20"/>
              </w:rPr>
              <w:t>5–201</w:t>
            </w:r>
            <w:r>
              <w:rPr>
                <w:sz w:val="20"/>
              </w:rPr>
              <w:t>2</w:t>
            </w:r>
            <w:r w:rsidRPr="00BC0445">
              <w:rPr>
                <w:sz w:val="20"/>
              </w:rPr>
              <w:t xml:space="preserve"> observer </w:t>
            </w:r>
            <w:r>
              <w:rPr>
                <w:sz w:val="20"/>
              </w:rPr>
              <w:t>legal size crab</w:t>
            </w:r>
          </w:p>
        </w:tc>
        <w:tc>
          <w:tcPr>
            <w:tcW w:w="1440" w:type="dxa"/>
          </w:tcPr>
          <w:p w:rsidR="00B86BD8" w:rsidRPr="00BC0445" w:rsidRDefault="00B86BD8" w:rsidP="00BA71F0">
            <w:pPr>
              <w:pStyle w:val="BodyText"/>
              <w:spacing w:line="240" w:lineRule="auto"/>
              <w:jc w:val="right"/>
              <w:rPr>
                <w:sz w:val="20"/>
              </w:rPr>
            </w:pPr>
          </w:p>
          <w:p w:rsidR="00B86BD8" w:rsidRPr="00BC0445" w:rsidRDefault="00B86BD8" w:rsidP="00BA71F0">
            <w:pPr>
              <w:pStyle w:val="BodyText"/>
              <w:spacing w:line="240" w:lineRule="auto"/>
              <w:jc w:val="right"/>
              <w:rPr>
                <w:sz w:val="20"/>
              </w:rPr>
            </w:pPr>
          </w:p>
          <w:p w:rsidR="00B86BD8" w:rsidRPr="00BC0445" w:rsidRDefault="00B86BD8" w:rsidP="00BA71F0">
            <w:pPr>
              <w:pStyle w:val="BodyText"/>
              <w:spacing w:line="240" w:lineRule="auto"/>
              <w:jc w:val="right"/>
              <w:rPr>
                <w:sz w:val="20"/>
              </w:rPr>
            </w:pPr>
          </w:p>
          <w:p w:rsidR="00B86BD8" w:rsidRPr="00BC0445" w:rsidRDefault="00B86BD8" w:rsidP="00BA71F0">
            <w:pPr>
              <w:pStyle w:val="BodyText"/>
              <w:spacing w:line="240" w:lineRule="auto"/>
              <w:jc w:val="right"/>
              <w:rPr>
                <w:sz w:val="20"/>
              </w:rPr>
            </w:pPr>
            <w:r w:rsidRPr="00BC0445">
              <w:rPr>
                <w:sz w:val="20"/>
              </w:rPr>
              <w:t>1</w:t>
            </w:r>
          </w:p>
          <w:p w:rsidR="00B86BD8" w:rsidRPr="00BC0445" w:rsidRDefault="00B86BD8" w:rsidP="00BA71F0">
            <w:pPr>
              <w:pStyle w:val="BodyText"/>
              <w:spacing w:line="240" w:lineRule="auto"/>
              <w:jc w:val="right"/>
              <w:rPr>
                <w:sz w:val="20"/>
              </w:rPr>
            </w:pPr>
          </w:p>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FC47EE">
            <w:pPr>
              <w:pStyle w:val="BodyText"/>
              <w:spacing w:line="240" w:lineRule="auto"/>
              <w:jc w:val="right"/>
              <w:rPr>
                <w:sz w:val="20"/>
              </w:rPr>
            </w:pPr>
          </w:p>
          <w:p w:rsidR="00B86BD8" w:rsidRPr="00BC0445" w:rsidRDefault="00B86BD8" w:rsidP="00FC47EE">
            <w:pPr>
              <w:pStyle w:val="BodyText"/>
              <w:spacing w:line="240" w:lineRule="auto"/>
              <w:jc w:val="right"/>
              <w:rPr>
                <w:sz w:val="20"/>
              </w:rPr>
            </w:pPr>
          </w:p>
          <w:p w:rsidR="00B86BD8" w:rsidRPr="00BC0445" w:rsidRDefault="00B86BD8" w:rsidP="00FC47EE">
            <w:pPr>
              <w:pStyle w:val="BodyText"/>
              <w:spacing w:line="240" w:lineRule="auto"/>
              <w:jc w:val="right"/>
              <w:rPr>
                <w:sz w:val="20"/>
              </w:rPr>
            </w:pPr>
          </w:p>
          <w:p w:rsidR="00B86BD8" w:rsidRPr="00BC0445" w:rsidRDefault="00B86BD8" w:rsidP="00FC47EE">
            <w:pPr>
              <w:pStyle w:val="BodyText"/>
              <w:spacing w:line="240" w:lineRule="auto"/>
              <w:jc w:val="right"/>
              <w:rPr>
                <w:sz w:val="20"/>
              </w:rPr>
            </w:pPr>
            <w:r w:rsidRPr="00BC0445">
              <w:rPr>
                <w:sz w:val="20"/>
              </w:rPr>
              <w:t>1</w:t>
            </w:r>
          </w:p>
          <w:p w:rsidR="00B86BD8" w:rsidRPr="00BC0445" w:rsidRDefault="00B86BD8" w:rsidP="00FC47EE">
            <w:pPr>
              <w:pStyle w:val="BodyText"/>
              <w:spacing w:line="240" w:lineRule="auto"/>
              <w:jc w:val="right"/>
              <w:rPr>
                <w:sz w:val="20"/>
              </w:rPr>
            </w:pPr>
          </w:p>
          <w:p w:rsidR="00B86BD8" w:rsidRPr="00BC0445" w:rsidRDefault="00B86BD8" w:rsidP="00FC47EE">
            <w:pPr>
              <w:pStyle w:val="BodyText"/>
              <w:spacing w:line="240" w:lineRule="auto"/>
              <w:jc w:val="right"/>
              <w:rPr>
                <w:sz w:val="20"/>
              </w:rPr>
            </w:pPr>
          </w:p>
        </w:tc>
        <w:tc>
          <w:tcPr>
            <w:tcW w:w="1440" w:type="dxa"/>
          </w:tcPr>
          <w:p w:rsidR="00B86BD8" w:rsidRPr="00BC044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ind w:firstLine="144"/>
              <w:rPr>
                <w:sz w:val="20"/>
              </w:rPr>
            </w:pP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FC47EE">
            <w:pPr>
              <w:pStyle w:val="BodyText"/>
              <w:spacing w:line="240" w:lineRule="auto"/>
              <w:jc w:val="right"/>
              <w:rPr>
                <w:sz w:val="20"/>
              </w:rPr>
            </w:pPr>
          </w:p>
        </w:tc>
        <w:tc>
          <w:tcPr>
            <w:tcW w:w="1440" w:type="dxa"/>
          </w:tcPr>
          <w:p w:rsidR="00B86BD8" w:rsidRPr="00BC044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rPr>
                <w:sz w:val="20"/>
              </w:rPr>
            </w:pPr>
            <w:r w:rsidRPr="00BC0445">
              <w:rPr>
                <w:sz w:val="20"/>
              </w:rPr>
              <w:t>Penalty weights</w:t>
            </w: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FC47EE">
            <w:pPr>
              <w:pStyle w:val="BodyText"/>
              <w:spacing w:line="240" w:lineRule="auto"/>
              <w:jc w:val="right"/>
              <w:rPr>
                <w:sz w:val="20"/>
              </w:rPr>
            </w:pPr>
          </w:p>
        </w:tc>
        <w:tc>
          <w:tcPr>
            <w:tcW w:w="1440" w:type="dxa"/>
          </w:tcPr>
          <w:p w:rsidR="00B86BD8" w:rsidRPr="00BC044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ind w:firstLine="144"/>
              <w:rPr>
                <w:sz w:val="20"/>
              </w:rPr>
            </w:pPr>
            <w:r w:rsidRPr="00BC0445">
              <w:rPr>
                <w:sz w:val="20"/>
              </w:rPr>
              <w:t xml:space="preserve">Pot fishing mortality, </w:t>
            </w:r>
            <w:r w:rsidRPr="006F0B75">
              <w:rPr>
                <w:position w:val="-12"/>
                <w:sz w:val="20"/>
              </w:rPr>
              <w:object w:dxaOrig="300" w:dyaOrig="360">
                <v:shape id="_x0000_i1113" type="#_x0000_t75" style="width:15.65pt;height:17.75pt" o:ole="">
                  <v:imagedata r:id="rId244" o:title=""/>
                </v:shape>
                <o:OLEObject Type="Embed" ProgID="Equation.DSMT4" ShapeID="_x0000_i1113" DrawAspect="Content" ObjectID="_1460439785" r:id="rId251"/>
              </w:object>
            </w:r>
          </w:p>
        </w:tc>
        <w:tc>
          <w:tcPr>
            <w:tcW w:w="1440" w:type="dxa"/>
          </w:tcPr>
          <w:p w:rsidR="00B86BD8" w:rsidRPr="00BC0445" w:rsidRDefault="00B86BD8" w:rsidP="00BA71F0">
            <w:pPr>
              <w:pStyle w:val="BodyText"/>
              <w:spacing w:line="240" w:lineRule="auto"/>
              <w:jc w:val="right"/>
              <w:rPr>
                <w:sz w:val="20"/>
              </w:rPr>
            </w:pPr>
            <w:r>
              <w:rPr>
                <w:sz w:val="20"/>
              </w:rPr>
              <w:t xml:space="preserve">Initially 1000, relaxed to </w:t>
            </w:r>
            <w:r w:rsidRPr="00BC0445">
              <w:rPr>
                <w:sz w:val="20"/>
              </w:rPr>
              <w:t>0.0001</w:t>
            </w:r>
            <w:r>
              <w:rPr>
                <w:sz w:val="20"/>
              </w:rPr>
              <w:t xml:space="preserve"> at the final optimization</w:t>
            </w:r>
          </w:p>
        </w:tc>
        <w:tc>
          <w:tcPr>
            <w:tcW w:w="1440" w:type="dxa"/>
          </w:tcPr>
          <w:p w:rsidR="00B86BD8" w:rsidRDefault="00B86BD8" w:rsidP="00BA71F0"/>
        </w:tc>
        <w:tc>
          <w:tcPr>
            <w:tcW w:w="1440" w:type="dxa"/>
          </w:tcPr>
          <w:p w:rsidR="00B86BD8" w:rsidRDefault="00B86BD8" w:rsidP="00FC47EE">
            <w:r w:rsidRPr="003F5C05">
              <w:t>Initially 1000, relaxed to 0.0001 at the final optimization</w:t>
            </w:r>
          </w:p>
        </w:tc>
        <w:tc>
          <w:tcPr>
            <w:tcW w:w="1440" w:type="dxa"/>
          </w:tcPr>
          <w:p w:rsidR="00B86BD8" w:rsidRDefault="00B86BD8" w:rsidP="00BA71F0"/>
        </w:tc>
      </w:tr>
      <w:tr w:rsidR="00B86BD8" w:rsidRPr="00BC0445" w:rsidTr="00BA71F0">
        <w:trPr>
          <w:trHeight w:val="317"/>
        </w:trPr>
        <w:tc>
          <w:tcPr>
            <w:tcW w:w="3042" w:type="dxa"/>
          </w:tcPr>
          <w:p w:rsidR="00B86BD8" w:rsidRPr="00BC0445" w:rsidRDefault="00B86BD8" w:rsidP="00BA71F0">
            <w:pPr>
              <w:pStyle w:val="BodyText"/>
              <w:spacing w:line="240" w:lineRule="auto"/>
              <w:ind w:firstLine="144"/>
              <w:rPr>
                <w:sz w:val="20"/>
              </w:rPr>
            </w:pPr>
            <w:r w:rsidRPr="00BC0445">
              <w:rPr>
                <w:sz w:val="20"/>
              </w:rPr>
              <w:t xml:space="preserve">Trawl fishing mortality, </w:t>
            </w:r>
            <w:r w:rsidRPr="006F0B75">
              <w:rPr>
                <w:position w:val="-14"/>
                <w:sz w:val="20"/>
              </w:rPr>
              <w:object w:dxaOrig="420" w:dyaOrig="380">
                <v:shape id="_x0000_i1114" type="#_x0000_t75" style="width:22.95pt;height:17.75pt" o:ole="">
                  <v:imagedata r:id="rId246" o:title=""/>
                </v:shape>
                <o:OLEObject Type="Embed" ProgID="Equation.DSMT4" ShapeID="_x0000_i1114" DrawAspect="Content" ObjectID="_1460439786" r:id="rId252"/>
              </w:object>
            </w:r>
          </w:p>
        </w:tc>
        <w:tc>
          <w:tcPr>
            <w:tcW w:w="1440" w:type="dxa"/>
          </w:tcPr>
          <w:p w:rsidR="00B86BD8" w:rsidRPr="00BC0445" w:rsidRDefault="00B86BD8" w:rsidP="00BA71F0">
            <w:pPr>
              <w:pStyle w:val="BodyText"/>
              <w:spacing w:line="240" w:lineRule="auto"/>
              <w:jc w:val="right"/>
              <w:rPr>
                <w:sz w:val="20"/>
              </w:rPr>
            </w:pPr>
            <w:r>
              <w:rPr>
                <w:sz w:val="20"/>
              </w:rPr>
              <w:t>2.0</w:t>
            </w:r>
          </w:p>
        </w:tc>
        <w:tc>
          <w:tcPr>
            <w:tcW w:w="1440" w:type="dxa"/>
          </w:tcPr>
          <w:p w:rsidR="00B86BD8" w:rsidRPr="00B41D05" w:rsidRDefault="00B86BD8" w:rsidP="00BA71F0">
            <w:pPr>
              <w:pStyle w:val="BodyText"/>
              <w:spacing w:line="240" w:lineRule="auto"/>
              <w:jc w:val="right"/>
              <w:rPr>
                <w:sz w:val="20"/>
              </w:rPr>
            </w:pPr>
          </w:p>
        </w:tc>
        <w:tc>
          <w:tcPr>
            <w:tcW w:w="1440" w:type="dxa"/>
          </w:tcPr>
          <w:p w:rsidR="00B86BD8" w:rsidRPr="00B41D05" w:rsidRDefault="00B86BD8" w:rsidP="00FC47EE">
            <w:pPr>
              <w:pStyle w:val="BodyText"/>
              <w:spacing w:line="240" w:lineRule="auto"/>
              <w:jc w:val="right"/>
              <w:rPr>
                <w:sz w:val="20"/>
              </w:rPr>
            </w:pPr>
            <w:r>
              <w:rPr>
                <w:sz w:val="20"/>
              </w:rPr>
              <w:t>2.0</w:t>
            </w:r>
          </w:p>
        </w:tc>
        <w:tc>
          <w:tcPr>
            <w:tcW w:w="1440" w:type="dxa"/>
          </w:tcPr>
          <w:p w:rsidR="00B86BD8" w:rsidRPr="00B41D0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ind w:firstLine="144"/>
              <w:rPr>
                <w:sz w:val="20"/>
              </w:rPr>
            </w:pPr>
            <w:r w:rsidRPr="00BC0445">
              <w:rPr>
                <w:sz w:val="20"/>
              </w:rPr>
              <w:t xml:space="preserve">Recruitment, </w:t>
            </w:r>
            <w:r w:rsidRPr="006F0B75">
              <w:rPr>
                <w:position w:val="-12"/>
                <w:sz w:val="20"/>
              </w:rPr>
              <w:object w:dxaOrig="300" w:dyaOrig="360">
                <v:shape id="_x0000_i1115" type="#_x0000_t75" style="width:15.65pt;height:17.75pt" o:ole="">
                  <v:imagedata r:id="rId248" o:title=""/>
                </v:shape>
                <o:OLEObject Type="Embed" ProgID="Equation.DSMT4" ShapeID="_x0000_i1115" DrawAspect="Content" ObjectID="_1460439787" r:id="rId253"/>
              </w:object>
            </w:r>
          </w:p>
        </w:tc>
        <w:tc>
          <w:tcPr>
            <w:tcW w:w="1440" w:type="dxa"/>
          </w:tcPr>
          <w:p w:rsidR="00B86BD8" w:rsidRPr="00BC0445" w:rsidRDefault="00B86BD8" w:rsidP="00BA71F0">
            <w:pPr>
              <w:pStyle w:val="BodyText"/>
              <w:spacing w:line="240" w:lineRule="auto"/>
              <w:jc w:val="right"/>
              <w:rPr>
                <w:sz w:val="20"/>
              </w:rPr>
            </w:pPr>
            <w:r>
              <w:rPr>
                <w:sz w:val="20"/>
              </w:rPr>
              <w:t>1.5</w:t>
            </w:r>
          </w:p>
        </w:tc>
        <w:tc>
          <w:tcPr>
            <w:tcW w:w="1440" w:type="dxa"/>
          </w:tcPr>
          <w:p w:rsidR="00B86BD8" w:rsidRPr="00BC0445" w:rsidRDefault="00B86BD8" w:rsidP="00BA71F0">
            <w:pPr>
              <w:pStyle w:val="BodyText"/>
              <w:spacing w:line="240" w:lineRule="auto"/>
              <w:jc w:val="right"/>
              <w:rPr>
                <w:sz w:val="20"/>
              </w:rPr>
            </w:pPr>
          </w:p>
        </w:tc>
        <w:tc>
          <w:tcPr>
            <w:tcW w:w="1440" w:type="dxa"/>
          </w:tcPr>
          <w:p w:rsidR="00B86BD8" w:rsidRPr="00BC0445" w:rsidRDefault="00B86BD8" w:rsidP="00FC47EE">
            <w:pPr>
              <w:pStyle w:val="BodyText"/>
              <w:spacing w:line="240" w:lineRule="auto"/>
              <w:jc w:val="right"/>
              <w:rPr>
                <w:sz w:val="20"/>
              </w:rPr>
            </w:pPr>
            <w:r>
              <w:rPr>
                <w:sz w:val="20"/>
              </w:rPr>
              <w:t>1.5</w:t>
            </w:r>
          </w:p>
        </w:tc>
        <w:tc>
          <w:tcPr>
            <w:tcW w:w="1440" w:type="dxa"/>
          </w:tcPr>
          <w:p w:rsidR="00B86BD8" w:rsidRPr="00BC0445" w:rsidRDefault="00B86BD8" w:rsidP="00BA71F0">
            <w:pPr>
              <w:pStyle w:val="BodyText"/>
              <w:spacing w:line="240" w:lineRule="auto"/>
              <w:jc w:val="right"/>
              <w:rPr>
                <w:sz w:val="20"/>
              </w:rPr>
            </w:pPr>
          </w:p>
        </w:tc>
      </w:tr>
      <w:tr w:rsidR="00B86BD8" w:rsidRPr="00BC0445" w:rsidTr="00BA71F0">
        <w:trPr>
          <w:trHeight w:val="317"/>
        </w:trPr>
        <w:tc>
          <w:tcPr>
            <w:tcW w:w="3042" w:type="dxa"/>
          </w:tcPr>
          <w:p w:rsidR="00B86BD8" w:rsidRPr="00BC0445" w:rsidRDefault="00B86BD8" w:rsidP="00BA71F0">
            <w:pPr>
              <w:pStyle w:val="BodyText"/>
              <w:spacing w:line="240" w:lineRule="auto"/>
              <w:ind w:firstLine="144"/>
              <w:rPr>
                <w:sz w:val="20"/>
              </w:rPr>
            </w:pPr>
            <w:r w:rsidRPr="00BC0445">
              <w:rPr>
                <w:sz w:val="20"/>
              </w:rPr>
              <w:t>Tagging likelihood weight</w:t>
            </w:r>
          </w:p>
        </w:tc>
        <w:tc>
          <w:tcPr>
            <w:tcW w:w="1440" w:type="dxa"/>
          </w:tcPr>
          <w:p w:rsidR="00B86BD8" w:rsidRPr="00BC0445" w:rsidRDefault="00B86BD8" w:rsidP="00BA71F0">
            <w:pPr>
              <w:pStyle w:val="BodyText"/>
              <w:spacing w:line="240" w:lineRule="auto"/>
              <w:jc w:val="right"/>
              <w:rPr>
                <w:sz w:val="20"/>
              </w:rPr>
            </w:pPr>
            <w:r>
              <w:rPr>
                <w:sz w:val="20"/>
              </w:rPr>
              <w:t>0.001</w:t>
            </w:r>
          </w:p>
        </w:tc>
        <w:tc>
          <w:tcPr>
            <w:tcW w:w="1440" w:type="dxa"/>
          </w:tcPr>
          <w:p w:rsidR="00B86BD8" w:rsidRPr="00271ECF" w:rsidRDefault="00B86BD8" w:rsidP="00BA71F0">
            <w:pPr>
              <w:pStyle w:val="BodyText"/>
              <w:spacing w:line="240" w:lineRule="auto"/>
              <w:jc w:val="right"/>
              <w:rPr>
                <w:sz w:val="20"/>
              </w:rPr>
            </w:pPr>
          </w:p>
        </w:tc>
        <w:tc>
          <w:tcPr>
            <w:tcW w:w="1440" w:type="dxa"/>
          </w:tcPr>
          <w:p w:rsidR="00B86BD8" w:rsidRPr="00271ECF" w:rsidRDefault="00B86BD8" w:rsidP="00FC47EE">
            <w:pPr>
              <w:pStyle w:val="BodyText"/>
              <w:spacing w:line="240" w:lineRule="auto"/>
              <w:jc w:val="right"/>
              <w:rPr>
                <w:sz w:val="20"/>
              </w:rPr>
            </w:pPr>
            <w:r w:rsidRPr="00DF5174">
              <w:rPr>
                <w:sz w:val="20"/>
              </w:rPr>
              <w:t>0.001</w:t>
            </w:r>
          </w:p>
        </w:tc>
        <w:tc>
          <w:tcPr>
            <w:tcW w:w="1440" w:type="dxa"/>
          </w:tcPr>
          <w:p w:rsidR="00B86BD8" w:rsidRPr="00271ECF" w:rsidRDefault="00B86BD8" w:rsidP="00BA71F0">
            <w:pPr>
              <w:pStyle w:val="BodyText"/>
              <w:spacing w:line="240" w:lineRule="auto"/>
              <w:jc w:val="right"/>
              <w:rPr>
                <w:sz w:val="20"/>
              </w:rPr>
            </w:pPr>
          </w:p>
        </w:tc>
      </w:tr>
    </w:tbl>
    <w:p w:rsidR="00B86BD8" w:rsidRDefault="00B86BD8" w:rsidP="00BA71F0">
      <w:pPr>
        <w:spacing w:line="360" w:lineRule="auto"/>
        <w:rPr>
          <w:sz w:val="22"/>
          <w:szCs w:val="22"/>
        </w:rPr>
      </w:pPr>
    </w:p>
    <w:p w:rsidR="00B86BD8" w:rsidRDefault="00B86BD8"/>
    <w:p w:rsidR="00B86BD8" w:rsidRDefault="00B86BD8" w:rsidP="00BA71F0"/>
    <w:p w:rsidR="00B86BD8" w:rsidRPr="0026671D" w:rsidRDefault="00B86BD8" w:rsidP="00BA71F0"/>
    <w:p w:rsidR="00B86BD8" w:rsidRDefault="00B86BD8">
      <w:pPr>
        <w:rPr>
          <w:snapToGrid w:val="0"/>
          <w:szCs w:val="24"/>
          <w:lang w:eastAsia="fr-FR"/>
        </w:rPr>
      </w:pPr>
    </w:p>
    <w:p w:rsidR="00FC31B8" w:rsidRDefault="00FC31B8">
      <w:pPr>
        <w:rPr>
          <w:snapToGrid w:val="0"/>
          <w:szCs w:val="24"/>
          <w:lang w:eastAsia="fr-FR"/>
        </w:rPr>
      </w:pPr>
    </w:p>
    <w:sectPr w:rsidR="00FC31B8" w:rsidSect="006F21C0">
      <w:footerReference w:type="even" r:id="rId254"/>
      <w:footerReference w:type="default" r:id="rId255"/>
      <w:footerReference w:type="first" r:id="rId2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8D8" w:rsidRDefault="00A358D8">
      <w:r>
        <w:separator/>
      </w:r>
    </w:p>
  </w:endnote>
  <w:endnote w:type="continuationSeparator" w:id="0">
    <w:p w:rsidR="00A358D8" w:rsidRDefault="00A35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5440"/>
      <w:docPartObj>
        <w:docPartGallery w:val="Page Numbers (Bottom of Page)"/>
        <w:docPartUnique/>
      </w:docPartObj>
    </w:sdtPr>
    <w:sdtEndPr/>
    <w:sdtContent>
      <w:p w:rsidR="00B86BD8" w:rsidRDefault="00B86BD8">
        <w:pPr>
          <w:pStyle w:val="Footer"/>
          <w:jc w:val="center"/>
        </w:pPr>
        <w:r>
          <w:fldChar w:fldCharType="begin"/>
        </w:r>
        <w:r>
          <w:instrText xml:space="preserve"> PAGE   \* MERGEFORMAT </w:instrText>
        </w:r>
        <w:r>
          <w:fldChar w:fldCharType="separate"/>
        </w:r>
        <w:r w:rsidR="009374C7">
          <w:rPr>
            <w:noProof/>
          </w:rPr>
          <w:t>2</w:t>
        </w:r>
        <w:r>
          <w:rPr>
            <w:noProof/>
          </w:rPr>
          <w:fldChar w:fldCharType="end"/>
        </w:r>
      </w:p>
    </w:sdtContent>
  </w:sdt>
  <w:p w:rsidR="00B86BD8" w:rsidRDefault="00B86BD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5445"/>
      <w:docPartObj>
        <w:docPartGallery w:val="Page Numbers (Bottom of Page)"/>
        <w:docPartUnique/>
      </w:docPartObj>
    </w:sdtPr>
    <w:sdtEndPr/>
    <w:sdtContent>
      <w:p w:rsidR="00756AD2" w:rsidRDefault="00756AD2">
        <w:pPr>
          <w:pStyle w:val="Footer"/>
          <w:jc w:val="center"/>
        </w:pPr>
        <w:r>
          <w:fldChar w:fldCharType="begin"/>
        </w:r>
        <w:r>
          <w:instrText xml:space="preserve"> PAGE   \* MERGEFORMAT </w:instrText>
        </w:r>
        <w:r>
          <w:fldChar w:fldCharType="separate"/>
        </w:r>
        <w:r w:rsidR="009374C7">
          <w:rPr>
            <w:noProof/>
          </w:rPr>
          <w:t>106</w:t>
        </w:r>
        <w:r>
          <w:rPr>
            <w:noProof/>
          </w:rPr>
          <w:fldChar w:fldCharType="end"/>
        </w:r>
      </w:p>
    </w:sdtContent>
  </w:sdt>
  <w:p w:rsidR="00756AD2" w:rsidRDefault="00756AD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5444"/>
      <w:docPartObj>
        <w:docPartGallery w:val="Page Numbers (Bottom of Page)"/>
        <w:docPartUnique/>
      </w:docPartObj>
    </w:sdtPr>
    <w:sdtEndPr/>
    <w:sdtContent>
      <w:p w:rsidR="00756AD2" w:rsidRDefault="00756AD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56AD2" w:rsidRDefault="00756AD2" w:rsidP="00E13E2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5439"/>
      <w:docPartObj>
        <w:docPartGallery w:val="Page Numbers (Bottom of Page)"/>
        <w:docPartUnique/>
      </w:docPartObj>
    </w:sdtPr>
    <w:sdtEndPr/>
    <w:sdtContent>
      <w:p w:rsidR="00B86BD8" w:rsidRDefault="00B86BD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86BD8" w:rsidRDefault="00B86B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BD8" w:rsidRDefault="00B86B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86BD8" w:rsidRDefault="00B86BD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5443"/>
      <w:docPartObj>
        <w:docPartGallery w:val="Page Numbers (Bottom of Page)"/>
        <w:docPartUnique/>
      </w:docPartObj>
    </w:sdtPr>
    <w:sdtEndPr/>
    <w:sdtContent>
      <w:p w:rsidR="00B86BD8" w:rsidRDefault="00B86BD8">
        <w:pPr>
          <w:pStyle w:val="Footer"/>
          <w:jc w:val="center"/>
        </w:pPr>
        <w:r>
          <w:fldChar w:fldCharType="begin"/>
        </w:r>
        <w:r>
          <w:instrText xml:space="preserve"> PAGE   \* MERGEFORMAT </w:instrText>
        </w:r>
        <w:r>
          <w:fldChar w:fldCharType="separate"/>
        </w:r>
        <w:r w:rsidR="009374C7">
          <w:rPr>
            <w:noProof/>
          </w:rPr>
          <w:t>63</w:t>
        </w:r>
        <w:r>
          <w:rPr>
            <w:noProof/>
          </w:rPr>
          <w:fldChar w:fldCharType="end"/>
        </w:r>
      </w:p>
    </w:sdtContent>
  </w:sdt>
  <w:p w:rsidR="00B86BD8" w:rsidRDefault="00B86BD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5442"/>
      <w:docPartObj>
        <w:docPartGallery w:val="Page Numbers (Bottom of Page)"/>
        <w:docPartUnique/>
      </w:docPartObj>
    </w:sdtPr>
    <w:sdtEndPr/>
    <w:sdtContent>
      <w:p w:rsidR="00B86BD8" w:rsidRDefault="00B86BD8">
        <w:pPr>
          <w:pStyle w:val="Footer"/>
          <w:jc w:val="center"/>
        </w:pPr>
        <w:r>
          <w:fldChar w:fldCharType="begin"/>
        </w:r>
        <w:r>
          <w:instrText xml:space="preserve"> PAGE   \* MERGEFORMAT </w:instrText>
        </w:r>
        <w:r>
          <w:fldChar w:fldCharType="separate"/>
        </w:r>
        <w:r w:rsidR="009374C7">
          <w:rPr>
            <w:noProof/>
          </w:rPr>
          <w:t>41</w:t>
        </w:r>
        <w:r>
          <w:rPr>
            <w:noProof/>
          </w:rPr>
          <w:fldChar w:fldCharType="end"/>
        </w:r>
      </w:p>
    </w:sdtContent>
  </w:sdt>
  <w:p w:rsidR="00B86BD8" w:rsidRDefault="00B86BD8" w:rsidP="00E13E28">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BD8" w:rsidRDefault="00B86B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86BD8" w:rsidRDefault="00B86BD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8602384"/>
      <w:docPartObj>
        <w:docPartGallery w:val="Page Numbers (Bottom of Page)"/>
        <w:docPartUnique/>
      </w:docPartObj>
    </w:sdtPr>
    <w:sdtEndPr/>
    <w:sdtContent>
      <w:p w:rsidR="00B86BD8" w:rsidRDefault="00B86BD8">
        <w:pPr>
          <w:pStyle w:val="Footer"/>
          <w:jc w:val="center"/>
        </w:pPr>
        <w:r>
          <w:fldChar w:fldCharType="begin"/>
        </w:r>
        <w:r>
          <w:instrText xml:space="preserve"> PAGE   \* MERGEFORMAT </w:instrText>
        </w:r>
        <w:r>
          <w:fldChar w:fldCharType="separate"/>
        </w:r>
        <w:r w:rsidR="009374C7">
          <w:rPr>
            <w:noProof/>
          </w:rPr>
          <w:t>97</w:t>
        </w:r>
        <w:r>
          <w:rPr>
            <w:noProof/>
          </w:rPr>
          <w:fldChar w:fldCharType="end"/>
        </w:r>
      </w:p>
    </w:sdtContent>
  </w:sdt>
  <w:p w:rsidR="00B86BD8" w:rsidRDefault="00B86BD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096299"/>
      <w:docPartObj>
        <w:docPartGallery w:val="Page Numbers (Bottom of Page)"/>
        <w:docPartUnique/>
      </w:docPartObj>
    </w:sdtPr>
    <w:sdtEndPr/>
    <w:sdtContent>
      <w:p w:rsidR="00B86BD8" w:rsidRDefault="00B86BD8">
        <w:pPr>
          <w:pStyle w:val="Footer"/>
          <w:jc w:val="center"/>
        </w:pPr>
        <w:r>
          <w:fldChar w:fldCharType="begin"/>
        </w:r>
        <w:r>
          <w:instrText xml:space="preserve"> PAGE   \* MERGEFORMAT </w:instrText>
        </w:r>
        <w:r>
          <w:fldChar w:fldCharType="separate"/>
        </w:r>
        <w:r w:rsidR="009374C7">
          <w:rPr>
            <w:noProof/>
          </w:rPr>
          <w:t>74</w:t>
        </w:r>
        <w:r>
          <w:rPr>
            <w:noProof/>
          </w:rPr>
          <w:fldChar w:fldCharType="end"/>
        </w:r>
      </w:p>
    </w:sdtContent>
  </w:sdt>
  <w:p w:rsidR="00B86BD8" w:rsidRDefault="00B86BD8" w:rsidP="00E13E28">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AD2" w:rsidRDefault="00756A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56AD2" w:rsidRDefault="00756A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8D8" w:rsidRDefault="00A358D8">
      <w:r>
        <w:separator/>
      </w:r>
    </w:p>
  </w:footnote>
  <w:footnote w:type="continuationSeparator" w:id="0">
    <w:p w:rsidR="00A358D8" w:rsidRDefault="00A358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51B63"/>
    <w:multiLevelType w:val="hybridMultilevel"/>
    <w:tmpl w:val="11C411F4"/>
    <w:lvl w:ilvl="0" w:tplc="0E4E3F06">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7C3A41"/>
    <w:multiLevelType w:val="hybridMultilevel"/>
    <w:tmpl w:val="7C1CD8C4"/>
    <w:lvl w:ilvl="0" w:tplc="DB0AA58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nsid w:val="13DD3BAF"/>
    <w:multiLevelType w:val="hybridMultilevel"/>
    <w:tmpl w:val="F48E6B64"/>
    <w:lvl w:ilvl="0" w:tplc="425AF0D8">
      <w:start w:val="1"/>
      <w:numFmt w:val="decimal"/>
      <w:lvlText w:val="%1."/>
      <w:lvlJc w:val="left"/>
      <w:pPr>
        <w:ind w:left="54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1CC60693"/>
    <w:multiLevelType w:val="hybridMultilevel"/>
    <w:tmpl w:val="6E206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7D1C4D"/>
    <w:multiLevelType w:val="hybridMultilevel"/>
    <w:tmpl w:val="6B504016"/>
    <w:lvl w:ilvl="0" w:tplc="0E6C9A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E0E02DF"/>
    <w:multiLevelType w:val="hybridMultilevel"/>
    <w:tmpl w:val="C9F8D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825A55"/>
    <w:multiLevelType w:val="hybridMultilevel"/>
    <w:tmpl w:val="11DC6E12"/>
    <w:lvl w:ilvl="0" w:tplc="9808FBB6">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32AD4EA0"/>
    <w:multiLevelType w:val="hybridMultilevel"/>
    <w:tmpl w:val="C270F3E0"/>
    <w:lvl w:ilvl="0" w:tplc="CCAED3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3B01CB0"/>
    <w:multiLevelType w:val="hybridMultilevel"/>
    <w:tmpl w:val="5F664464"/>
    <w:lvl w:ilvl="0" w:tplc="F3E65C7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9B925B9"/>
    <w:multiLevelType w:val="hybridMultilevel"/>
    <w:tmpl w:val="72B8A1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C22480"/>
    <w:multiLevelType w:val="hybridMultilevel"/>
    <w:tmpl w:val="E39C8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437A39"/>
    <w:multiLevelType w:val="hybridMultilevel"/>
    <w:tmpl w:val="7C007150"/>
    <w:lvl w:ilvl="0" w:tplc="EE48DE7A">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2">
    <w:nsid w:val="52246C5B"/>
    <w:multiLevelType w:val="hybridMultilevel"/>
    <w:tmpl w:val="02862A42"/>
    <w:lvl w:ilvl="0" w:tplc="9F7E35B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B11FBC"/>
    <w:multiLevelType w:val="hybridMultilevel"/>
    <w:tmpl w:val="55D8CEB0"/>
    <w:lvl w:ilvl="0" w:tplc="6BA4E4C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56524002"/>
    <w:multiLevelType w:val="hybridMultilevel"/>
    <w:tmpl w:val="9232132A"/>
    <w:lvl w:ilvl="0" w:tplc="870C3A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1A37FB"/>
    <w:multiLevelType w:val="hybridMultilevel"/>
    <w:tmpl w:val="B262E83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A8E35CF"/>
    <w:multiLevelType w:val="hybridMultilevel"/>
    <w:tmpl w:val="4A786EAA"/>
    <w:lvl w:ilvl="0" w:tplc="461C28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17C1493"/>
    <w:multiLevelType w:val="hybridMultilevel"/>
    <w:tmpl w:val="7C4A8526"/>
    <w:lvl w:ilvl="0" w:tplc="E3466FC6">
      <w:start w:val="1"/>
      <w:numFmt w:val="lowerRoman"/>
      <w:lvlText w:val="(%1)"/>
      <w:lvlJc w:val="left"/>
      <w:pPr>
        <w:ind w:left="1860" w:hanging="720"/>
      </w:pPr>
      <w:rPr>
        <w:rFonts w:hint="default"/>
        <w:i/>
        <w:sz w:val="22"/>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8">
    <w:nsid w:val="643D35A4"/>
    <w:multiLevelType w:val="hybridMultilevel"/>
    <w:tmpl w:val="CD163D9E"/>
    <w:lvl w:ilvl="0" w:tplc="77883B7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6EBA287C"/>
    <w:multiLevelType w:val="hybridMultilevel"/>
    <w:tmpl w:val="EB4C5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770123"/>
    <w:multiLevelType w:val="hybridMultilevel"/>
    <w:tmpl w:val="3F8AE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F712E7"/>
    <w:multiLevelType w:val="hybridMultilevel"/>
    <w:tmpl w:val="92B48004"/>
    <w:lvl w:ilvl="0" w:tplc="ABB4AE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76128D4"/>
    <w:multiLevelType w:val="hybridMultilevel"/>
    <w:tmpl w:val="EEF23994"/>
    <w:lvl w:ilvl="0" w:tplc="D88E77D0">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3">
    <w:nsid w:val="777811A5"/>
    <w:multiLevelType w:val="hybridMultilevel"/>
    <w:tmpl w:val="10BEC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D4420F"/>
    <w:multiLevelType w:val="hybridMultilevel"/>
    <w:tmpl w:val="D9A06FD0"/>
    <w:lvl w:ilvl="0" w:tplc="280EF75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23"/>
  </w:num>
  <w:num w:numId="2">
    <w:abstractNumId w:val="8"/>
  </w:num>
  <w:num w:numId="3">
    <w:abstractNumId w:val="20"/>
  </w:num>
  <w:num w:numId="4">
    <w:abstractNumId w:val="13"/>
  </w:num>
  <w:num w:numId="5">
    <w:abstractNumId w:val="5"/>
  </w:num>
  <w:num w:numId="6">
    <w:abstractNumId w:val="9"/>
  </w:num>
  <w:num w:numId="7">
    <w:abstractNumId w:val="4"/>
  </w:num>
  <w:num w:numId="8">
    <w:abstractNumId w:val="0"/>
  </w:num>
  <w:num w:numId="9">
    <w:abstractNumId w:val="10"/>
  </w:num>
  <w:num w:numId="10">
    <w:abstractNumId w:val="16"/>
  </w:num>
  <w:num w:numId="11">
    <w:abstractNumId w:val="7"/>
  </w:num>
  <w:num w:numId="12">
    <w:abstractNumId w:val="19"/>
  </w:num>
  <w:num w:numId="13">
    <w:abstractNumId w:val="2"/>
  </w:num>
  <w:num w:numId="14">
    <w:abstractNumId w:val="14"/>
  </w:num>
  <w:num w:numId="15">
    <w:abstractNumId w:val="2"/>
    <w:lvlOverride w:ilvl="0">
      <w:startOverride w:val="1"/>
    </w:lvlOverride>
  </w:num>
  <w:num w:numId="16">
    <w:abstractNumId w:val="6"/>
  </w:num>
  <w:num w:numId="17">
    <w:abstractNumId w:val="22"/>
  </w:num>
  <w:num w:numId="18">
    <w:abstractNumId w:val="3"/>
  </w:num>
  <w:num w:numId="19">
    <w:abstractNumId w:val="24"/>
  </w:num>
  <w:num w:numId="20">
    <w:abstractNumId w:val="18"/>
  </w:num>
  <w:num w:numId="21">
    <w:abstractNumId w:val="1"/>
  </w:num>
  <w:num w:numId="22">
    <w:abstractNumId w:val="11"/>
  </w:num>
  <w:num w:numId="23">
    <w:abstractNumId w:val="17"/>
  </w:num>
  <w:num w:numId="24">
    <w:abstractNumId w:val="21"/>
  </w:num>
  <w:num w:numId="25">
    <w:abstractNumId w:val="15"/>
  </w:num>
  <w:num w:numId="26">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BAA"/>
    <w:rsid w:val="00000584"/>
    <w:rsid w:val="00001129"/>
    <w:rsid w:val="00001A69"/>
    <w:rsid w:val="00002A7C"/>
    <w:rsid w:val="00003F25"/>
    <w:rsid w:val="00005D8F"/>
    <w:rsid w:val="00006486"/>
    <w:rsid w:val="0000659F"/>
    <w:rsid w:val="00006771"/>
    <w:rsid w:val="00006FF7"/>
    <w:rsid w:val="00007161"/>
    <w:rsid w:val="000114BD"/>
    <w:rsid w:val="00012408"/>
    <w:rsid w:val="00012532"/>
    <w:rsid w:val="00012C66"/>
    <w:rsid w:val="0001322A"/>
    <w:rsid w:val="00014727"/>
    <w:rsid w:val="00014ED5"/>
    <w:rsid w:val="00015B7F"/>
    <w:rsid w:val="00015F71"/>
    <w:rsid w:val="00016B1C"/>
    <w:rsid w:val="00017336"/>
    <w:rsid w:val="000173DA"/>
    <w:rsid w:val="00017D6B"/>
    <w:rsid w:val="00017DC2"/>
    <w:rsid w:val="00020193"/>
    <w:rsid w:val="00020A49"/>
    <w:rsid w:val="000218A0"/>
    <w:rsid w:val="000235DB"/>
    <w:rsid w:val="00023FA7"/>
    <w:rsid w:val="00024022"/>
    <w:rsid w:val="000248BB"/>
    <w:rsid w:val="00024B95"/>
    <w:rsid w:val="00025183"/>
    <w:rsid w:val="000259CA"/>
    <w:rsid w:val="00026BFB"/>
    <w:rsid w:val="000276AC"/>
    <w:rsid w:val="00031A83"/>
    <w:rsid w:val="00031C2A"/>
    <w:rsid w:val="00031F31"/>
    <w:rsid w:val="000322C9"/>
    <w:rsid w:val="00033494"/>
    <w:rsid w:val="000335A2"/>
    <w:rsid w:val="00034075"/>
    <w:rsid w:val="000342B4"/>
    <w:rsid w:val="00034661"/>
    <w:rsid w:val="00035E93"/>
    <w:rsid w:val="00036346"/>
    <w:rsid w:val="000368EB"/>
    <w:rsid w:val="00036A71"/>
    <w:rsid w:val="000400FD"/>
    <w:rsid w:val="000404BF"/>
    <w:rsid w:val="00040BFC"/>
    <w:rsid w:val="00041858"/>
    <w:rsid w:val="00041B77"/>
    <w:rsid w:val="000421E0"/>
    <w:rsid w:val="00042226"/>
    <w:rsid w:val="00043BD1"/>
    <w:rsid w:val="00044DFA"/>
    <w:rsid w:val="00045543"/>
    <w:rsid w:val="000467FC"/>
    <w:rsid w:val="00047252"/>
    <w:rsid w:val="00047F30"/>
    <w:rsid w:val="000501A2"/>
    <w:rsid w:val="0005024E"/>
    <w:rsid w:val="000516AB"/>
    <w:rsid w:val="000519AA"/>
    <w:rsid w:val="00052E67"/>
    <w:rsid w:val="0005320B"/>
    <w:rsid w:val="000542FB"/>
    <w:rsid w:val="00055A67"/>
    <w:rsid w:val="00057FD7"/>
    <w:rsid w:val="00060538"/>
    <w:rsid w:val="0006067D"/>
    <w:rsid w:val="000615CF"/>
    <w:rsid w:val="0006165E"/>
    <w:rsid w:val="000617C8"/>
    <w:rsid w:val="00062048"/>
    <w:rsid w:val="000627C8"/>
    <w:rsid w:val="00062AA9"/>
    <w:rsid w:val="000639FF"/>
    <w:rsid w:val="0006404C"/>
    <w:rsid w:val="0006421F"/>
    <w:rsid w:val="00064857"/>
    <w:rsid w:val="00066609"/>
    <w:rsid w:val="00066CAC"/>
    <w:rsid w:val="000673A9"/>
    <w:rsid w:val="0006778F"/>
    <w:rsid w:val="00067DB2"/>
    <w:rsid w:val="00070078"/>
    <w:rsid w:val="00072D30"/>
    <w:rsid w:val="00072F4B"/>
    <w:rsid w:val="000730AD"/>
    <w:rsid w:val="0007471B"/>
    <w:rsid w:val="00074C1B"/>
    <w:rsid w:val="00074CCF"/>
    <w:rsid w:val="0007558A"/>
    <w:rsid w:val="00075B2A"/>
    <w:rsid w:val="00077310"/>
    <w:rsid w:val="0007766A"/>
    <w:rsid w:val="0007781F"/>
    <w:rsid w:val="000800B4"/>
    <w:rsid w:val="00080175"/>
    <w:rsid w:val="00081983"/>
    <w:rsid w:val="00081A30"/>
    <w:rsid w:val="00082679"/>
    <w:rsid w:val="00083D2D"/>
    <w:rsid w:val="000851B7"/>
    <w:rsid w:val="00086642"/>
    <w:rsid w:val="000903A9"/>
    <w:rsid w:val="00092CA9"/>
    <w:rsid w:val="00093056"/>
    <w:rsid w:val="00093ACD"/>
    <w:rsid w:val="00095027"/>
    <w:rsid w:val="00095349"/>
    <w:rsid w:val="000953CF"/>
    <w:rsid w:val="000957E0"/>
    <w:rsid w:val="00096C52"/>
    <w:rsid w:val="00097019"/>
    <w:rsid w:val="000A2191"/>
    <w:rsid w:val="000A2D78"/>
    <w:rsid w:val="000A2EDD"/>
    <w:rsid w:val="000A3C27"/>
    <w:rsid w:val="000A4B86"/>
    <w:rsid w:val="000A6486"/>
    <w:rsid w:val="000A6B14"/>
    <w:rsid w:val="000A6CC2"/>
    <w:rsid w:val="000B04B7"/>
    <w:rsid w:val="000B1925"/>
    <w:rsid w:val="000B24CD"/>
    <w:rsid w:val="000B328B"/>
    <w:rsid w:val="000B43E4"/>
    <w:rsid w:val="000B48CA"/>
    <w:rsid w:val="000B57F9"/>
    <w:rsid w:val="000B7A85"/>
    <w:rsid w:val="000C15EC"/>
    <w:rsid w:val="000C1E56"/>
    <w:rsid w:val="000C21DA"/>
    <w:rsid w:val="000C32E9"/>
    <w:rsid w:val="000C33DF"/>
    <w:rsid w:val="000C3AF1"/>
    <w:rsid w:val="000C3F30"/>
    <w:rsid w:val="000C4737"/>
    <w:rsid w:val="000C5344"/>
    <w:rsid w:val="000C54C4"/>
    <w:rsid w:val="000C5EB8"/>
    <w:rsid w:val="000C636E"/>
    <w:rsid w:val="000C6A9B"/>
    <w:rsid w:val="000C7452"/>
    <w:rsid w:val="000D0B89"/>
    <w:rsid w:val="000D1961"/>
    <w:rsid w:val="000D20C0"/>
    <w:rsid w:val="000D2229"/>
    <w:rsid w:val="000D223A"/>
    <w:rsid w:val="000D2532"/>
    <w:rsid w:val="000D2895"/>
    <w:rsid w:val="000D2BFA"/>
    <w:rsid w:val="000D2E3E"/>
    <w:rsid w:val="000D3947"/>
    <w:rsid w:val="000D5359"/>
    <w:rsid w:val="000D55B3"/>
    <w:rsid w:val="000D56D8"/>
    <w:rsid w:val="000D5A01"/>
    <w:rsid w:val="000D6B32"/>
    <w:rsid w:val="000D6DED"/>
    <w:rsid w:val="000D6FE6"/>
    <w:rsid w:val="000D7365"/>
    <w:rsid w:val="000D782E"/>
    <w:rsid w:val="000E0EFF"/>
    <w:rsid w:val="000E3BF2"/>
    <w:rsid w:val="000E3D1E"/>
    <w:rsid w:val="000E4E7D"/>
    <w:rsid w:val="000E5006"/>
    <w:rsid w:val="000F06E5"/>
    <w:rsid w:val="000F086F"/>
    <w:rsid w:val="000F220D"/>
    <w:rsid w:val="000F28BD"/>
    <w:rsid w:val="000F2B10"/>
    <w:rsid w:val="000F3964"/>
    <w:rsid w:val="000F4602"/>
    <w:rsid w:val="000F497A"/>
    <w:rsid w:val="000F5502"/>
    <w:rsid w:val="000F5906"/>
    <w:rsid w:val="000F5B70"/>
    <w:rsid w:val="000F5EF8"/>
    <w:rsid w:val="000F657B"/>
    <w:rsid w:val="000F6CD6"/>
    <w:rsid w:val="000F773C"/>
    <w:rsid w:val="000F7964"/>
    <w:rsid w:val="00100B54"/>
    <w:rsid w:val="0010357E"/>
    <w:rsid w:val="001036E5"/>
    <w:rsid w:val="0010689F"/>
    <w:rsid w:val="001069C2"/>
    <w:rsid w:val="001075A8"/>
    <w:rsid w:val="00110D2D"/>
    <w:rsid w:val="00111C5C"/>
    <w:rsid w:val="00111E4B"/>
    <w:rsid w:val="0011218F"/>
    <w:rsid w:val="001124DC"/>
    <w:rsid w:val="00112EAA"/>
    <w:rsid w:val="0011304D"/>
    <w:rsid w:val="00113DF5"/>
    <w:rsid w:val="00113FEC"/>
    <w:rsid w:val="0011444B"/>
    <w:rsid w:val="001154CC"/>
    <w:rsid w:val="00116866"/>
    <w:rsid w:val="001169EF"/>
    <w:rsid w:val="00116D94"/>
    <w:rsid w:val="00117424"/>
    <w:rsid w:val="00117427"/>
    <w:rsid w:val="00117CF1"/>
    <w:rsid w:val="001219A0"/>
    <w:rsid w:val="00122E5C"/>
    <w:rsid w:val="00122FE5"/>
    <w:rsid w:val="00123405"/>
    <w:rsid w:val="0012553C"/>
    <w:rsid w:val="00126416"/>
    <w:rsid w:val="00127BD1"/>
    <w:rsid w:val="001301EA"/>
    <w:rsid w:val="0013074C"/>
    <w:rsid w:val="00132308"/>
    <w:rsid w:val="00132347"/>
    <w:rsid w:val="001339B2"/>
    <w:rsid w:val="00133EBE"/>
    <w:rsid w:val="0013559D"/>
    <w:rsid w:val="0013627A"/>
    <w:rsid w:val="0013753A"/>
    <w:rsid w:val="001379E9"/>
    <w:rsid w:val="00140D85"/>
    <w:rsid w:val="00140DF8"/>
    <w:rsid w:val="00142BB5"/>
    <w:rsid w:val="001432CF"/>
    <w:rsid w:val="00143C9F"/>
    <w:rsid w:val="001447F4"/>
    <w:rsid w:val="001460B2"/>
    <w:rsid w:val="00146EE2"/>
    <w:rsid w:val="00147390"/>
    <w:rsid w:val="00153B45"/>
    <w:rsid w:val="00153E3B"/>
    <w:rsid w:val="00153FF8"/>
    <w:rsid w:val="0015403F"/>
    <w:rsid w:val="001549DF"/>
    <w:rsid w:val="00155B64"/>
    <w:rsid w:val="00156586"/>
    <w:rsid w:val="001567C2"/>
    <w:rsid w:val="001569C7"/>
    <w:rsid w:val="00156BD8"/>
    <w:rsid w:val="00156CB4"/>
    <w:rsid w:val="00156E0D"/>
    <w:rsid w:val="0015716B"/>
    <w:rsid w:val="0015778D"/>
    <w:rsid w:val="00157965"/>
    <w:rsid w:val="00157BCF"/>
    <w:rsid w:val="00157C22"/>
    <w:rsid w:val="00162A42"/>
    <w:rsid w:val="0016317B"/>
    <w:rsid w:val="00163323"/>
    <w:rsid w:val="0016380E"/>
    <w:rsid w:val="00163884"/>
    <w:rsid w:val="00163CDB"/>
    <w:rsid w:val="001649E9"/>
    <w:rsid w:val="001653E8"/>
    <w:rsid w:val="0016542D"/>
    <w:rsid w:val="001658EC"/>
    <w:rsid w:val="00166D43"/>
    <w:rsid w:val="001670D8"/>
    <w:rsid w:val="00167A5B"/>
    <w:rsid w:val="00167A5C"/>
    <w:rsid w:val="001700DC"/>
    <w:rsid w:val="00170357"/>
    <w:rsid w:val="0017079B"/>
    <w:rsid w:val="00171B56"/>
    <w:rsid w:val="001724EA"/>
    <w:rsid w:val="0017298A"/>
    <w:rsid w:val="00172D1E"/>
    <w:rsid w:val="0017378F"/>
    <w:rsid w:val="00173D05"/>
    <w:rsid w:val="00174136"/>
    <w:rsid w:val="00174EFC"/>
    <w:rsid w:val="001753CA"/>
    <w:rsid w:val="00175588"/>
    <w:rsid w:val="001772AF"/>
    <w:rsid w:val="001773B7"/>
    <w:rsid w:val="001778C6"/>
    <w:rsid w:val="00180835"/>
    <w:rsid w:val="00182910"/>
    <w:rsid w:val="00183F00"/>
    <w:rsid w:val="001840EE"/>
    <w:rsid w:val="00184131"/>
    <w:rsid w:val="001854FE"/>
    <w:rsid w:val="00185775"/>
    <w:rsid w:val="001865B5"/>
    <w:rsid w:val="00186B7F"/>
    <w:rsid w:val="00186BFE"/>
    <w:rsid w:val="0018727E"/>
    <w:rsid w:val="00187683"/>
    <w:rsid w:val="00187923"/>
    <w:rsid w:val="00190097"/>
    <w:rsid w:val="001900A4"/>
    <w:rsid w:val="001904BB"/>
    <w:rsid w:val="001906C8"/>
    <w:rsid w:val="001926B1"/>
    <w:rsid w:val="00192BE7"/>
    <w:rsid w:val="00193AA7"/>
    <w:rsid w:val="00194B88"/>
    <w:rsid w:val="00195404"/>
    <w:rsid w:val="00195B3C"/>
    <w:rsid w:val="00196037"/>
    <w:rsid w:val="00197D18"/>
    <w:rsid w:val="001A0A3A"/>
    <w:rsid w:val="001A0A9E"/>
    <w:rsid w:val="001A1618"/>
    <w:rsid w:val="001A1D25"/>
    <w:rsid w:val="001A1E00"/>
    <w:rsid w:val="001A3DA4"/>
    <w:rsid w:val="001A467A"/>
    <w:rsid w:val="001A63D8"/>
    <w:rsid w:val="001A64DF"/>
    <w:rsid w:val="001A7215"/>
    <w:rsid w:val="001B00F2"/>
    <w:rsid w:val="001B0384"/>
    <w:rsid w:val="001B059E"/>
    <w:rsid w:val="001B063D"/>
    <w:rsid w:val="001B06FB"/>
    <w:rsid w:val="001B0AB1"/>
    <w:rsid w:val="001B1E9F"/>
    <w:rsid w:val="001B31D8"/>
    <w:rsid w:val="001B37C3"/>
    <w:rsid w:val="001B40E2"/>
    <w:rsid w:val="001B4198"/>
    <w:rsid w:val="001B49B9"/>
    <w:rsid w:val="001B51AC"/>
    <w:rsid w:val="001B5F82"/>
    <w:rsid w:val="001B6AF3"/>
    <w:rsid w:val="001B7D19"/>
    <w:rsid w:val="001C02F9"/>
    <w:rsid w:val="001C089A"/>
    <w:rsid w:val="001C2FA3"/>
    <w:rsid w:val="001C423A"/>
    <w:rsid w:val="001C4509"/>
    <w:rsid w:val="001C46B9"/>
    <w:rsid w:val="001C48F9"/>
    <w:rsid w:val="001C4C47"/>
    <w:rsid w:val="001C5089"/>
    <w:rsid w:val="001C6404"/>
    <w:rsid w:val="001D23A9"/>
    <w:rsid w:val="001D24BA"/>
    <w:rsid w:val="001D28E9"/>
    <w:rsid w:val="001D36B0"/>
    <w:rsid w:val="001D4562"/>
    <w:rsid w:val="001E04EE"/>
    <w:rsid w:val="001E0A8D"/>
    <w:rsid w:val="001E14B2"/>
    <w:rsid w:val="001E21FD"/>
    <w:rsid w:val="001E2DA4"/>
    <w:rsid w:val="001E2E86"/>
    <w:rsid w:val="001E3E22"/>
    <w:rsid w:val="001E4D11"/>
    <w:rsid w:val="001E6898"/>
    <w:rsid w:val="001F083A"/>
    <w:rsid w:val="001F09A6"/>
    <w:rsid w:val="001F180A"/>
    <w:rsid w:val="001F1DC5"/>
    <w:rsid w:val="001F2319"/>
    <w:rsid w:val="001F2D0A"/>
    <w:rsid w:val="001F3020"/>
    <w:rsid w:val="001F32F4"/>
    <w:rsid w:val="001F3327"/>
    <w:rsid w:val="001F4082"/>
    <w:rsid w:val="001F45C8"/>
    <w:rsid w:val="001F5797"/>
    <w:rsid w:val="001F5A4F"/>
    <w:rsid w:val="001F6164"/>
    <w:rsid w:val="001F6261"/>
    <w:rsid w:val="001F649C"/>
    <w:rsid w:val="001F697A"/>
    <w:rsid w:val="001F6C97"/>
    <w:rsid w:val="001F771C"/>
    <w:rsid w:val="001F7BAA"/>
    <w:rsid w:val="001F7C1F"/>
    <w:rsid w:val="001F7EE0"/>
    <w:rsid w:val="00200BC6"/>
    <w:rsid w:val="0020134B"/>
    <w:rsid w:val="00201F83"/>
    <w:rsid w:val="00202329"/>
    <w:rsid w:val="00202343"/>
    <w:rsid w:val="0020380D"/>
    <w:rsid w:val="00205E57"/>
    <w:rsid w:val="002060E9"/>
    <w:rsid w:val="0020656D"/>
    <w:rsid w:val="00206978"/>
    <w:rsid w:val="002079AA"/>
    <w:rsid w:val="00207DBA"/>
    <w:rsid w:val="00210057"/>
    <w:rsid w:val="00210463"/>
    <w:rsid w:val="00210CFB"/>
    <w:rsid w:val="00213DFE"/>
    <w:rsid w:val="00214587"/>
    <w:rsid w:val="0021511E"/>
    <w:rsid w:val="002169FA"/>
    <w:rsid w:val="00217663"/>
    <w:rsid w:val="00220E0E"/>
    <w:rsid w:val="002212C3"/>
    <w:rsid w:val="00221636"/>
    <w:rsid w:val="002216F7"/>
    <w:rsid w:val="00222373"/>
    <w:rsid w:val="00223337"/>
    <w:rsid w:val="00223D98"/>
    <w:rsid w:val="00223E49"/>
    <w:rsid w:val="00223F1E"/>
    <w:rsid w:val="002257C7"/>
    <w:rsid w:val="002277F8"/>
    <w:rsid w:val="00227A20"/>
    <w:rsid w:val="00230331"/>
    <w:rsid w:val="002306C6"/>
    <w:rsid w:val="00231BE2"/>
    <w:rsid w:val="00232508"/>
    <w:rsid w:val="00232AB7"/>
    <w:rsid w:val="00232B2E"/>
    <w:rsid w:val="00232C60"/>
    <w:rsid w:val="002347EC"/>
    <w:rsid w:val="00235D73"/>
    <w:rsid w:val="00236406"/>
    <w:rsid w:val="00236C4A"/>
    <w:rsid w:val="0023702B"/>
    <w:rsid w:val="00237235"/>
    <w:rsid w:val="002379F6"/>
    <w:rsid w:val="00237FAC"/>
    <w:rsid w:val="00241003"/>
    <w:rsid w:val="0024254B"/>
    <w:rsid w:val="00243677"/>
    <w:rsid w:val="00243BDA"/>
    <w:rsid w:val="0024418C"/>
    <w:rsid w:val="00245148"/>
    <w:rsid w:val="00245430"/>
    <w:rsid w:val="0024551E"/>
    <w:rsid w:val="00245E91"/>
    <w:rsid w:val="00246533"/>
    <w:rsid w:val="00246BA1"/>
    <w:rsid w:val="00246D90"/>
    <w:rsid w:val="00247E36"/>
    <w:rsid w:val="00251244"/>
    <w:rsid w:val="00251A5E"/>
    <w:rsid w:val="00252CDA"/>
    <w:rsid w:val="0025314E"/>
    <w:rsid w:val="00253624"/>
    <w:rsid w:val="002537C5"/>
    <w:rsid w:val="00253DB0"/>
    <w:rsid w:val="002548FC"/>
    <w:rsid w:val="0025491C"/>
    <w:rsid w:val="00255F16"/>
    <w:rsid w:val="00256331"/>
    <w:rsid w:val="002563F6"/>
    <w:rsid w:val="00257D67"/>
    <w:rsid w:val="00260943"/>
    <w:rsid w:val="002632A3"/>
    <w:rsid w:val="00263A7B"/>
    <w:rsid w:val="00263E2D"/>
    <w:rsid w:val="00264D5E"/>
    <w:rsid w:val="002654AB"/>
    <w:rsid w:val="00265733"/>
    <w:rsid w:val="002669FD"/>
    <w:rsid w:val="00267C84"/>
    <w:rsid w:val="00267EFC"/>
    <w:rsid w:val="00270826"/>
    <w:rsid w:val="00270B42"/>
    <w:rsid w:val="00271266"/>
    <w:rsid w:val="00271AEA"/>
    <w:rsid w:val="00271FBC"/>
    <w:rsid w:val="00271FDF"/>
    <w:rsid w:val="0027216B"/>
    <w:rsid w:val="00273114"/>
    <w:rsid w:val="002734B4"/>
    <w:rsid w:val="00273A07"/>
    <w:rsid w:val="0027512C"/>
    <w:rsid w:val="002766D9"/>
    <w:rsid w:val="00276949"/>
    <w:rsid w:val="00276F7B"/>
    <w:rsid w:val="002770A3"/>
    <w:rsid w:val="00277D9A"/>
    <w:rsid w:val="00280FFD"/>
    <w:rsid w:val="00281DA1"/>
    <w:rsid w:val="00281F48"/>
    <w:rsid w:val="002822B5"/>
    <w:rsid w:val="00282E82"/>
    <w:rsid w:val="00283A4C"/>
    <w:rsid w:val="0028469F"/>
    <w:rsid w:val="002852FA"/>
    <w:rsid w:val="0028606B"/>
    <w:rsid w:val="002875E7"/>
    <w:rsid w:val="00287642"/>
    <w:rsid w:val="002878A5"/>
    <w:rsid w:val="002901AC"/>
    <w:rsid w:val="00291077"/>
    <w:rsid w:val="002928A9"/>
    <w:rsid w:val="00294065"/>
    <w:rsid w:val="0029426C"/>
    <w:rsid w:val="0029433C"/>
    <w:rsid w:val="00294406"/>
    <w:rsid w:val="00294738"/>
    <w:rsid w:val="00294AB6"/>
    <w:rsid w:val="002A0240"/>
    <w:rsid w:val="002A0297"/>
    <w:rsid w:val="002A04FE"/>
    <w:rsid w:val="002A110D"/>
    <w:rsid w:val="002A1156"/>
    <w:rsid w:val="002A265C"/>
    <w:rsid w:val="002A2BA6"/>
    <w:rsid w:val="002A37ED"/>
    <w:rsid w:val="002A554E"/>
    <w:rsid w:val="002A5868"/>
    <w:rsid w:val="002A5A58"/>
    <w:rsid w:val="002A5DAE"/>
    <w:rsid w:val="002A5DC9"/>
    <w:rsid w:val="002A612F"/>
    <w:rsid w:val="002A6620"/>
    <w:rsid w:val="002A7CCA"/>
    <w:rsid w:val="002B1698"/>
    <w:rsid w:val="002B1BFB"/>
    <w:rsid w:val="002B1C7C"/>
    <w:rsid w:val="002B20CC"/>
    <w:rsid w:val="002B28E3"/>
    <w:rsid w:val="002B30FA"/>
    <w:rsid w:val="002B3181"/>
    <w:rsid w:val="002B4C7E"/>
    <w:rsid w:val="002B6C55"/>
    <w:rsid w:val="002B78A1"/>
    <w:rsid w:val="002B797C"/>
    <w:rsid w:val="002C0C06"/>
    <w:rsid w:val="002C1AC4"/>
    <w:rsid w:val="002C20BD"/>
    <w:rsid w:val="002C261A"/>
    <w:rsid w:val="002C34C5"/>
    <w:rsid w:val="002C36D5"/>
    <w:rsid w:val="002C47B1"/>
    <w:rsid w:val="002C5E12"/>
    <w:rsid w:val="002C615E"/>
    <w:rsid w:val="002C6578"/>
    <w:rsid w:val="002C726F"/>
    <w:rsid w:val="002D1D56"/>
    <w:rsid w:val="002D225B"/>
    <w:rsid w:val="002D2F9B"/>
    <w:rsid w:val="002D3CFF"/>
    <w:rsid w:val="002D5A9F"/>
    <w:rsid w:val="002D6026"/>
    <w:rsid w:val="002D6D10"/>
    <w:rsid w:val="002D71B2"/>
    <w:rsid w:val="002D7DEB"/>
    <w:rsid w:val="002D7FD2"/>
    <w:rsid w:val="002E0DFA"/>
    <w:rsid w:val="002E10F3"/>
    <w:rsid w:val="002E166D"/>
    <w:rsid w:val="002E1756"/>
    <w:rsid w:val="002E1D80"/>
    <w:rsid w:val="002E1F05"/>
    <w:rsid w:val="002E2AB9"/>
    <w:rsid w:val="002E374E"/>
    <w:rsid w:val="002E3830"/>
    <w:rsid w:val="002E3CF8"/>
    <w:rsid w:val="002E4A24"/>
    <w:rsid w:val="002E5CD2"/>
    <w:rsid w:val="002E68B1"/>
    <w:rsid w:val="002E6F28"/>
    <w:rsid w:val="002E6FF8"/>
    <w:rsid w:val="002F0D9B"/>
    <w:rsid w:val="002F129F"/>
    <w:rsid w:val="002F1683"/>
    <w:rsid w:val="002F1B0B"/>
    <w:rsid w:val="002F1ED9"/>
    <w:rsid w:val="002F2342"/>
    <w:rsid w:val="002F32E0"/>
    <w:rsid w:val="002F3612"/>
    <w:rsid w:val="002F3B9E"/>
    <w:rsid w:val="002F4419"/>
    <w:rsid w:val="002F6125"/>
    <w:rsid w:val="002F6BCF"/>
    <w:rsid w:val="002F75CE"/>
    <w:rsid w:val="002F7792"/>
    <w:rsid w:val="002F7A2D"/>
    <w:rsid w:val="002F7E9E"/>
    <w:rsid w:val="00300033"/>
    <w:rsid w:val="00300133"/>
    <w:rsid w:val="0030107C"/>
    <w:rsid w:val="00301D75"/>
    <w:rsid w:val="00303B73"/>
    <w:rsid w:val="0030431F"/>
    <w:rsid w:val="0030536F"/>
    <w:rsid w:val="00306C87"/>
    <w:rsid w:val="003104B8"/>
    <w:rsid w:val="00310EA3"/>
    <w:rsid w:val="00311C33"/>
    <w:rsid w:val="00312DDD"/>
    <w:rsid w:val="0031350A"/>
    <w:rsid w:val="0031451F"/>
    <w:rsid w:val="00314CFF"/>
    <w:rsid w:val="0031557C"/>
    <w:rsid w:val="00315947"/>
    <w:rsid w:val="003159FB"/>
    <w:rsid w:val="00316969"/>
    <w:rsid w:val="00316DFE"/>
    <w:rsid w:val="003174B4"/>
    <w:rsid w:val="00317EC3"/>
    <w:rsid w:val="00320200"/>
    <w:rsid w:val="00320375"/>
    <w:rsid w:val="0032066A"/>
    <w:rsid w:val="00320A0F"/>
    <w:rsid w:val="00320D3C"/>
    <w:rsid w:val="00321631"/>
    <w:rsid w:val="00321B98"/>
    <w:rsid w:val="00322133"/>
    <w:rsid w:val="00322200"/>
    <w:rsid w:val="00322CD7"/>
    <w:rsid w:val="0032317D"/>
    <w:rsid w:val="0032320A"/>
    <w:rsid w:val="00323640"/>
    <w:rsid w:val="003246F1"/>
    <w:rsid w:val="003248B8"/>
    <w:rsid w:val="003258D4"/>
    <w:rsid w:val="00325BD4"/>
    <w:rsid w:val="00325C9B"/>
    <w:rsid w:val="003266BA"/>
    <w:rsid w:val="00326788"/>
    <w:rsid w:val="00326C17"/>
    <w:rsid w:val="00326CEC"/>
    <w:rsid w:val="00326D9B"/>
    <w:rsid w:val="00331577"/>
    <w:rsid w:val="00331B74"/>
    <w:rsid w:val="00331C16"/>
    <w:rsid w:val="00331D89"/>
    <w:rsid w:val="00332275"/>
    <w:rsid w:val="003338FF"/>
    <w:rsid w:val="00337155"/>
    <w:rsid w:val="003376A0"/>
    <w:rsid w:val="00337B19"/>
    <w:rsid w:val="00337E43"/>
    <w:rsid w:val="003401E4"/>
    <w:rsid w:val="003402AD"/>
    <w:rsid w:val="00340CC8"/>
    <w:rsid w:val="003428ED"/>
    <w:rsid w:val="0034290E"/>
    <w:rsid w:val="00342A63"/>
    <w:rsid w:val="00342BA0"/>
    <w:rsid w:val="003440A3"/>
    <w:rsid w:val="0034425E"/>
    <w:rsid w:val="00344776"/>
    <w:rsid w:val="00344E53"/>
    <w:rsid w:val="00345774"/>
    <w:rsid w:val="003467D4"/>
    <w:rsid w:val="00346AF7"/>
    <w:rsid w:val="003504C5"/>
    <w:rsid w:val="00350A58"/>
    <w:rsid w:val="0035121E"/>
    <w:rsid w:val="0035214D"/>
    <w:rsid w:val="003523EE"/>
    <w:rsid w:val="00352535"/>
    <w:rsid w:val="003529EC"/>
    <w:rsid w:val="00352C63"/>
    <w:rsid w:val="003534F4"/>
    <w:rsid w:val="00353D58"/>
    <w:rsid w:val="00354740"/>
    <w:rsid w:val="003548BC"/>
    <w:rsid w:val="003552FF"/>
    <w:rsid w:val="00355DAA"/>
    <w:rsid w:val="0035629C"/>
    <w:rsid w:val="003606E3"/>
    <w:rsid w:val="00360E1C"/>
    <w:rsid w:val="00361B9E"/>
    <w:rsid w:val="003630F2"/>
    <w:rsid w:val="003633E1"/>
    <w:rsid w:val="00363A74"/>
    <w:rsid w:val="00363D6F"/>
    <w:rsid w:val="0036448D"/>
    <w:rsid w:val="00364E52"/>
    <w:rsid w:val="00365826"/>
    <w:rsid w:val="00365C4E"/>
    <w:rsid w:val="00365D8C"/>
    <w:rsid w:val="00365E26"/>
    <w:rsid w:val="00366A94"/>
    <w:rsid w:val="00367C5F"/>
    <w:rsid w:val="00370CF1"/>
    <w:rsid w:val="00371188"/>
    <w:rsid w:val="00371322"/>
    <w:rsid w:val="0037175C"/>
    <w:rsid w:val="00371A57"/>
    <w:rsid w:val="00371BAF"/>
    <w:rsid w:val="00371D45"/>
    <w:rsid w:val="0037252E"/>
    <w:rsid w:val="003729C3"/>
    <w:rsid w:val="00372AC2"/>
    <w:rsid w:val="00375194"/>
    <w:rsid w:val="0037739B"/>
    <w:rsid w:val="003773BA"/>
    <w:rsid w:val="00380C30"/>
    <w:rsid w:val="00381002"/>
    <w:rsid w:val="0038296C"/>
    <w:rsid w:val="0038373D"/>
    <w:rsid w:val="003848B4"/>
    <w:rsid w:val="0038519E"/>
    <w:rsid w:val="003852E3"/>
    <w:rsid w:val="00385319"/>
    <w:rsid w:val="00385F67"/>
    <w:rsid w:val="00386871"/>
    <w:rsid w:val="003871F9"/>
    <w:rsid w:val="00390CD4"/>
    <w:rsid w:val="00391DFA"/>
    <w:rsid w:val="0039266B"/>
    <w:rsid w:val="00392D75"/>
    <w:rsid w:val="003931EA"/>
    <w:rsid w:val="00393259"/>
    <w:rsid w:val="00393AB9"/>
    <w:rsid w:val="00393E22"/>
    <w:rsid w:val="00394AC7"/>
    <w:rsid w:val="00394D2E"/>
    <w:rsid w:val="00394DA0"/>
    <w:rsid w:val="0039568B"/>
    <w:rsid w:val="00396638"/>
    <w:rsid w:val="00396B0F"/>
    <w:rsid w:val="00396BD2"/>
    <w:rsid w:val="00397CCB"/>
    <w:rsid w:val="003A06CC"/>
    <w:rsid w:val="003A21EF"/>
    <w:rsid w:val="003A290F"/>
    <w:rsid w:val="003A2B3A"/>
    <w:rsid w:val="003A33FB"/>
    <w:rsid w:val="003A36D6"/>
    <w:rsid w:val="003A3C89"/>
    <w:rsid w:val="003A4988"/>
    <w:rsid w:val="003A49F0"/>
    <w:rsid w:val="003A4C81"/>
    <w:rsid w:val="003A585C"/>
    <w:rsid w:val="003A5F2A"/>
    <w:rsid w:val="003A74EE"/>
    <w:rsid w:val="003A7946"/>
    <w:rsid w:val="003B0123"/>
    <w:rsid w:val="003B0CCC"/>
    <w:rsid w:val="003B16B2"/>
    <w:rsid w:val="003B1A99"/>
    <w:rsid w:val="003B1D54"/>
    <w:rsid w:val="003B2B59"/>
    <w:rsid w:val="003B2C07"/>
    <w:rsid w:val="003B34F3"/>
    <w:rsid w:val="003B3B30"/>
    <w:rsid w:val="003B3B6A"/>
    <w:rsid w:val="003B45C2"/>
    <w:rsid w:val="003B4654"/>
    <w:rsid w:val="003B4D5A"/>
    <w:rsid w:val="003B4EF5"/>
    <w:rsid w:val="003B5CEC"/>
    <w:rsid w:val="003B6172"/>
    <w:rsid w:val="003B62D7"/>
    <w:rsid w:val="003B6575"/>
    <w:rsid w:val="003B74EB"/>
    <w:rsid w:val="003B7F53"/>
    <w:rsid w:val="003B7FA4"/>
    <w:rsid w:val="003C15B4"/>
    <w:rsid w:val="003C26D7"/>
    <w:rsid w:val="003C3162"/>
    <w:rsid w:val="003C40D2"/>
    <w:rsid w:val="003C4D9E"/>
    <w:rsid w:val="003C6804"/>
    <w:rsid w:val="003C695E"/>
    <w:rsid w:val="003D07CA"/>
    <w:rsid w:val="003D0B8C"/>
    <w:rsid w:val="003D14F4"/>
    <w:rsid w:val="003D1CD3"/>
    <w:rsid w:val="003D2A42"/>
    <w:rsid w:val="003D2DFD"/>
    <w:rsid w:val="003D2E0A"/>
    <w:rsid w:val="003D3043"/>
    <w:rsid w:val="003D3263"/>
    <w:rsid w:val="003D38E9"/>
    <w:rsid w:val="003D3E24"/>
    <w:rsid w:val="003D484F"/>
    <w:rsid w:val="003D490B"/>
    <w:rsid w:val="003D5AE6"/>
    <w:rsid w:val="003D5CE1"/>
    <w:rsid w:val="003D6C09"/>
    <w:rsid w:val="003D6CEB"/>
    <w:rsid w:val="003D7A72"/>
    <w:rsid w:val="003E069B"/>
    <w:rsid w:val="003E0B87"/>
    <w:rsid w:val="003E0F41"/>
    <w:rsid w:val="003E369D"/>
    <w:rsid w:val="003E4FF4"/>
    <w:rsid w:val="003E5B32"/>
    <w:rsid w:val="003E7639"/>
    <w:rsid w:val="003F0429"/>
    <w:rsid w:val="003F0B66"/>
    <w:rsid w:val="003F143A"/>
    <w:rsid w:val="003F165E"/>
    <w:rsid w:val="003F18F7"/>
    <w:rsid w:val="003F19CF"/>
    <w:rsid w:val="003F207E"/>
    <w:rsid w:val="003F2535"/>
    <w:rsid w:val="003F2E04"/>
    <w:rsid w:val="003F30CD"/>
    <w:rsid w:val="003F4415"/>
    <w:rsid w:val="003F485E"/>
    <w:rsid w:val="003F4F5A"/>
    <w:rsid w:val="003F5936"/>
    <w:rsid w:val="003F624D"/>
    <w:rsid w:val="003F6652"/>
    <w:rsid w:val="003F6E58"/>
    <w:rsid w:val="00400CF0"/>
    <w:rsid w:val="00401057"/>
    <w:rsid w:val="0040273C"/>
    <w:rsid w:val="00404255"/>
    <w:rsid w:val="00405D52"/>
    <w:rsid w:val="0040778F"/>
    <w:rsid w:val="00407BC4"/>
    <w:rsid w:val="004104CE"/>
    <w:rsid w:val="00410A38"/>
    <w:rsid w:val="00411804"/>
    <w:rsid w:val="0041236E"/>
    <w:rsid w:val="00412630"/>
    <w:rsid w:val="0041303B"/>
    <w:rsid w:val="00413600"/>
    <w:rsid w:val="00413BF3"/>
    <w:rsid w:val="00414070"/>
    <w:rsid w:val="004145F7"/>
    <w:rsid w:val="00414908"/>
    <w:rsid w:val="00414D41"/>
    <w:rsid w:val="00415A5C"/>
    <w:rsid w:val="00416311"/>
    <w:rsid w:val="00416529"/>
    <w:rsid w:val="00417745"/>
    <w:rsid w:val="00417858"/>
    <w:rsid w:val="00417A5F"/>
    <w:rsid w:val="00421429"/>
    <w:rsid w:val="004214A3"/>
    <w:rsid w:val="00421730"/>
    <w:rsid w:val="0042195F"/>
    <w:rsid w:val="00422201"/>
    <w:rsid w:val="004229A0"/>
    <w:rsid w:val="004231B6"/>
    <w:rsid w:val="00423D25"/>
    <w:rsid w:val="00423F16"/>
    <w:rsid w:val="004243CD"/>
    <w:rsid w:val="0042446E"/>
    <w:rsid w:val="00424A62"/>
    <w:rsid w:val="00424C22"/>
    <w:rsid w:val="0042532D"/>
    <w:rsid w:val="00425526"/>
    <w:rsid w:val="00425A28"/>
    <w:rsid w:val="00426006"/>
    <w:rsid w:val="0042630C"/>
    <w:rsid w:val="00426428"/>
    <w:rsid w:val="00426DDB"/>
    <w:rsid w:val="00426EB5"/>
    <w:rsid w:val="00427030"/>
    <w:rsid w:val="004274F7"/>
    <w:rsid w:val="00427CA8"/>
    <w:rsid w:val="00431712"/>
    <w:rsid w:val="00431B0F"/>
    <w:rsid w:val="00432245"/>
    <w:rsid w:val="004325F7"/>
    <w:rsid w:val="0043327E"/>
    <w:rsid w:val="00433536"/>
    <w:rsid w:val="00434D11"/>
    <w:rsid w:val="004357A8"/>
    <w:rsid w:val="0043594F"/>
    <w:rsid w:val="0043704C"/>
    <w:rsid w:val="00437244"/>
    <w:rsid w:val="00437317"/>
    <w:rsid w:val="004404DD"/>
    <w:rsid w:val="00440EBB"/>
    <w:rsid w:val="00441568"/>
    <w:rsid w:val="0044188A"/>
    <w:rsid w:val="00442A01"/>
    <w:rsid w:val="00442BDE"/>
    <w:rsid w:val="00443636"/>
    <w:rsid w:val="004437AC"/>
    <w:rsid w:val="00444229"/>
    <w:rsid w:val="00444B0F"/>
    <w:rsid w:val="00445235"/>
    <w:rsid w:val="00445B7C"/>
    <w:rsid w:val="00446B40"/>
    <w:rsid w:val="00446EBA"/>
    <w:rsid w:val="0044752D"/>
    <w:rsid w:val="00447C0F"/>
    <w:rsid w:val="00450185"/>
    <w:rsid w:val="00450796"/>
    <w:rsid w:val="004514AF"/>
    <w:rsid w:val="004519E5"/>
    <w:rsid w:val="004524ED"/>
    <w:rsid w:val="00452FDA"/>
    <w:rsid w:val="00453F27"/>
    <w:rsid w:val="00453FD7"/>
    <w:rsid w:val="004552EA"/>
    <w:rsid w:val="004555C4"/>
    <w:rsid w:val="00455BC8"/>
    <w:rsid w:val="00456940"/>
    <w:rsid w:val="00456A03"/>
    <w:rsid w:val="00457EBD"/>
    <w:rsid w:val="00460B23"/>
    <w:rsid w:val="00461105"/>
    <w:rsid w:val="00461135"/>
    <w:rsid w:val="00461560"/>
    <w:rsid w:val="0046242D"/>
    <w:rsid w:val="00462521"/>
    <w:rsid w:val="0046347B"/>
    <w:rsid w:val="00465FAB"/>
    <w:rsid w:val="004676AD"/>
    <w:rsid w:val="00470441"/>
    <w:rsid w:val="00471560"/>
    <w:rsid w:val="00472184"/>
    <w:rsid w:val="00472685"/>
    <w:rsid w:val="0047304A"/>
    <w:rsid w:val="00474159"/>
    <w:rsid w:val="004762B5"/>
    <w:rsid w:val="00476AB9"/>
    <w:rsid w:val="00477B78"/>
    <w:rsid w:val="004801F2"/>
    <w:rsid w:val="004808E3"/>
    <w:rsid w:val="00480FA4"/>
    <w:rsid w:val="004810E2"/>
    <w:rsid w:val="00481169"/>
    <w:rsid w:val="004825A6"/>
    <w:rsid w:val="004834E2"/>
    <w:rsid w:val="004862BE"/>
    <w:rsid w:val="00486811"/>
    <w:rsid w:val="0048729C"/>
    <w:rsid w:val="004872A1"/>
    <w:rsid w:val="004909C8"/>
    <w:rsid w:val="004914C7"/>
    <w:rsid w:val="00491675"/>
    <w:rsid w:val="00491B87"/>
    <w:rsid w:val="004928B6"/>
    <w:rsid w:val="00492B8A"/>
    <w:rsid w:val="00492C52"/>
    <w:rsid w:val="004931F6"/>
    <w:rsid w:val="00494C86"/>
    <w:rsid w:val="00495C03"/>
    <w:rsid w:val="00496D01"/>
    <w:rsid w:val="00496E5F"/>
    <w:rsid w:val="004A0F60"/>
    <w:rsid w:val="004A101E"/>
    <w:rsid w:val="004A121A"/>
    <w:rsid w:val="004A1463"/>
    <w:rsid w:val="004A1543"/>
    <w:rsid w:val="004A16F0"/>
    <w:rsid w:val="004A18F5"/>
    <w:rsid w:val="004A1B15"/>
    <w:rsid w:val="004A2432"/>
    <w:rsid w:val="004A2DCD"/>
    <w:rsid w:val="004A2FD6"/>
    <w:rsid w:val="004A3008"/>
    <w:rsid w:val="004A3317"/>
    <w:rsid w:val="004A3772"/>
    <w:rsid w:val="004A5A9D"/>
    <w:rsid w:val="004A5B44"/>
    <w:rsid w:val="004A5ED3"/>
    <w:rsid w:val="004A692E"/>
    <w:rsid w:val="004A6B2B"/>
    <w:rsid w:val="004A7048"/>
    <w:rsid w:val="004A7230"/>
    <w:rsid w:val="004A7616"/>
    <w:rsid w:val="004A77C6"/>
    <w:rsid w:val="004B069C"/>
    <w:rsid w:val="004B093B"/>
    <w:rsid w:val="004B0AE3"/>
    <w:rsid w:val="004B172F"/>
    <w:rsid w:val="004B1819"/>
    <w:rsid w:val="004B1E13"/>
    <w:rsid w:val="004B223C"/>
    <w:rsid w:val="004B3968"/>
    <w:rsid w:val="004B49EA"/>
    <w:rsid w:val="004B4EA2"/>
    <w:rsid w:val="004B5371"/>
    <w:rsid w:val="004B624E"/>
    <w:rsid w:val="004B6A97"/>
    <w:rsid w:val="004B6BC5"/>
    <w:rsid w:val="004B7173"/>
    <w:rsid w:val="004B746D"/>
    <w:rsid w:val="004B7622"/>
    <w:rsid w:val="004B7859"/>
    <w:rsid w:val="004C1225"/>
    <w:rsid w:val="004C13B8"/>
    <w:rsid w:val="004C1F8A"/>
    <w:rsid w:val="004C234B"/>
    <w:rsid w:val="004C2417"/>
    <w:rsid w:val="004C351E"/>
    <w:rsid w:val="004C46E9"/>
    <w:rsid w:val="004C52E3"/>
    <w:rsid w:val="004C645D"/>
    <w:rsid w:val="004C75F3"/>
    <w:rsid w:val="004C791E"/>
    <w:rsid w:val="004C7BF9"/>
    <w:rsid w:val="004D186F"/>
    <w:rsid w:val="004D1E83"/>
    <w:rsid w:val="004D2047"/>
    <w:rsid w:val="004D2C9B"/>
    <w:rsid w:val="004D394C"/>
    <w:rsid w:val="004D3F45"/>
    <w:rsid w:val="004D45F4"/>
    <w:rsid w:val="004D62FA"/>
    <w:rsid w:val="004E0B13"/>
    <w:rsid w:val="004E24E0"/>
    <w:rsid w:val="004E2E3E"/>
    <w:rsid w:val="004E3494"/>
    <w:rsid w:val="004E3562"/>
    <w:rsid w:val="004E37C0"/>
    <w:rsid w:val="004E5398"/>
    <w:rsid w:val="004E539A"/>
    <w:rsid w:val="004E53E5"/>
    <w:rsid w:val="004E5A28"/>
    <w:rsid w:val="004E63FC"/>
    <w:rsid w:val="004E677A"/>
    <w:rsid w:val="004E6C72"/>
    <w:rsid w:val="004E7622"/>
    <w:rsid w:val="004F04B1"/>
    <w:rsid w:val="004F059F"/>
    <w:rsid w:val="004F0CA7"/>
    <w:rsid w:val="004F178D"/>
    <w:rsid w:val="004F1A53"/>
    <w:rsid w:val="004F1E85"/>
    <w:rsid w:val="004F2D50"/>
    <w:rsid w:val="004F5999"/>
    <w:rsid w:val="004F6751"/>
    <w:rsid w:val="004F6D98"/>
    <w:rsid w:val="004F76A9"/>
    <w:rsid w:val="004F7D91"/>
    <w:rsid w:val="00500AC4"/>
    <w:rsid w:val="00501769"/>
    <w:rsid w:val="005022A6"/>
    <w:rsid w:val="005022CF"/>
    <w:rsid w:val="0050271E"/>
    <w:rsid w:val="00502C6A"/>
    <w:rsid w:val="00502D88"/>
    <w:rsid w:val="005031CE"/>
    <w:rsid w:val="00503976"/>
    <w:rsid w:val="00504983"/>
    <w:rsid w:val="00504DC5"/>
    <w:rsid w:val="005051BC"/>
    <w:rsid w:val="0050523B"/>
    <w:rsid w:val="005055AA"/>
    <w:rsid w:val="0050666F"/>
    <w:rsid w:val="00506D24"/>
    <w:rsid w:val="00506D32"/>
    <w:rsid w:val="00507D43"/>
    <w:rsid w:val="0051054C"/>
    <w:rsid w:val="00511E00"/>
    <w:rsid w:val="005133C9"/>
    <w:rsid w:val="005135EC"/>
    <w:rsid w:val="005138B8"/>
    <w:rsid w:val="00513DC9"/>
    <w:rsid w:val="005141EC"/>
    <w:rsid w:val="0051556C"/>
    <w:rsid w:val="00515766"/>
    <w:rsid w:val="00515B8F"/>
    <w:rsid w:val="00515C9A"/>
    <w:rsid w:val="005167B8"/>
    <w:rsid w:val="00516B59"/>
    <w:rsid w:val="005175BD"/>
    <w:rsid w:val="0052012F"/>
    <w:rsid w:val="00520465"/>
    <w:rsid w:val="00520948"/>
    <w:rsid w:val="00522BA9"/>
    <w:rsid w:val="00523688"/>
    <w:rsid w:val="00523D1A"/>
    <w:rsid w:val="00524078"/>
    <w:rsid w:val="00524FA6"/>
    <w:rsid w:val="00525397"/>
    <w:rsid w:val="005271E2"/>
    <w:rsid w:val="00530324"/>
    <w:rsid w:val="00531779"/>
    <w:rsid w:val="0053209C"/>
    <w:rsid w:val="00532AA3"/>
    <w:rsid w:val="005331E0"/>
    <w:rsid w:val="005346DF"/>
    <w:rsid w:val="005358F7"/>
    <w:rsid w:val="00536561"/>
    <w:rsid w:val="005365DA"/>
    <w:rsid w:val="00536EDB"/>
    <w:rsid w:val="005374C1"/>
    <w:rsid w:val="005406CA"/>
    <w:rsid w:val="00542839"/>
    <w:rsid w:val="00543A8A"/>
    <w:rsid w:val="005441F6"/>
    <w:rsid w:val="005446D5"/>
    <w:rsid w:val="00544FE9"/>
    <w:rsid w:val="005454B4"/>
    <w:rsid w:val="005457A8"/>
    <w:rsid w:val="005464D5"/>
    <w:rsid w:val="00547330"/>
    <w:rsid w:val="0055096B"/>
    <w:rsid w:val="00552135"/>
    <w:rsid w:val="0055280F"/>
    <w:rsid w:val="00553FB0"/>
    <w:rsid w:val="0055476B"/>
    <w:rsid w:val="00554966"/>
    <w:rsid w:val="0055520D"/>
    <w:rsid w:val="00555F78"/>
    <w:rsid w:val="00556114"/>
    <w:rsid w:val="0055619C"/>
    <w:rsid w:val="00556C00"/>
    <w:rsid w:val="005571D6"/>
    <w:rsid w:val="005573CE"/>
    <w:rsid w:val="0055753B"/>
    <w:rsid w:val="00557BC0"/>
    <w:rsid w:val="00557E82"/>
    <w:rsid w:val="00557FE2"/>
    <w:rsid w:val="00561940"/>
    <w:rsid w:val="00561AB6"/>
    <w:rsid w:val="00561D54"/>
    <w:rsid w:val="00562E2D"/>
    <w:rsid w:val="00563B10"/>
    <w:rsid w:val="00564747"/>
    <w:rsid w:val="00565100"/>
    <w:rsid w:val="00565EC2"/>
    <w:rsid w:val="0056623C"/>
    <w:rsid w:val="00566531"/>
    <w:rsid w:val="00566970"/>
    <w:rsid w:val="005669BE"/>
    <w:rsid w:val="00566F51"/>
    <w:rsid w:val="00567B7F"/>
    <w:rsid w:val="00567EF7"/>
    <w:rsid w:val="005701E0"/>
    <w:rsid w:val="0057054D"/>
    <w:rsid w:val="00570A13"/>
    <w:rsid w:val="00570AB2"/>
    <w:rsid w:val="005716C9"/>
    <w:rsid w:val="005718C4"/>
    <w:rsid w:val="00571D16"/>
    <w:rsid w:val="00573320"/>
    <w:rsid w:val="00573850"/>
    <w:rsid w:val="005742BA"/>
    <w:rsid w:val="00575153"/>
    <w:rsid w:val="00575192"/>
    <w:rsid w:val="00580977"/>
    <w:rsid w:val="005812F2"/>
    <w:rsid w:val="00581331"/>
    <w:rsid w:val="00582C53"/>
    <w:rsid w:val="005839DB"/>
    <w:rsid w:val="00584659"/>
    <w:rsid w:val="00585252"/>
    <w:rsid w:val="00585C73"/>
    <w:rsid w:val="00586C38"/>
    <w:rsid w:val="00586D64"/>
    <w:rsid w:val="005871DF"/>
    <w:rsid w:val="005903DC"/>
    <w:rsid w:val="005905A5"/>
    <w:rsid w:val="005909F7"/>
    <w:rsid w:val="00591895"/>
    <w:rsid w:val="00591B3E"/>
    <w:rsid w:val="005939FE"/>
    <w:rsid w:val="00595A36"/>
    <w:rsid w:val="00595EFA"/>
    <w:rsid w:val="005960E6"/>
    <w:rsid w:val="005962A9"/>
    <w:rsid w:val="00596C56"/>
    <w:rsid w:val="0059730D"/>
    <w:rsid w:val="00597409"/>
    <w:rsid w:val="005A19D9"/>
    <w:rsid w:val="005A19EC"/>
    <w:rsid w:val="005A3876"/>
    <w:rsid w:val="005A3897"/>
    <w:rsid w:val="005A407D"/>
    <w:rsid w:val="005A4423"/>
    <w:rsid w:val="005A489B"/>
    <w:rsid w:val="005A4CB2"/>
    <w:rsid w:val="005A546B"/>
    <w:rsid w:val="005A5598"/>
    <w:rsid w:val="005A57B0"/>
    <w:rsid w:val="005A6F2E"/>
    <w:rsid w:val="005A71E0"/>
    <w:rsid w:val="005A7BE6"/>
    <w:rsid w:val="005A7FC8"/>
    <w:rsid w:val="005B0839"/>
    <w:rsid w:val="005B43F8"/>
    <w:rsid w:val="005B5120"/>
    <w:rsid w:val="005B5C75"/>
    <w:rsid w:val="005B7F70"/>
    <w:rsid w:val="005C02CB"/>
    <w:rsid w:val="005C4783"/>
    <w:rsid w:val="005C4BCF"/>
    <w:rsid w:val="005C4C03"/>
    <w:rsid w:val="005C54AF"/>
    <w:rsid w:val="005C64AF"/>
    <w:rsid w:val="005C67E1"/>
    <w:rsid w:val="005C6C35"/>
    <w:rsid w:val="005C704C"/>
    <w:rsid w:val="005C7ED1"/>
    <w:rsid w:val="005D0806"/>
    <w:rsid w:val="005D0FFD"/>
    <w:rsid w:val="005D1F4A"/>
    <w:rsid w:val="005D3F96"/>
    <w:rsid w:val="005D5D6F"/>
    <w:rsid w:val="005D75F4"/>
    <w:rsid w:val="005D7D17"/>
    <w:rsid w:val="005D7D4A"/>
    <w:rsid w:val="005D7F9B"/>
    <w:rsid w:val="005E0D20"/>
    <w:rsid w:val="005E1668"/>
    <w:rsid w:val="005E1951"/>
    <w:rsid w:val="005E2226"/>
    <w:rsid w:val="005E3AEF"/>
    <w:rsid w:val="005E3B08"/>
    <w:rsid w:val="005E44CD"/>
    <w:rsid w:val="005E55DD"/>
    <w:rsid w:val="005E58A2"/>
    <w:rsid w:val="005E5AF0"/>
    <w:rsid w:val="005E5B4B"/>
    <w:rsid w:val="005E5CDB"/>
    <w:rsid w:val="005E5E68"/>
    <w:rsid w:val="005E659D"/>
    <w:rsid w:val="005E7011"/>
    <w:rsid w:val="005E77E1"/>
    <w:rsid w:val="005F2710"/>
    <w:rsid w:val="005F28FD"/>
    <w:rsid w:val="005F5F7C"/>
    <w:rsid w:val="005F7AB7"/>
    <w:rsid w:val="005F7BCC"/>
    <w:rsid w:val="00600E05"/>
    <w:rsid w:val="00601024"/>
    <w:rsid w:val="006019CE"/>
    <w:rsid w:val="00602987"/>
    <w:rsid w:val="00602ADB"/>
    <w:rsid w:val="00602B36"/>
    <w:rsid w:val="00603125"/>
    <w:rsid w:val="00604145"/>
    <w:rsid w:val="006041B5"/>
    <w:rsid w:val="0060467F"/>
    <w:rsid w:val="006050AD"/>
    <w:rsid w:val="00605169"/>
    <w:rsid w:val="0060623B"/>
    <w:rsid w:val="00606499"/>
    <w:rsid w:val="0060665D"/>
    <w:rsid w:val="006073C3"/>
    <w:rsid w:val="00607FB0"/>
    <w:rsid w:val="0061073F"/>
    <w:rsid w:val="00610CC6"/>
    <w:rsid w:val="00611568"/>
    <w:rsid w:val="00612D26"/>
    <w:rsid w:val="00613193"/>
    <w:rsid w:val="00614C49"/>
    <w:rsid w:val="00614EBD"/>
    <w:rsid w:val="006156DB"/>
    <w:rsid w:val="00615C41"/>
    <w:rsid w:val="006171A6"/>
    <w:rsid w:val="006172A9"/>
    <w:rsid w:val="00617534"/>
    <w:rsid w:val="00617DDE"/>
    <w:rsid w:val="0062000C"/>
    <w:rsid w:val="006202CF"/>
    <w:rsid w:val="0062052D"/>
    <w:rsid w:val="006208C8"/>
    <w:rsid w:val="0062133B"/>
    <w:rsid w:val="0062141C"/>
    <w:rsid w:val="00622371"/>
    <w:rsid w:val="00622372"/>
    <w:rsid w:val="0062392E"/>
    <w:rsid w:val="00624209"/>
    <w:rsid w:val="00624497"/>
    <w:rsid w:val="00624502"/>
    <w:rsid w:val="0062480C"/>
    <w:rsid w:val="0062751C"/>
    <w:rsid w:val="00630485"/>
    <w:rsid w:val="00630819"/>
    <w:rsid w:val="00630E29"/>
    <w:rsid w:val="00631298"/>
    <w:rsid w:val="00631D78"/>
    <w:rsid w:val="00632365"/>
    <w:rsid w:val="00632561"/>
    <w:rsid w:val="00633D9F"/>
    <w:rsid w:val="0063450F"/>
    <w:rsid w:val="00634FE1"/>
    <w:rsid w:val="006353F0"/>
    <w:rsid w:val="0063639F"/>
    <w:rsid w:val="006367BE"/>
    <w:rsid w:val="0063781A"/>
    <w:rsid w:val="0064199F"/>
    <w:rsid w:val="006424F9"/>
    <w:rsid w:val="0064286F"/>
    <w:rsid w:val="0064295A"/>
    <w:rsid w:val="00643307"/>
    <w:rsid w:val="00643F00"/>
    <w:rsid w:val="00645C6F"/>
    <w:rsid w:val="00646675"/>
    <w:rsid w:val="00646BFF"/>
    <w:rsid w:val="006519E2"/>
    <w:rsid w:val="00653767"/>
    <w:rsid w:val="00653B45"/>
    <w:rsid w:val="0065427A"/>
    <w:rsid w:val="006544B1"/>
    <w:rsid w:val="006547E1"/>
    <w:rsid w:val="00655571"/>
    <w:rsid w:val="00656CF1"/>
    <w:rsid w:val="006577C6"/>
    <w:rsid w:val="006606B5"/>
    <w:rsid w:val="00660E88"/>
    <w:rsid w:val="00661573"/>
    <w:rsid w:val="00661DD0"/>
    <w:rsid w:val="00661E8D"/>
    <w:rsid w:val="00662005"/>
    <w:rsid w:val="00662081"/>
    <w:rsid w:val="00662985"/>
    <w:rsid w:val="00662D1E"/>
    <w:rsid w:val="00663062"/>
    <w:rsid w:val="0066367B"/>
    <w:rsid w:val="00663C8B"/>
    <w:rsid w:val="00664B4D"/>
    <w:rsid w:val="00664F44"/>
    <w:rsid w:val="00665CFF"/>
    <w:rsid w:val="00665D82"/>
    <w:rsid w:val="00666F3E"/>
    <w:rsid w:val="00670BA0"/>
    <w:rsid w:val="00670DBC"/>
    <w:rsid w:val="006710D2"/>
    <w:rsid w:val="006712F1"/>
    <w:rsid w:val="00671EBA"/>
    <w:rsid w:val="00672832"/>
    <w:rsid w:val="00677F62"/>
    <w:rsid w:val="006812CA"/>
    <w:rsid w:val="00681DCB"/>
    <w:rsid w:val="006820E8"/>
    <w:rsid w:val="0068216B"/>
    <w:rsid w:val="00682607"/>
    <w:rsid w:val="0068428F"/>
    <w:rsid w:val="00685A33"/>
    <w:rsid w:val="00686179"/>
    <w:rsid w:val="00687368"/>
    <w:rsid w:val="006874CB"/>
    <w:rsid w:val="00687BA6"/>
    <w:rsid w:val="00690B76"/>
    <w:rsid w:val="006915E9"/>
    <w:rsid w:val="0069175A"/>
    <w:rsid w:val="00691915"/>
    <w:rsid w:val="00692165"/>
    <w:rsid w:val="006923CF"/>
    <w:rsid w:val="006944D9"/>
    <w:rsid w:val="006946D1"/>
    <w:rsid w:val="00695413"/>
    <w:rsid w:val="00695500"/>
    <w:rsid w:val="006A06E2"/>
    <w:rsid w:val="006A07E6"/>
    <w:rsid w:val="006A07EB"/>
    <w:rsid w:val="006A114B"/>
    <w:rsid w:val="006A1A72"/>
    <w:rsid w:val="006A1D3A"/>
    <w:rsid w:val="006A231C"/>
    <w:rsid w:val="006A2AD3"/>
    <w:rsid w:val="006A3FDC"/>
    <w:rsid w:val="006A4158"/>
    <w:rsid w:val="006A45BD"/>
    <w:rsid w:val="006A4FE5"/>
    <w:rsid w:val="006A50B1"/>
    <w:rsid w:val="006A5628"/>
    <w:rsid w:val="006A564A"/>
    <w:rsid w:val="006A5B44"/>
    <w:rsid w:val="006A5D8D"/>
    <w:rsid w:val="006A6097"/>
    <w:rsid w:val="006A6AB1"/>
    <w:rsid w:val="006A6ABE"/>
    <w:rsid w:val="006A741F"/>
    <w:rsid w:val="006B0CA2"/>
    <w:rsid w:val="006B1690"/>
    <w:rsid w:val="006B1C2F"/>
    <w:rsid w:val="006B24F5"/>
    <w:rsid w:val="006B3036"/>
    <w:rsid w:val="006B4EDE"/>
    <w:rsid w:val="006B6696"/>
    <w:rsid w:val="006B7460"/>
    <w:rsid w:val="006B7507"/>
    <w:rsid w:val="006C02EB"/>
    <w:rsid w:val="006C3BE2"/>
    <w:rsid w:val="006C499D"/>
    <w:rsid w:val="006C4FF4"/>
    <w:rsid w:val="006C54B1"/>
    <w:rsid w:val="006C5805"/>
    <w:rsid w:val="006C5CDD"/>
    <w:rsid w:val="006C5F1E"/>
    <w:rsid w:val="006C661D"/>
    <w:rsid w:val="006C6622"/>
    <w:rsid w:val="006C69B1"/>
    <w:rsid w:val="006C6D7E"/>
    <w:rsid w:val="006C6F51"/>
    <w:rsid w:val="006C708F"/>
    <w:rsid w:val="006C7E54"/>
    <w:rsid w:val="006D0491"/>
    <w:rsid w:val="006D074B"/>
    <w:rsid w:val="006D0C7D"/>
    <w:rsid w:val="006D1887"/>
    <w:rsid w:val="006D1960"/>
    <w:rsid w:val="006D1D83"/>
    <w:rsid w:val="006D3103"/>
    <w:rsid w:val="006D401E"/>
    <w:rsid w:val="006D501C"/>
    <w:rsid w:val="006D580A"/>
    <w:rsid w:val="006D5A2A"/>
    <w:rsid w:val="006D5D62"/>
    <w:rsid w:val="006D5F1E"/>
    <w:rsid w:val="006D6362"/>
    <w:rsid w:val="006D6A0F"/>
    <w:rsid w:val="006D6A74"/>
    <w:rsid w:val="006E1D46"/>
    <w:rsid w:val="006E1F25"/>
    <w:rsid w:val="006E37A3"/>
    <w:rsid w:val="006E3D1F"/>
    <w:rsid w:val="006E4E9E"/>
    <w:rsid w:val="006E6BA9"/>
    <w:rsid w:val="006E71AE"/>
    <w:rsid w:val="006F0B75"/>
    <w:rsid w:val="006F111B"/>
    <w:rsid w:val="006F124F"/>
    <w:rsid w:val="006F1698"/>
    <w:rsid w:val="006F16FD"/>
    <w:rsid w:val="006F21C0"/>
    <w:rsid w:val="006F2F40"/>
    <w:rsid w:val="006F37B0"/>
    <w:rsid w:val="006F3A29"/>
    <w:rsid w:val="006F3F1D"/>
    <w:rsid w:val="006F4A40"/>
    <w:rsid w:val="006F4BA7"/>
    <w:rsid w:val="006F5D7E"/>
    <w:rsid w:val="006F5DCE"/>
    <w:rsid w:val="006F6002"/>
    <w:rsid w:val="006F627C"/>
    <w:rsid w:val="006F6E9F"/>
    <w:rsid w:val="006F71D9"/>
    <w:rsid w:val="0070065F"/>
    <w:rsid w:val="0070149C"/>
    <w:rsid w:val="007017A3"/>
    <w:rsid w:val="00701BFE"/>
    <w:rsid w:val="00701C3B"/>
    <w:rsid w:val="007032A4"/>
    <w:rsid w:val="007033E7"/>
    <w:rsid w:val="007035C9"/>
    <w:rsid w:val="0070489A"/>
    <w:rsid w:val="00704CDC"/>
    <w:rsid w:val="00707461"/>
    <w:rsid w:val="00707E05"/>
    <w:rsid w:val="00710478"/>
    <w:rsid w:val="00710594"/>
    <w:rsid w:val="00711131"/>
    <w:rsid w:val="00711534"/>
    <w:rsid w:val="0071257A"/>
    <w:rsid w:val="00713076"/>
    <w:rsid w:val="00715F27"/>
    <w:rsid w:val="00716695"/>
    <w:rsid w:val="00717C45"/>
    <w:rsid w:val="007223CE"/>
    <w:rsid w:val="0072283C"/>
    <w:rsid w:val="00724707"/>
    <w:rsid w:val="00724EED"/>
    <w:rsid w:val="00725021"/>
    <w:rsid w:val="00725224"/>
    <w:rsid w:val="00725277"/>
    <w:rsid w:val="007254B0"/>
    <w:rsid w:val="00726742"/>
    <w:rsid w:val="00727048"/>
    <w:rsid w:val="0072751D"/>
    <w:rsid w:val="00730F0E"/>
    <w:rsid w:val="00732252"/>
    <w:rsid w:val="00732693"/>
    <w:rsid w:val="00732E79"/>
    <w:rsid w:val="007331FD"/>
    <w:rsid w:val="007332A8"/>
    <w:rsid w:val="007333BF"/>
    <w:rsid w:val="00733938"/>
    <w:rsid w:val="00734199"/>
    <w:rsid w:val="00734648"/>
    <w:rsid w:val="00734D5D"/>
    <w:rsid w:val="00734E1F"/>
    <w:rsid w:val="0073519B"/>
    <w:rsid w:val="00736285"/>
    <w:rsid w:val="0073676D"/>
    <w:rsid w:val="00736AA4"/>
    <w:rsid w:val="007374F4"/>
    <w:rsid w:val="007376BF"/>
    <w:rsid w:val="00737B16"/>
    <w:rsid w:val="00740D3A"/>
    <w:rsid w:val="00741DF4"/>
    <w:rsid w:val="00742A5B"/>
    <w:rsid w:val="0074336E"/>
    <w:rsid w:val="00744628"/>
    <w:rsid w:val="0074467F"/>
    <w:rsid w:val="00744851"/>
    <w:rsid w:val="00747FF4"/>
    <w:rsid w:val="0075068C"/>
    <w:rsid w:val="007509AA"/>
    <w:rsid w:val="00750C26"/>
    <w:rsid w:val="00751286"/>
    <w:rsid w:val="007528C4"/>
    <w:rsid w:val="0075372D"/>
    <w:rsid w:val="00753CFA"/>
    <w:rsid w:val="007540C7"/>
    <w:rsid w:val="0075418B"/>
    <w:rsid w:val="0075497A"/>
    <w:rsid w:val="00755051"/>
    <w:rsid w:val="00755164"/>
    <w:rsid w:val="0075588E"/>
    <w:rsid w:val="00755D4F"/>
    <w:rsid w:val="00755E94"/>
    <w:rsid w:val="00756408"/>
    <w:rsid w:val="00756801"/>
    <w:rsid w:val="00756AD2"/>
    <w:rsid w:val="007572C3"/>
    <w:rsid w:val="00757FB7"/>
    <w:rsid w:val="00761900"/>
    <w:rsid w:val="00761E84"/>
    <w:rsid w:val="007627EC"/>
    <w:rsid w:val="007634E1"/>
    <w:rsid w:val="007634EE"/>
    <w:rsid w:val="0076378F"/>
    <w:rsid w:val="0076450F"/>
    <w:rsid w:val="00764AEE"/>
    <w:rsid w:val="00764E31"/>
    <w:rsid w:val="007653D8"/>
    <w:rsid w:val="0076567C"/>
    <w:rsid w:val="00766230"/>
    <w:rsid w:val="00766C74"/>
    <w:rsid w:val="007705C8"/>
    <w:rsid w:val="00770F75"/>
    <w:rsid w:val="007713F4"/>
    <w:rsid w:val="00771905"/>
    <w:rsid w:val="00772EAB"/>
    <w:rsid w:val="0077340A"/>
    <w:rsid w:val="00773BFB"/>
    <w:rsid w:val="00773CF2"/>
    <w:rsid w:val="0077571F"/>
    <w:rsid w:val="00775D2B"/>
    <w:rsid w:val="00776F34"/>
    <w:rsid w:val="00777164"/>
    <w:rsid w:val="007773B7"/>
    <w:rsid w:val="00777910"/>
    <w:rsid w:val="0077795F"/>
    <w:rsid w:val="00780787"/>
    <w:rsid w:val="00783130"/>
    <w:rsid w:val="00783311"/>
    <w:rsid w:val="00783404"/>
    <w:rsid w:val="007842F9"/>
    <w:rsid w:val="0078540F"/>
    <w:rsid w:val="00785989"/>
    <w:rsid w:val="00786066"/>
    <w:rsid w:val="00786ADE"/>
    <w:rsid w:val="00787E1C"/>
    <w:rsid w:val="007903ED"/>
    <w:rsid w:val="007917FD"/>
    <w:rsid w:val="00791A72"/>
    <w:rsid w:val="00791E0F"/>
    <w:rsid w:val="00793883"/>
    <w:rsid w:val="007939CF"/>
    <w:rsid w:val="007958EA"/>
    <w:rsid w:val="00796647"/>
    <w:rsid w:val="00796925"/>
    <w:rsid w:val="00796A50"/>
    <w:rsid w:val="00796A72"/>
    <w:rsid w:val="007A09E5"/>
    <w:rsid w:val="007A0D66"/>
    <w:rsid w:val="007A12BA"/>
    <w:rsid w:val="007A164A"/>
    <w:rsid w:val="007A1B11"/>
    <w:rsid w:val="007A2FDF"/>
    <w:rsid w:val="007A3A49"/>
    <w:rsid w:val="007A4375"/>
    <w:rsid w:val="007A57E6"/>
    <w:rsid w:val="007A5F65"/>
    <w:rsid w:val="007A6110"/>
    <w:rsid w:val="007A6194"/>
    <w:rsid w:val="007A6598"/>
    <w:rsid w:val="007A6EC4"/>
    <w:rsid w:val="007B0A2B"/>
    <w:rsid w:val="007B0EB5"/>
    <w:rsid w:val="007B1580"/>
    <w:rsid w:val="007B158D"/>
    <w:rsid w:val="007B1A76"/>
    <w:rsid w:val="007B1B1C"/>
    <w:rsid w:val="007B2386"/>
    <w:rsid w:val="007B3E66"/>
    <w:rsid w:val="007B3FB8"/>
    <w:rsid w:val="007B40DD"/>
    <w:rsid w:val="007B4F9D"/>
    <w:rsid w:val="007B5DE8"/>
    <w:rsid w:val="007B6566"/>
    <w:rsid w:val="007B69CE"/>
    <w:rsid w:val="007B7110"/>
    <w:rsid w:val="007B73CF"/>
    <w:rsid w:val="007B74D8"/>
    <w:rsid w:val="007B7B3E"/>
    <w:rsid w:val="007C0270"/>
    <w:rsid w:val="007C18EF"/>
    <w:rsid w:val="007C289A"/>
    <w:rsid w:val="007C2E18"/>
    <w:rsid w:val="007C3C7A"/>
    <w:rsid w:val="007C42D7"/>
    <w:rsid w:val="007C522B"/>
    <w:rsid w:val="007D069A"/>
    <w:rsid w:val="007D0776"/>
    <w:rsid w:val="007D0C04"/>
    <w:rsid w:val="007D297A"/>
    <w:rsid w:val="007D33AA"/>
    <w:rsid w:val="007D3651"/>
    <w:rsid w:val="007D5508"/>
    <w:rsid w:val="007D655E"/>
    <w:rsid w:val="007D7BA3"/>
    <w:rsid w:val="007D7EC8"/>
    <w:rsid w:val="007E1B96"/>
    <w:rsid w:val="007E32E2"/>
    <w:rsid w:val="007E6086"/>
    <w:rsid w:val="007E6E5A"/>
    <w:rsid w:val="007E71DA"/>
    <w:rsid w:val="007E7E41"/>
    <w:rsid w:val="007F001A"/>
    <w:rsid w:val="007F0560"/>
    <w:rsid w:val="007F0C9A"/>
    <w:rsid w:val="007F0DCA"/>
    <w:rsid w:val="007F3CB1"/>
    <w:rsid w:val="007F4222"/>
    <w:rsid w:val="007F4E61"/>
    <w:rsid w:val="007F61E4"/>
    <w:rsid w:val="007F704C"/>
    <w:rsid w:val="007F7F4F"/>
    <w:rsid w:val="008003C6"/>
    <w:rsid w:val="00800826"/>
    <w:rsid w:val="00801B71"/>
    <w:rsid w:val="00802B78"/>
    <w:rsid w:val="00804410"/>
    <w:rsid w:val="00804D55"/>
    <w:rsid w:val="008054AB"/>
    <w:rsid w:val="00805B82"/>
    <w:rsid w:val="00806099"/>
    <w:rsid w:val="00810518"/>
    <w:rsid w:val="0081188C"/>
    <w:rsid w:val="00811A1D"/>
    <w:rsid w:val="00811F03"/>
    <w:rsid w:val="00812C16"/>
    <w:rsid w:val="0081376D"/>
    <w:rsid w:val="00814422"/>
    <w:rsid w:val="008146A7"/>
    <w:rsid w:val="00815068"/>
    <w:rsid w:val="00816290"/>
    <w:rsid w:val="00816C4D"/>
    <w:rsid w:val="00817B7B"/>
    <w:rsid w:val="00817F56"/>
    <w:rsid w:val="00820D6B"/>
    <w:rsid w:val="00820E0F"/>
    <w:rsid w:val="008218D2"/>
    <w:rsid w:val="0082248C"/>
    <w:rsid w:val="00822DB7"/>
    <w:rsid w:val="00822F19"/>
    <w:rsid w:val="008256D2"/>
    <w:rsid w:val="008266FA"/>
    <w:rsid w:val="00826AB4"/>
    <w:rsid w:val="00826F90"/>
    <w:rsid w:val="00827103"/>
    <w:rsid w:val="008319B1"/>
    <w:rsid w:val="00832A50"/>
    <w:rsid w:val="0083342B"/>
    <w:rsid w:val="00833582"/>
    <w:rsid w:val="00833B81"/>
    <w:rsid w:val="00834060"/>
    <w:rsid w:val="00834E53"/>
    <w:rsid w:val="00835784"/>
    <w:rsid w:val="00835817"/>
    <w:rsid w:val="008364F4"/>
    <w:rsid w:val="00836CBB"/>
    <w:rsid w:val="00837021"/>
    <w:rsid w:val="008370C6"/>
    <w:rsid w:val="00837B3B"/>
    <w:rsid w:val="00837C6A"/>
    <w:rsid w:val="00840B75"/>
    <w:rsid w:val="00840F44"/>
    <w:rsid w:val="008418A0"/>
    <w:rsid w:val="00845393"/>
    <w:rsid w:val="00845455"/>
    <w:rsid w:val="00845A00"/>
    <w:rsid w:val="00845A37"/>
    <w:rsid w:val="00845A4A"/>
    <w:rsid w:val="00846684"/>
    <w:rsid w:val="00846D73"/>
    <w:rsid w:val="00846E6A"/>
    <w:rsid w:val="00850214"/>
    <w:rsid w:val="00851893"/>
    <w:rsid w:val="00851F0F"/>
    <w:rsid w:val="008525A7"/>
    <w:rsid w:val="008528B7"/>
    <w:rsid w:val="00853785"/>
    <w:rsid w:val="00853EAC"/>
    <w:rsid w:val="00855163"/>
    <w:rsid w:val="00855B8C"/>
    <w:rsid w:val="00855C6F"/>
    <w:rsid w:val="00856060"/>
    <w:rsid w:val="00856799"/>
    <w:rsid w:val="00856D22"/>
    <w:rsid w:val="00856D42"/>
    <w:rsid w:val="0085751F"/>
    <w:rsid w:val="00857AC7"/>
    <w:rsid w:val="00860256"/>
    <w:rsid w:val="0086200F"/>
    <w:rsid w:val="0086207C"/>
    <w:rsid w:val="008622B4"/>
    <w:rsid w:val="0086352E"/>
    <w:rsid w:val="00864E87"/>
    <w:rsid w:val="00864F20"/>
    <w:rsid w:val="00866D21"/>
    <w:rsid w:val="00867F8D"/>
    <w:rsid w:val="00870D9F"/>
    <w:rsid w:val="00871770"/>
    <w:rsid w:val="00872096"/>
    <w:rsid w:val="0087355B"/>
    <w:rsid w:val="00875050"/>
    <w:rsid w:val="008753B0"/>
    <w:rsid w:val="008759C8"/>
    <w:rsid w:val="00877052"/>
    <w:rsid w:val="00877507"/>
    <w:rsid w:val="0087756E"/>
    <w:rsid w:val="008776AD"/>
    <w:rsid w:val="0087773A"/>
    <w:rsid w:val="00877801"/>
    <w:rsid w:val="00877A87"/>
    <w:rsid w:val="00880004"/>
    <w:rsid w:val="008814DC"/>
    <w:rsid w:val="0088372E"/>
    <w:rsid w:val="00883A22"/>
    <w:rsid w:val="00883CFF"/>
    <w:rsid w:val="00884CF4"/>
    <w:rsid w:val="00886841"/>
    <w:rsid w:val="00887210"/>
    <w:rsid w:val="0088725A"/>
    <w:rsid w:val="00887807"/>
    <w:rsid w:val="00887FD2"/>
    <w:rsid w:val="008907B0"/>
    <w:rsid w:val="00891EB4"/>
    <w:rsid w:val="008922E0"/>
    <w:rsid w:val="008928CE"/>
    <w:rsid w:val="00893E51"/>
    <w:rsid w:val="00894296"/>
    <w:rsid w:val="00894349"/>
    <w:rsid w:val="00895840"/>
    <w:rsid w:val="00895A61"/>
    <w:rsid w:val="00896917"/>
    <w:rsid w:val="00896946"/>
    <w:rsid w:val="008973FB"/>
    <w:rsid w:val="00897552"/>
    <w:rsid w:val="00897CF6"/>
    <w:rsid w:val="008A0AD1"/>
    <w:rsid w:val="008A13CE"/>
    <w:rsid w:val="008A2CCD"/>
    <w:rsid w:val="008A3058"/>
    <w:rsid w:val="008A3366"/>
    <w:rsid w:val="008A5FE7"/>
    <w:rsid w:val="008A6272"/>
    <w:rsid w:val="008A6FBC"/>
    <w:rsid w:val="008B07CD"/>
    <w:rsid w:val="008B090A"/>
    <w:rsid w:val="008B09CA"/>
    <w:rsid w:val="008B1B4B"/>
    <w:rsid w:val="008B2FA3"/>
    <w:rsid w:val="008B3F97"/>
    <w:rsid w:val="008B4DD8"/>
    <w:rsid w:val="008B5165"/>
    <w:rsid w:val="008B62DE"/>
    <w:rsid w:val="008B67FD"/>
    <w:rsid w:val="008B68F6"/>
    <w:rsid w:val="008B7AB8"/>
    <w:rsid w:val="008C070C"/>
    <w:rsid w:val="008C0B83"/>
    <w:rsid w:val="008C11F7"/>
    <w:rsid w:val="008C1C3B"/>
    <w:rsid w:val="008C2CE3"/>
    <w:rsid w:val="008C347A"/>
    <w:rsid w:val="008C3EAA"/>
    <w:rsid w:val="008C47BF"/>
    <w:rsid w:val="008C4914"/>
    <w:rsid w:val="008C52F7"/>
    <w:rsid w:val="008C7365"/>
    <w:rsid w:val="008D0621"/>
    <w:rsid w:val="008D126C"/>
    <w:rsid w:val="008D25B4"/>
    <w:rsid w:val="008D2972"/>
    <w:rsid w:val="008D3F1A"/>
    <w:rsid w:val="008D4309"/>
    <w:rsid w:val="008D4CF8"/>
    <w:rsid w:val="008D50FD"/>
    <w:rsid w:val="008D518E"/>
    <w:rsid w:val="008D63F1"/>
    <w:rsid w:val="008D67C4"/>
    <w:rsid w:val="008D6FDB"/>
    <w:rsid w:val="008D7154"/>
    <w:rsid w:val="008D72E8"/>
    <w:rsid w:val="008E0A78"/>
    <w:rsid w:val="008E57FB"/>
    <w:rsid w:val="008E6ABE"/>
    <w:rsid w:val="008F0D30"/>
    <w:rsid w:val="008F12DC"/>
    <w:rsid w:val="008F143F"/>
    <w:rsid w:val="008F3C7F"/>
    <w:rsid w:val="008F47FC"/>
    <w:rsid w:val="008F5656"/>
    <w:rsid w:val="008F61FD"/>
    <w:rsid w:val="008F6410"/>
    <w:rsid w:val="008F6E98"/>
    <w:rsid w:val="008F7D21"/>
    <w:rsid w:val="0090081D"/>
    <w:rsid w:val="00900C64"/>
    <w:rsid w:val="00901109"/>
    <w:rsid w:val="0090161B"/>
    <w:rsid w:val="00902AD6"/>
    <w:rsid w:val="00902CFE"/>
    <w:rsid w:val="0090363E"/>
    <w:rsid w:val="009037E5"/>
    <w:rsid w:val="0090444F"/>
    <w:rsid w:val="00904C3A"/>
    <w:rsid w:val="00911388"/>
    <w:rsid w:val="009114EB"/>
    <w:rsid w:val="00912565"/>
    <w:rsid w:val="00913EEE"/>
    <w:rsid w:val="00914776"/>
    <w:rsid w:val="00915913"/>
    <w:rsid w:val="00916F4B"/>
    <w:rsid w:val="0091704D"/>
    <w:rsid w:val="0092052B"/>
    <w:rsid w:val="009218E2"/>
    <w:rsid w:val="00923995"/>
    <w:rsid w:val="009242A6"/>
    <w:rsid w:val="00925576"/>
    <w:rsid w:val="009255CC"/>
    <w:rsid w:val="00926BAB"/>
    <w:rsid w:val="00930136"/>
    <w:rsid w:val="00930286"/>
    <w:rsid w:val="00930C7F"/>
    <w:rsid w:val="00931379"/>
    <w:rsid w:val="0093176E"/>
    <w:rsid w:val="0093191D"/>
    <w:rsid w:val="0093551A"/>
    <w:rsid w:val="00935799"/>
    <w:rsid w:val="00935CA0"/>
    <w:rsid w:val="00935E61"/>
    <w:rsid w:val="00936CA3"/>
    <w:rsid w:val="00936CAD"/>
    <w:rsid w:val="009374C7"/>
    <w:rsid w:val="0093798D"/>
    <w:rsid w:val="0094033A"/>
    <w:rsid w:val="0094049B"/>
    <w:rsid w:val="009427CA"/>
    <w:rsid w:val="009427FA"/>
    <w:rsid w:val="00942EEF"/>
    <w:rsid w:val="00944F43"/>
    <w:rsid w:val="0094507F"/>
    <w:rsid w:val="0094528E"/>
    <w:rsid w:val="00950020"/>
    <w:rsid w:val="009532D4"/>
    <w:rsid w:val="00953994"/>
    <w:rsid w:val="0095430D"/>
    <w:rsid w:val="00954436"/>
    <w:rsid w:val="00954C31"/>
    <w:rsid w:val="009553B0"/>
    <w:rsid w:val="00957255"/>
    <w:rsid w:val="00957B54"/>
    <w:rsid w:val="00957EAC"/>
    <w:rsid w:val="00960643"/>
    <w:rsid w:val="00960EA5"/>
    <w:rsid w:val="00960F0E"/>
    <w:rsid w:val="009619B8"/>
    <w:rsid w:val="00962973"/>
    <w:rsid w:val="00962D91"/>
    <w:rsid w:val="00963535"/>
    <w:rsid w:val="00963652"/>
    <w:rsid w:val="009636B1"/>
    <w:rsid w:val="009640DE"/>
    <w:rsid w:val="00965D54"/>
    <w:rsid w:val="00965E09"/>
    <w:rsid w:val="009666FD"/>
    <w:rsid w:val="00966825"/>
    <w:rsid w:val="009670B3"/>
    <w:rsid w:val="0096757E"/>
    <w:rsid w:val="00970088"/>
    <w:rsid w:val="00970208"/>
    <w:rsid w:val="00970649"/>
    <w:rsid w:val="0097088C"/>
    <w:rsid w:val="00970A27"/>
    <w:rsid w:val="00970F50"/>
    <w:rsid w:val="00971552"/>
    <w:rsid w:val="009718F7"/>
    <w:rsid w:val="0097191B"/>
    <w:rsid w:val="00971A11"/>
    <w:rsid w:val="00972A15"/>
    <w:rsid w:val="009734E3"/>
    <w:rsid w:val="0097449E"/>
    <w:rsid w:val="00974760"/>
    <w:rsid w:val="00974B7D"/>
    <w:rsid w:val="0097524C"/>
    <w:rsid w:val="00975CB4"/>
    <w:rsid w:val="00976000"/>
    <w:rsid w:val="00977734"/>
    <w:rsid w:val="00977B90"/>
    <w:rsid w:val="009809C9"/>
    <w:rsid w:val="0098267A"/>
    <w:rsid w:val="00982A1E"/>
    <w:rsid w:val="009835FC"/>
    <w:rsid w:val="00983BBD"/>
    <w:rsid w:val="009848AD"/>
    <w:rsid w:val="00985443"/>
    <w:rsid w:val="00986968"/>
    <w:rsid w:val="00986D8F"/>
    <w:rsid w:val="00986F01"/>
    <w:rsid w:val="00987623"/>
    <w:rsid w:val="00987AE1"/>
    <w:rsid w:val="00987C86"/>
    <w:rsid w:val="00987DE2"/>
    <w:rsid w:val="00991995"/>
    <w:rsid w:val="00992919"/>
    <w:rsid w:val="009932ED"/>
    <w:rsid w:val="0099342B"/>
    <w:rsid w:val="00994F25"/>
    <w:rsid w:val="0099557B"/>
    <w:rsid w:val="0099574A"/>
    <w:rsid w:val="009957C0"/>
    <w:rsid w:val="00996E4D"/>
    <w:rsid w:val="009974EE"/>
    <w:rsid w:val="00997D4C"/>
    <w:rsid w:val="009A03AD"/>
    <w:rsid w:val="009A17AD"/>
    <w:rsid w:val="009A21FA"/>
    <w:rsid w:val="009A27F0"/>
    <w:rsid w:val="009A3425"/>
    <w:rsid w:val="009A3692"/>
    <w:rsid w:val="009A38D3"/>
    <w:rsid w:val="009A627B"/>
    <w:rsid w:val="009A63C1"/>
    <w:rsid w:val="009A6D35"/>
    <w:rsid w:val="009B0C9F"/>
    <w:rsid w:val="009B0E1B"/>
    <w:rsid w:val="009B20E7"/>
    <w:rsid w:val="009B24C6"/>
    <w:rsid w:val="009B27E3"/>
    <w:rsid w:val="009B309C"/>
    <w:rsid w:val="009B333F"/>
    <w:rsid w:val="009B369D"/>
    <w:rsid w:val="009B464B"/>
    <w:rsid w:val="009B603D"/>
    <w:rsid w:val="009B7087"/>
    <w:rsid w:val="009B7B2B"/>
    <w:rsid w:val="009C03E3"/>
    <w:rsid w:val="009C1602"/>
    <w:rsid w:val="009C2684"/>
    <w:rsid w:val="009C281E"/>
    <w:rsid w:val="009C323D"/>
    <w:rsid w:val="009C3BF1"/>
    <w:rsid w:val="009C3F2A"/>
    <w:rsid w:val="009C412A"/>
    <w:rsid w:val="009C4EC3"/>
    <w:rsid w:val="009C5590"/>
    <w:rsid w:val="009C7DAE"/>
    <w:rsid w:val="009D0A18"/>
    <w:rsid w:val="009D1805"/>
    <w:rsid w:val="009D23AF"/>
    <w:rsid w:val="009D2624"/>
    <w:rsid w:val="009D265E"/>
    <w:rsid w:val="009D2A8E"/>
    <w:rsid w:val="009D3B78"/>
    <w:rsid w:val="009D53F7"/>
    <w:rsid w:val="009D57A8"/>
    <w:rsid w:val="009D5EEF"/>
    <w:rsid w:val="009D69E0"/>
    <w:rsid w:val="009D6CF8"/>
    <w:rsid w:val="009D7EBD"/>
    <w:rsid w:val="009E26D8"/>
    <w:rsid w:val="009E2D1A"/>
    <w:rsid w:val="009E4D13"/>
    <w:rsid w:val="009E4EF5"/>
    <w:rsid w:val="009E50B6"/>
    <w:rsid w:val="009E542D"/>
    <w:rsid w:val="009E63A3"/>
    <w:rsid w:val="009E6925"/>
    <w:rsid w:val="009E6C2C"/>
    <w:rsid w:val="009E7A67"/>
    <w:rsid w:val="009F17FD"/>
    <w:rsid w:val="009F1C83"/>
    <w:rsid w:val="009F2C27"/>
    <w:rsid w:val="009F3135"/>
    <w:rsid w:val="009F3446"/>
    <w:rsid w:val="009F36B2"/>
    <w:rsid w:val="009F3F75"/>
    <w:rsid w:val="009F4AFF"/>
    <w:rsid w:val="009F4EC7"/>
    <w:rsid w:val="009F5306"/>
    <w:rsid w:val="009F5835"/>
    <w:rsid w:val="009F5A38"/>
    <w:rsid w:val="009F69F0"/>
    <w:rsid w:val="009F704B"/>
    <w:rsid w:val="009F71A9"/>
    <w:rsid w:val="00A01CA6"/>
    <w:rsid w:val="00A039E1"/>
    <w:rsid w:val="00A03C7F"/>
    <w:rsid w:val="00A03D6C"/>
    <w:rsid w:val="00A0415C"/>
    <w:rsid w:val="00A04671"/>
    <w:rsid w:val="00A04AAD"/>
    <w:rsid w:val="00A0558A"/>
    <w:rsid w:val="00A058FA"/>
    <w:rsid w:val="00A05FFD"/>
    <w:rsid w:val="00A06701"/>
    <w:rsid w:val="00A06A5F"/>
    <w:rsid w:val="00A073A0"/>
    <w:rsid w:val="00A0775B"/>
    <w:rsid w:val="00A10F70"/>
    <w:rsid w:val="00A12B14"/>
    <w:rsid w:val="00A12D1E"/>
    <w:rsid w:val="00A13D46"/>
    <w:rsid w:val="00A1419B"/>
    <w:rsid w:val="00A154F4"/>
    <w:rsid w:val="00A15854"/>
    <w:rsid w:val="00A1754B"/>
    <w:rsid w:val="00A202CD"/>
    <w:rsid w:val="00A20AE3"/>
    <w:rsid w:val="00A211FC"/>
    <w:rsid w:val="00A223DF"/>
    <w:rsid w:val="00A22785"/>
    <w:rsid w:val="00A23462"/>
    <w:rsid w:val="00A234DA"/>
    <w:rsid w:val="00A2418B"/>
    <w:rsid w:val="00A2568E"/>
    <w:rsid w:val="00A26BE5"/>
    <w:rsid w:val="00A26DAE"/>
    <w:rsid w:val="00A27FDF"/>
    <w:rsid w:val="00A308B7"/>
    <w:rsid w:val="00A33050"/>
    <w:rsid w:val="00A3313D"/>
    <w:rsid w:val="00A332B6"/>
    <w:rsid w:val="00A33C59"/>
    <w:rsid w:val="00A35577"/>
    <w:rsid w:val="00A358D8"/>
    <w:rsid w:val="00A35D01"/>
    <w:rsid w:val="00A35D1C"/>
    <w:rsid w:val="00A3789D"/>
    <w:rsid w:val="00A37B31"/>
    <w:rsid w:val="00A40020"/>
    <w:rsid w:val="00A40ED4"/>
    <w:rsid w:val="00A41536"/>
    <w:rsid w:val="00A43A99"/>
    <w:rsid w:val="00A43D9C"/>
    <w:rsid w:val="00A4405B"/>
    <w:rsid w:val="00A4452A"/>
    <w:rsid w:val="00A456D9"/>
    <w:rsid w:val="00A458C6"/>
    <w:rsid w:val="00A45B99"/>
    <w:rsid w:val="00A4692D"/>
    <w:rsid w:val="00A51EFE"/>
    <w:rsid w:val="00A51F36"/>
    <w:rsid w:val="00A52026"/>
    <w:rsid w:val="00A527B3"/>
    <w:rsid w:val="00A532B6"/>
    <w:rsid w:val="00A54455"/>
    <w:rsid w:val="00A54AC3"/>
    <w:rsid w:val="00A55046"/>
    <w:rsid w:val="00A553E9"/>
    <w:rsid w:val="00A554EF"/>
    <w:rsid w:val="00A55EC3"/>
    <w:rsid w:val="00A563FD"/>
    <w:rsid w:val="00A57B58"/>
    <w:rsid w:val="00A61164"/>
    <w:rsid w:val="00A61B82"/>
    <w:rsid w:val="00A61C77"/>
    <w:rsid w:val="00A62360"/>
    <w:rsid w:val="00A632D8"/>
    <w:rsid w:val="00A6371E"/>
    <w:rsid w:val="00A63F3F"/>
    <w:rsid w:val="00A650CE"/>
    <w:rsid w:val="00A65AAD"/>
    <w:rsid w:val="00A67183"/>
    <w:rsid w:val="00A67C59"/>
    <w:rsid w:val="00A67F27"/>
    <w:rsid w:val="00A70FC2"/>
    <w:rsid w:val="00A71850"/>
    <w:rsid w:val="00A71D97"/>
    <w:rsid w:val="00A724B9"/>
    <w:rsid w:val="00A73716"/>
    <w:rsid w:val="00A73829"/>
    <w:rsid w:val="00A7503F"/>
    <w:rsid w:val="00A7642F"/>
    <w:rsid w:val="00A776D3"/>
    <w:rsid w:val="00A800A4"/>
    <w:rsid w:val="00A809EA"/>
    <w:rsid w:val="00A80DC5"/>
    <w:rsid w:val="00A834B2"/>
    <w:rsid w:val="00A83ED5"/>
    <w:rsid w:val="00A8435D"/>
    <w:rsid w:val="00A8437B"/>
    <w:rsid w:val="00A8459D"/>
    <w:rsid w:val="00A84760"/>
    <w:rsid w:val="00A85EE7"/>
    <w:rsid w:val="00A86784"/>
    <w:rsid w:val="00A86F93"/>
    <w:rsid w:val="00A87AA9"/>
    <w:rsid w:val="00A87B8F"/>
    <w:rsid w:val="00A90D04"/>
    <w:rsid w:val="00A91320"/>
    <w:rsid w:val="00A9199A"/>
    <w:rsid w:val="00A91C1C"/>
    <w:rsid w:val="00A926FC"/>
    <w:rsid w:val="00A92E0D"/>
    <w:rsid w:val="00A935E8"/>
    <w:rsid w:val="00A9469E"/>
    <w:rsid w:val="00A94E89"/>
    <w:rsid w:val="00A95124"/>
    <w:rsid w:val="00A9566C"/>
    <w:rsid w:val="00A95979"/>
    <w:rsid w:val="00A96E25"/>
    <w:rsid w:val="00A97CB4"/>
    <w:rsid w:val="00A97CBB"/>
    <w:rsid w:val="00A97F34"/>
    <w:rsid w:val="00AA0A21"/>
    <w:rsid w:val="00AA11E2"/>
    <w:rsid w:val="00AA11ED"/>
    <w:rsid w:val="00AA2502"/>
    <w:rsid w:val="00AA2EA6"/>
    <w:rsid w:val="00AA35C6"/>
    <w:rsid w:val="00AA3A84"/>
    <w:rsid w:val="00AA430C"/>
    <w:rsid w:val="00AA4442"/>
    <w:rsid w:val="00AA4C62"/>
    <w:rsid w:val="00AA5103"/>
    <w:rsid w:val="00AA59C1"/>
    <w:rsid w:val="00AA6CCE"/>
    <w:rsid w:val="00AA7206"/>
    <w:rsid w:val="00AB0298"/>
    <w:rsid w:val="00AB05C4"/>
    <w:rsid w:val="00AB0728"/>
    <w:rsid w:val="00AB126F"/>
    <w:rsid w:val="00AB214D"/>
    <w:rsid w:val="00AB2C2B"/>
    <w:rsid w:val="00AB2E29"/>
    <w:rsid w:val="00AB3639"/>
    <w:rsid w:val="00AB3E56"/>
    <w:rsid w:val="00AB4FF3"/>
    <w:rsid w:val="00AB67F6"/>
    <w:rsid w:val="00AB6E3D"/>
    <w:rsid w:val="00AB7DEE"/>
    <w:rsid w:val="00AC034A"/>
    <w:rsid w:val="00AC0562"/>
    <w:rsid w:val="00AC1243"/>
    <w:rsid w:val="00AC12EF"/>
    <w:rsid w:val="00AC1830"/>
    <w:rsid w:val="00AC2E64"/>
    <w:rsid w:val="00AC5A5D"/>
    <w:rsid w:val="00AC5B52"/>
    <w:rsid w:val="00AC6297"/>
    <w:rsid w:val="00AC778A"/>
    <w:rsid w:val="00AD075A"/>
    <w:rsid w:val="00AD0B4B"/>
    <w:rsid w:val="00AD180B"/>
    <w:rsid w:val="00AD28C9"/>
    <w:rsid w:val="00AD30DA"/>
    <w:rsid w:val="00AD3346"/>
    <w:rsid w:val="00AD3681"/>
    <w:rsid w:val="00AD372D"/>
    <w:rsid w:val="00AD679C"/>
    <w:rsid w:val="00AD7014"/>
    <w:rsid w:val="00AD7629"/>
    <w:rsid w:val="00AD7AF6"/>
    <w:rsid w:val="00AE0862"/>
    <w:rsid w:val="00AE1A81"/>
    <w:rsid w:val="00AE1FEF"/>
    <w:rsid w:val="00AE2113"/>
    <w:rsid w:val="00AE3838"/>
    <w:rsid w:val="00AE3F89"/>
    <w:rsid w:val="00AE4F57"/>
    <w:rsid w:val="00AE5821"/>
    <w:rsid w:val="00AE584A"/>
    <w:rsid w:val="00AE6175"/>
    <w:rsid w:val="00AE61D2"/>
    <w:rsid w:val="00AE76E4"/>
    <w:rsid w:val="00AF0341"/>
    <w:rsid w:val="00AF0566"/>
    <w:rsid w:val="00AF0C4D"/>
    <w:rsid w:val="00AF0FAE"/>
    <w:rsid w:val="00AF16FC"/>
    <w:rsid w:val="00AF213C"/>
    <w:rsid w:val="00AF4200"/>
    <w:rsid w:val="00AF57DD"/>
    <w:rsid w:val="00AF5B77"/>
    <w:rsid w:val="00AF6549"/>
    <w:rsid w:val="00AF65A8"/>
    <w:rsid w:val="00AF72A7"/>
    <w:rsid w:val="00B00236"/>
    <w:rsid w:val="00B00E68"/>
    <w:rsid w:val="00B01ABE"/>
    <w:rsid w:val="00B01F56"/>
    <w:rsid w:val="00B021CB"/>
    <w:rsid w:val="00B02FD1"/>
    <w:rsid w:val="00B03589"/>
    <w:rsid w:val="00B04257"/>
    <w:rsid w:val="00B04BFE"/>
    <w:rsid w:val="00B055A8"/>
    <w:rsid w:val="00B0574C"/>
    <w:rsid w:val="00B0643F"/>
    <w:rsid w:val="00B070C2"/>
    <w:rsid w:val="00B0717F"/>
    <w:rsid w:val="00B07878"/>
    <w:rsid w:val="00B07A2F"/>
    <w:rsid w:val="00B1095D"/>
    <w:rsid w:val="00B11712"/>
    <w:rsid w:val="00B1180F"/>
    <w:rsid w:val="00B11D2A"/>
    <w:rsid w:val="00B12CE6"/>
    <w:rsid w:val="00B13C7F"/>
    <w:rsid w:val="00B1478F"/>
    <w:rsid w:val="00B148B6"/>
    <w:rsid w:val="00B15A74"/>
    <w:rsid w:val="00B15B8A"/>
    <w:rsid w:val="00B16514"/>
    <w:rsid w:val="00B172BD"/>
    <w:rsid w:val="00B177C6"/>
    <w:rsid w:val="00B210A8"/>
    <w:rsid w:val="00B21914"/>
    <w:rsid w:val="00B23B61"/>
    <w:rsid w:val="00B24744"/>
    <w:rsid w:val="00B264E0"/>
    <w:rsid w:val="00B26B9A"/>
    <w:rsid w:val="00B304B3"/>
    <w:rsid w:val="00B30F6E"/>
    <w:rsid w:val="00B31B29"/>
    <w:rsid w:val="00B33B98"/>
    <w:rsid w:val="00B33C35"/>
    <w:rsid w:val="00B353CB"/>
    <w:rsid w:val="00B3568B"/>
    <w:rsid w:val="00B369C1"/>
    <w:rsid w:val="00B374B6"/>
    <w:rsid w:val="00B37ED4"/>
    <w:rsid w:val="00B40732"/>
    <w:rsid w:val="00B40A53"/>
    <w:rsid w:val="00B4191E"/>
    <w:rsid w:val="00B41C38"/>
    <w:rsid w:val="00B41CAF"/>
    <w:rsid w:val="00B42883"/>
    <w:rsid w:val="00B43B3D"/>
    <w:rsid w:val="00B4444D"/>
    <w:rsid w:val="00B44487"/>
    <w:rsid w:val="00B4451A"/>
    <w:rsid w:val="00B44FB9"/>
    <w:rsid w:val="00B453DF"/>
    <w:rsid w:val="00B45573"/>
    <w:rsid w:val="00B47B55"/>
    <w:rsid w:val="00B506A0"/>
    <w:rsid w:val="00B50752"/>
    <w:rsid w:val="00B50C24"/>
    <w:rsid w:val="00B50C69"/>
    <w:rsid w:val="00B51674"/>
    <w:rsid w:val="00B51DD3"/>
    <w:rsid w:val="00B52373"/>
    <w:rsid w:val="00B52D58"/>
    <w:rsid w:val="00B52F2D"/>
    <w:rsid w:val="00B5330F"/>
    <w:rsid w:val="00B541CE"/>
    <w:rsid w:val="00B54697"/>
    <w:rsid w:val="00B55471"/>
    <w:rsid w:val="00B56B6B"/>
    <w:rsid w:val="00B57C71"/>
    <w:rsid w:val="00B607F9"/>
    <w:rsid w:val="00B6103A"/>
    <w:rsid w:val="00B62536"/>
    <w:rsid w:val="00B63D60"/>
    <w:rsid w:val="00B64E16"/>
    <w:rsid w:val="00B65289"/>
    <w:rsid w:val="00B65673"/>
    <w:rsid w:val="00B65934"/>
    <w:rsid w:val="00B65FA9"/>
    <w:rsid w:val="00B6664B"/>
    <w:rsid w:val="00B6781D"/>
    <w:rsid w:val="00B67F7D"/>
    <w:rsid w:val="00B70298"/>
    <w:rsid w:val="00B70AEE"/>
    <w:rsid w:val="00B715CB"/>
    <w:rsid w:val="00B71CC0"/>
    <w:rsid w:val="00B72E78"/>
    <w:rsid w:val="00B72F4F"/>
    <w:rsid w:val="00B7375E"/>
    <w:rsid w:val="00B73B43"/>
    <w:rsid w:val="00B743DE"/>
    <w:rsid w:val="00B75130"/>
    <w:rsid w:val="00B751C0"/>
    <w:rsid w:val="00B7657E"/>
    <w:rsid w:val="00B766FC"/>
    <w:rsid w:val="00B770CC"/>
    <w:rsid w:val="00B7778C"/>
    <w:rsid w:val="00B7787F"/>
    <w:rsid w:val="00B80529"/>
    <w:rsid w:val="00B811ED"/>
    <w:rsid w:val="00B8292B"/>
    <w:rsid w:val="00B83E0A"/>
    <w:rsid w:val="00B848F6"/>
    <w:rsid w:val="00B85232"/>
    <w:rsid w:val="00B85936"/>
    <w:rsid w:val="00B85F73"/>
    <w:rsid w:val="00B86085"/>
    <w:rsid w:val="00B86804"/>
    <w:rsid w:val="00B86BD8"/>
    <w:rsid w:val="00B901B0"/>
    <w:rsid w:val="00B906D5"/>
    <w:rsid w:val="00B9096F"/>
    <w:rsid w:val="00B909C5"/>
    <w:rsid w:val="00B91A07"/>
    <w:rsid w:val="00B920A4"/>
    <w:rsid w:val="00B92A49"/>
    <w:rsid w:val="00B92D0A"/>
    <w:rsid w:val="00B94192"/>
    <w:rsid w:val="00B9710D"/>
    <w:rsid w:val="00B97AE9"/>
    <w:rsid w:val="00B97F15"/>
    <w:rsid w:val="00B97F54"/>
    <w:rsid w:val="00BA0230"/>
    <w:rsid w:val="00BA077C"/>
    <w:rsid w:val="00BA07C4"/>
    <w:rsid w:val="00BA09EB"/>
    <w:rsid w:val="00BA0DDB"/>
    <w:rsid w:val="00BA1117"/>
    <w:rsid w:val="00BA1534"/>
    <w:rsid w:val="00BA2FEC"/>
    <w:rsid w:val="00BA38B1"/>
    <w:rsid w:val="00BA3FC4"/>
    <w:rsid w:val="00BA415A"/>
    <w:rsid w:val="00BA47C2"/>
    <w:rsid w:val="00BA4A9B"/>
    <w:rsid w:val="00BA508D"/>
    <w:rsid w:val="00BA54B8"/>
    <w:rsid w:val="00BA5F96"/>
    <w:rsid w:val="00BA71F0"/>
    <w:rsid w:val="00BA7610"/>
    <w:rsid w:val="00BA7E60"/>
    <w:rsid w:val="00BB0D61"/>
    <w:rsid w:val="00BB104A"/>
    <w:rsid w:val="00BB3FBB"/>
    <w:rsid w:val="00BB4C44"/>
    <w:rsid w:val="00BB4CCC"/>
    <w:rsid w:val="00BB6A16"/>
    <w:rsid w:val="00BB79DB"/>
    <w:rsid w:val="00BB7B6C"/>
    <w:rsid w:val="00BC0445"/>
    <w:rsid w:val="00BC0825"/>
    <w:rsid w:val="00BC12B3"/>
    <w:rsid w:val="00BC1CAA"/>
    <w:rsid w:val="00BC45B7"/>
    <w:rsid w:val="00BC56DF"/>
    <w:rsid w:val="00BC61C2"/>
    <w:rsid w:val="00BC69D4"/>
    <w:rsid w:val="00BC6B85"/>
    <w:rsid w:val="00BC7006"/>
    <w:rsid w:val="00BC7160"/>
    <w:rsid w:val="00BD02BD"/>
    <w:rsid w:val="00BD079E"/>
    <w:rsid w:val="00BD1467"/>
    <w:rsid w:val="00BD29DF"/>
    <w:rsid w:val="00BD3BA5"/>
    <w:rsid w:val="00BD4AFF"/>
    <w:rsid w:val="00BD4B61"/>
    <w:rsid w:val="00BD4C29"/>
    <w:rsid w:val="00BD573A"/>
    <w:rsid w:val="00BD6399"/>
    <w:rsid w:val="00BD69A5"/>
    <w:rsid w:val="00BD7DC2"/>
    <w:rsid w:val="00BE15D8"/>
    <w:rsid w:val="00BE16D1"/>
    <w:rsid w:val="00BE1B30"/>
    <w:rsid w:val="00BE341E"/>
    <w:rsid w:val="00BE37FF"/>
    <w:rsid w:val="00BE4AF7"/>
    <w:rsid w:val="00BE5286"/>
    <w:rsid w:val="00BE74F4"/>
    <w:rsid w:val="00BF00DD"/>
    <w:rsid w:val="00BF0329"/>
    <w:rsid w:val="00BF0B81"/>
    <w:rsid w:val="00BF1146"/>
    <w:rsid w:val="00BF12D4"/>
    <w:rsid w:val="00BF1302"/>
    <w:rsid w:val="00BF1897"/>
    <w:rsid w:val="00BF18E3"/>
    <w:rsid w:val="00BF1BC4"/>
    <w:rsid w:val="00BF20CA"/>
    <w:rsid w:val="00BF2B4B"/>
    <w:rsid w:val="00BF2B90"/>
    <w:rsid w:val="00BF2EE9"/>
    <w:rsid w:val="00BF37F7"/>
    <w:rsid w:val="00BF43C4"/>
    <w:rsid w:val="00BF46B1"/>
    <w:rsid w:val="00BF547D"/>
    <w:rsid w:val="00BF5741"/>
    <w:rsid w:val="00BF63D3"/>
    <w:rsid w:val="00BF6850"/>
    <w:rsid w:val="00BF6EF9"/>
    <w:rsid w:val="00BF74C3"/>
    <w:rsid w:val="00BF7BE7"/>
    <w:rsid w:val="00BF7E2B"/>
    <w:rsid w:val="00C00126"/>
    <w:rsid w:val="00C01631"/>
    <w:rsid w:val="00C01CE0"/>
    <w:rsid w:val="00C01E17"/>
    <w:rsid w:val="00C0239E"/>
    <w:rsid w:val="00C023BA"/>
    <w:rsid w:val="00C0291E"/>
    <w:rsid w:val="00C02CE0"/>
    <w:rsid w:val="00C030FC"/>
    <w:rsid w:val="00C0334D"/>
    <w:rsid w:val="00C034AF"/>
    <w:rsid w:val="00C03EC2"/>
    <w:rsid w:val="00C04EC7"/>
    <w:rsid w:val="00C07B3C"/>
    <w:rsid w:val="00C10541"/>
    <w:rsid w:val="00C10B1F"/>
    <w:rsid w:val="00C1123C"/>
    <w:rsid w:val="00C11961"/>
    <w:rsid w:val="00C11FB4"/>
    <w:rsid w:val="00C12CFE"/>
    <w:rsid w:val="00C12FBF"/>
    <w:rsid w:val="00C13172"/>
    <w:rsid w:val="00C13867"/>
    <w:rsid w:val="00C14C2F"/>
    <w:rsid w:val="00C14CC3"/>
    <w:rsid w:val="00C1556F"/>
    <w:rsid w:val="00C15AB4"/>
    <w:rsid w:val="00C165E7"/>
    <w:rsid w:val="00C2066F"/>
    <w:rsid w:val="00C206DF"/>
    <w:rsid w:val="00C2100E"/>
    <w:rsid w:val="00C21738"/>
    <w:rsid w:val="00C2283E"/>
    <w:rsid w:val="00C2309B"/>
    <w:rsid w:val="00C232E3"/>
    <w:rsid w:val="00C23AEF"/>
    <w:rsid w:val="00C23EAB"/>
    <w:rsid w:val="00C24312"/>
    <w:rsid w:val="00C24688"/>
    <w:rsid w:val="00C26322"/>
    <w:rsid w:val="00C26379"/>
    <w:rsid w:val="00C265CD"/>
    <w:rsid w:val="00C269E8"/>
    <w:rsid w:val="00C303C1"/>
    <w:rsid w:val="00C304D5"/>
    <w:rsid w:val="00C305F8"/>
    <w:rsid w:val="00C3185C"/>
    <w:rsid w:val="00C323FB"/>
    <w:rsid w:val="00C332D0"/>
    <w:rsid w:val="00C335CF"/>
    <w:rsid w:val="00C336EA"/>
    <w:rsid w:val="00C340C7"/>
    <w:rsid w:val="00C34DD9"/>
    <w:rsid w:val="00C35822"/>
    <w:rsid w:val="00C36A25"/>
    <w:rsid w:val="00C36A89"/>
    <w:rsid w:val="00C36FDC"/>
    <w:rsid w:val="00C37224"/>
    <w:rsid w:val="00C40740"/>
    <w:rsid w:val="00C40EF1"/>
    <w:rsid w:val="00C41219"/>
    <w:rsid w:val="00C413BC"/>
    <w:rsid w:val="00C423DD"/>
    <w:rsid w:val="00C425EA"/>
    <w:rsid w:val="00C425F6"/>
    <w:rsid w:val="00C42F11"/>
    <w:rsid w:val="00C43A5B"/>
    <w:rsid w:val="00C43BAC"/>
    <w:rsid w:val="00C43D4F"/>
    <w:rsid w:val="00C44915"/>
    <w:rsid w:val="00C44CEB"/>
    <w:rsid w:val="00C4551C"/>
    <w:rsid w:val="00C45BFF"/>
    <w:rsid w:val="00C47D96"/>
    <w:rsid w:val="00C51694"/>
    <w:rsid w:val="00C518C7"/>
    <w:rsid w:val="00C5267E"/>
    <w:rsid w:val="00C52CCE"/>
    <w:rsid w:val="00C5301F"/>
    <w:rsid w:val="00C540EA"/>
    <w:rsid w:val="00C5478D"/>
    <w:rsid w:val="00C552AA"/>
    <w:rsid w:val="00C55654"/>
    <w:rsid w:val="00C55C1C"/>
    <w:rsid w:val="00C560E2"/>
    <w:rsid w:val="00C561E9"/>
    <w:rsid w:val="00C56868"/>
    <w:rsid w:val="00C56AD0"/>
    <w:rsid w:val="00C6047B"/>
    <w:rsid w:val="00C6084A"/>
    <w:rsid w:val="00C619CA"/>
    <w:rsid w:val="00C6222D"/>
    <w:rsid w:val="00C6247E"/>
    <w:rsid w:val="00C63162"/>
    <w:rsid w:val="00C6360E"/>
    <w:rsid w:val="00C637FB"/>
    <w:rsid w:val="00C63858"/>
    <w:rsid w:val="00C63D3D"/>
    <w:rsid w:val="00C648B3"/>
    <w:rsid w:val="00C64BEB"/>
    <w:rsid w:val="00C6546F"/>
    <w:rsid w:val="00C6549D"/>
    <w:rsid w:val="00C656A8"/>
    <w:rsid w:val="00C66442"/>
    <w:rsid w:val="00C66788"/>
    <w:rsid w:val="00C66CAE"/>
    <w:rsid w:val="00C66FAA"/>
    <w:rsid w:val="00C7047E"/>
    <w:rsid w:val="00C70D7E"/>
    <w:rsid w:val="00C71C5E"/>
    <w:rsid w:val="00C727F3"/>
    <w:rsid w:val="00C72AA5"/>
    <w:rsid w:val="00C72B8F"/>
    <w:rsid w:val="00C73ED7"/>
    <w:rsid w:val="00C74690"/>
    <w:rsid w:val="00C74892"/>
    <w:rsid w:val="00C748C1"/>
    <w:rsid w:val="00C75265"/>
    <w:rsid w:val="00C754D0"/>
    <w:rsid w:val="00C75755"/>
    <w:rsid w:val="00C76BC9"/>
    <w:rsid w:val="00C80885"/>
    <w:rsid w:val="00C80DEF"/>
    <w:rsid w:val="00C81228"/>
    <w:rsid w:val="00C81424"/>
    <w:rsid w:val="00C81741"/>
    <w:rsid w:val="00C81B83"/>
    <w:rsid w:val="00C81ECA"/>
    <w:rsid w:val="00C81ED4"/>
    <w:rsid w:val="00C82007"/>
    <w:rsid w:val="00C82F93"/>
    <w:rsid w:val="00C84281"/>
    <w:rsid w:val="00C85D2B"/>
    <w:rsid w:val="00C85E9B"/>
    <w:rsid w:val="00C861E1"/>
    <w:rsid w:val="00C86259"/>
    <w:rsid w:val="00C86E22"/>
    <w:rsid w:val="00C87290"/>
    <w:rsid w:val="00C8755C"/>
    <w:rsid w:val="00C879F6"/>
    <w:rsid w:val="00C923E1"/>
    <w:rsid w:val="00C93195"/>
    <w:rsid w:val="00C93E14"/>
    <w:rsid w:val="00C9463E"/>
    <w:rsid w:val="00C94A61"/>
    <w:rsid w:val="00C953F0"/>
    <w:rsid w:val="00C95C55"/>
    <w:rsid w:val="00C96834"/>
    <w:rsid w:val="00CA0781"/>
    <w:rsid w:val="00CA1869"/>
    <w:rsid w:val="00CA1AAB"/>
    <w:rsid w:val="00CA2233"/>
    <w:rsid w:val="00CA2933"/>
    <w:rsid w:val="00CA5405"/>
    <w:rsid w:val="00CA583D"/>
    <w:rsid w:val="00CA61F1"/>
    <w:rsid w:val="00CA6A3D"/>
    <w:rsid w:val="00CA6B63"/>
    <w:rsid w:val="00CA7321"/>
    <w:rsid w:val="00CA7451"/>
    <w:rsid w:val="00CA7504"/>
    <w:rsid w:val="00CA7DAD"/>
    <w:rsid w:val="00CB0062"/>
    <w:rsid w:val="00CB0552"/>
    <w:rsid w:val="00CB0E03"/>
    <w:rsid w:val="00CB1DD8"/>
    <w:rsid w:val="00CB1ED8"/>
    <w:rsid w:val="00CB2A20"/>
    <w:rsid w:val="00CB2E0C"/>
    <w:rsid w:val="00CB32C9"/>
    <w:rsid w:val="00CB35ED"/>
    <w:rsid w:val="00CB39DC"/>
    <w:rsid w:val="00CB4027"/>
    <w:rsid w:val="00CB4368"/>
    <w:rsid w:val="00CB5060"/>
    <w:rsid w:val="00CB6698"/>
    <w:rsid w:val="00CB692A"/>
    <w:rsid w:val="00CB6DEE"/>
    <w:rsid w:val="00CB763B"/>
    <w:rsid w:val="00CC077C"/>
    <w:rsid w:val="00CC1086"/>
    <w:rsid w:val="00CC1181"/>
    <w:rsid w:val="00CC146C"/>
    <w:rsid w:val="00CC1C54"/>
    <w:rsid w:val="00CC2A36"/>
    <w:rsid w:val="00CC449B"/>
    <w:rsid w:val="00CC46B9"/>
    <w:rsid w:val="00CC49FE"/>
    <w:rsid w:val="00CC4DA1"/>
    <w:rsid w:val="00CC5024"/>
    <w:rsid w:val="00CC6E70"/>
    <w:rsid w:val="00CD0B94"/>
    <w:rsid w:val="00CD182E"/>
    <w:rsid w:val="00CD1B6A"/>
    <w:rsid w:val="00CD209E"/>
    <w:rsid w:val="00CD2B0B"/>
    <w:rsid w:val="00CD4325"/>
    <w:rsid w:val="00CD4F08"/>
    <w:rsid w:val="00CD5024"/>
    <w:rsid w:val="00CD51F5"/>
    <w:rsid w:val="00CD54B7"/>
    <w:rsid w:val="00CD569F"/>
    <w:rsid w:val="00CD5E9F"/>
    <w:rsid w:val="00CD626B"/>
    <w:rsid w:val="00CD67E7"/>
    <w:rsid w:val="00CE03A0"/>
    <w:rsid w:val="00CE0A0B"/>
    <w:rsid w:val="00CE0BCE"/>
    <w:rsid w:val="00CE1321"/>
    <w:rsid w:val="00CE164E"/>
    <w:rsid w:val="00CE251C"/>
    <w:rsid w:val="00CE2D13"/>
    <w:rsid w:val="00CE30C7"/>
    <w:rsid w:val="00CE31C8"/>
    <w:rsid w:val="00CE338B"/>
    <w:rsid w:val="00CE4C58"/>
    <w:rsid w:val="00CE4D82"/>
    <w:rsid w:val="00CE5097"/>
    <w:rsid w:val="00CE52C6"/>
    <w:rsid w:val="00CE56A7"/>
    <w:rsid w:val="00CE62E7"/>
    <w:rsid w:val="00CE6FFD"/>
    <w:rsid w:val="00CF0454"/>
    <w:rsid w:val="00CF0F85"/>
    <w:rsid w:val="00CF1399"/>
    <w:rsid w:val="00CF1986"/>
    <w:rsid w:val="00CF22B2"/>
    <w:rsid w:val="00CF3EAA"/>
    <w:rsid w:val="00CF48C8"/>
    <w:rsid w:val="00CF51FC"/>
    <w:rsid w:val="00CF554E"/>
    <w:rsid w:val="00CF609E"/>
    <w:rsid w:val="00CF63ED"/>
    <w:rsid w:val="00CF6EEC"/>
    <w:rsid w:val="00CF780C"/>
    <w:rsid w:val="00CF7A67"/>
    <w:rsid w:val="00D010FD"/>
    <w:rsid w:val="00D016EF"/>
    <w:rsid w:val="00D01DFF"/>
    <w:rsid w:val="00D02243"/>
    <w:rsid w:val="00D03E10"/>
    <w:rsid w:val="00D04A00"/>
    <w:rsid w:val="00D051DA"/>
    <w:rsid w:val="00D05CD6"/>
    <w:rsid w:val="00D05F8C"/>
    <w:rsid w:val="00D0625F"/>
    <w:rsid w:val="00D0669B"/>
    <w:rsid w:val="00D06CDE"/>
    <w:rsid w:val="00D06E7A"/>
    <w:rsid w:val="00D06F2C"/>
    <w:rsid w:val="00D0734A"/>
    <w:rsid w:val="00D07F10"/>
    <w:rsid w:val="00D1001C"/>
    <w:rsid w:val="00D105B3"/>
    <w:rsid w:val="00D1075F"/>
    <w:rsid w:val="00D11C58"/>
    <w:rsid w:val="00D12662"/>
    <w:rsid w:val="00D12EF2"/>
    <w:rsid w:val="00D13C20"/>
    <w:rsid w:val="00D14994"/>
    <w:rsid w:val="00D14BD1"/>
    <w:rsid w:val="00D14CF3"/>
    <w:rsid w:val="00D155A2"/>
    <w:rsid w:val="00D15F5C"/>
    <w:rsid w:val="00D16E96"/>
    <w:rsid w:val="00D17291"/>
    <w:rsid w:val="00D17BDD"/>
    <w:rsid w:val="00D20688"/>
    <w:rsid w:val="00D20E3A"/>
    <w:rsid w:val="00D21BF8"/>
    <w:rsid w:val="00D24356"/>
    <w:rsid w:val="00D245D5"/>
    <w:rsid w:val="00D24E85"/>
    <w:rsid w:val="00D2502A"/>
    <w:rsid w:val="00D25917"/>
    <w:rsid w:val="00D25FF7"/>
    <w:rsid w:val="00D26C8B"/>
    <w:rsid w:val="00D27328"/>
    <w:rsid w:val="00D27D44"/>
    <w:rsid w:val="00D3018A"/>
    <w:rsid w:val="00D3040C"/>
    <w:rsid w:val="00D30C56"/>
    <w:rsid w:val="00D30E5C"/>
    <w:rsid w:val="00D31CD4"/>
    <w:rsid w:val="00D31F45"/>
    <w:rsid w:val="00D32276"/>
    <w:rsid w:val="00D3253E"/>
    <w:rsid w:val="00D3280E"/>
    <w:rsid w:val="00D32C59"/>
    <w:rsid w:val="00D333C4"/>
    <w:rsid w:val="00D33C05"/>
    <w:rsid w:val="00D34071"/>
    <w:rsid w:val="00D34CBE"/>
    <w:rsid w:val="00D34EC7"/>
    <w:rsid w:val="00D35599"/>
    <w:rsid w:val="00D35C26"/>
    <w:rsid w:val="00D361A6"/>
    <w:rsid w:val="00D36E21"/>
    <w:rsid w:val="00D40002"/>
    <w:rsid w:val="00D40BDD"/>
    <w:rsid w:val="00D410F0"/>
    <w:rsid w:val="00D4173D"/>
    <w:rsid w:val="00D41BEE"/>
    <w:rsid w:val="00D4474E"/>
    <w:rsid w:val="00D45D5A"/>
    <w:rsid w:val="00D46A8B"/>
    <w:rsid w:val="00D4713D"/>
    <w:rsid w:val="00D47482"/>
    <w:rsid w:val="00D47A5B"/>
    <w:rsid w:val="00D501F5"/>
    <w:rsid w:val="00D506BF"/>
    <w:rsid w:val="00D50BAC"/>
    <w:rsid w:val="00D50F0D"/>
    <w:rsid w:val="00D512FC"/>
    <w:rsid w:val="00D51CFC"/>
    <w:rsid w:val="00D53897"/>
    <w:rsid w:val="00D540DF"/>
    <w:rsid w:val="00D54904"/>
    <w:rsid w:val="00D54F9D"/>
    <w:rsid w:val="00D55917"/>
    <w:rsid w:val="00D56A77"/>
    <w:rsid w:val="00D57424"/>
    <w:rsid w:val="00D57FE8"/>
    <w:rsid w:val="00D60365"/>
    <w:rsid w:val="00D6085A"/>
    <w:rsid w:val="00D608C3"/>
    <w:rsid w:val="00D610CD"/>
    <w:rsid w:val="00D61B34"/>
    <w:rsid w:val="00D634B9"/>
    <w:rsid w:val="00D634BF"/>
    <w:rsid w:val="00D643D4"/>
    <w:rsid w:val="00D6459D"/>
    <w:rsid w:val="00D64808"/>
    <w:rsid w:val="00D64D79"/>
    <w:rsid w:val="00D661F8"/>
    <w:rsid w:val="00D667A4"/>
    <w:rsid w:val="00D6686F"/>
    <w:rsid w:val="00D66C53"/>
    <w:rsid w:val="00D678BF"/>
    <w:rsid w:val="00D71F04"/>
    <w:rsid w:val="00D71F9E"/>
    <w:rsid w:val="00D72867"/>
    <w:rsid w:val="00D72B31"/>
    <w:rsid w:val="00D73A95"/>
    <w:rsid w:val="00D74B78"/>
    <w:rsid w:val="00D74D8D"/>
    <w:rsid w:val="00D75503"/>
    <w:rsid w:val="00D75D27"/>
    <w:rsid w:val="00D76121"/>
    <w:rsid w:val="00D76198"/>
    <w:rsid w:val="00D761A8"/>
    <w:rsid w:val="00D76E41"/>
    <w:rsid w:val="00D76F81"/>
    <w:rsid w:val="00D77416"/>
    <w:rsid w:val="00D801B9"/>
    <w:rsid w:val="00D80936"/>
    <w:rsid w:val="00D80B68"/>
    <w:rsid w:val="00D80D09"/>
    <w:rsid w:val="00D820B4"/>
    <w:rsid w:val="00D8293C"/>
    <w:rsid w:val="00D8349E"/>
    <w:rsid w:val="00D83575"/>
    <w:rsid w:val="00D835AE"/>
    <w:rsid w:val="00D85B22"/>
    <w:rsid w:val="00D86ED6"/>
    <w:rsid w:val="00D87405"/>
    <w:rsid w:val="00D87CD3"/>
    <w:rsid w:val="00D9053F"/>
    <w:rsid w:val="00D91787"/>
    <w:rsid w:val="00D921AC"/>
    <w:rsid w:val="00D92554"/>
    <w:rsid w:val="00D92BD0"/>
    <w:rsid w:val="00D92C75"/>
    <w:rsid w:val="00D93C98"/>
    <w:rsid w:val="00D94EF3"/>
    <w:rsid w:val="00D9745D"/>
    <w:rsid w:val="00DA084C"/>
    <w:rsid w:val="00DA0A7D"/>
    <w:rsid w:val="00DA0E09"/>
    <w:rsid w:val="00DA1223"/>
    <w:rsid w:val="00DA18CF"/>
    <w:rsid w:val="00DA2090"/>
    <w:rsid w:val="00DA543B"/>
    <w:rsid w:val="00DA577D"/>
    <w:rsid w:val="00DA5CF0"/>
    <w:rsid w:val="00DA5D00"/>
    <w:rsid w:val="00DA5D1C"/>
    <w:rsid w:val="00DA5EEC"/>
    <w:rsid w:val="00DA6002"/>
    <w:rsid w:val="00DA7208"/>
    <w:rsid w:val="00DA76BA"/>
    <w:rsid w:val="00DA76C7"/>
    <w:rsid w:val="00DA7F58"/>
    <w:rsid w:val="00DB0512"/>
    <w:rsid w:val="00DB0777"/>
    <w:rsid w:val="00DB0E41"/>
    <w:rsid w:val="00DB1633"/>
    <w:rsid w:val="00DB1C87"/>
    <w:rsid w:val="00DB3414"/>
    <w:rsid w:val="00DB4420"/>
    <w:rsid w:val="00DB4D87"/>
    <w:rsid w:val="00DB53DB"/>
    <w:rsid w:val="00DB56AF"/>
    <w:rsid w:val="00DB6FEB"/>
    <w:rsid w:val="00DC0068"/>
    <w:rsid w:val="00DC0EE2"/>
    <w:rsid w:val="00DC1363"/>
    <w:rsid w:val="00DC1578"/>
    <w:rsid w:val="00DC1D69"/>
    <w:rsid w:val="00DC3654"/>
    <w:rsid w:val="00DC576F"/>
    <w:rsid w:val="00DC60C3"/>
    <w:rsid w:val="00DC653B"/>
    <w:rsid w:val="00DC70F0"/>
    <w:rsid w:val="00DD0174"/>
    <w:rsid w:val="00DD101C"/>
    <w:rsid w:val="00DD1D80"/>
    <w:rsid w:val="00DD1D86"/>
    <w:rsid w:val="00DD1E45"/>
    <w:rsid w:val="00DD2A6C"/>
    <w:rsid w:val="00DD3534"/>
    <w:rsid w:val="00DD51D1"/>
    <w:rsid w:val="00DD5329"/>
    <w:rsid w:val="00DD6883"/>
    <w:rsid w:val="00DD7499"/>
    <w:rsid w:val="00DE17AD"/>
    <w:rsid w:val="00DE3E1B"/>
    <w:rsid w:val="00DE4AEE"/>
    <w:rsid w:val="00DE6091"/>
    <w:rsid w:val="00DE639E"/>
    <w:rsid w:val="00DE643F"/>
    <w:rsid w:val="00DE7BE6"/>
    <w:rsid w:val="00DE7C3E"/>
    <w:rsid w:val="00DF03FB"/>
    <w:rsid w:val="00DF1BAB"/>
    <w:rsid w:val="00DF2A74"/>
    <w:rsid w:val="00DF34F9"/>
    <w:rsid w:val="00DF36A3"/>
    <w:rsid w:val="00DF375E"/>
    <w:rsid w:val="00DF3823"/>
    <w:rsid w:val="00DF4F90"/>
    <w:rsid w:val="00DF6B3B"/>
    <w:rsid w:val="00DF72E9"/>
    <w:rsid w:val="00DF78DC"/>
    <w:rsid w:val="00DF7E68"/>
    <w:rsid w:val="00E00A24"/>
    <w:rsid w:val="00E0357B"/>
    <w:rsid w:val="00E03EAF"/>
    <w:rsid w:val="00E04CA4"/>
    <w:rsid w:val="00E05913"/>
    <w:rsid w:val="00E0636C"/>
    <w:rsid w:val="00E06A3A"/>
    <w:rsid w:val="00E07C22"/>
    <w:rsid w:val="00E07EDE"/>
    <w:rsid w:val="00E10766"/>
    <w:rsid w:val="00E10F67"/>
    <w:rsid w:val="00E11206"/>
    <w:rsid w:val="00E1242C"/>
    <w:rsid w:val="00E12C3E"/>
    <w:rsid w:val="00E13BFF"/>
    <w:rsid w:val="00E13E28"/>
    <w:rsid w:val="00E145D9"/>
    <w:rsid w:val="00E14795"/>
    <w:rsid w:val="00E1504A"/>
    <w:rsid w:val="00E15CAD"/>
    <w:rsid w:val="00E178BF"/>
    <w:rsid w:val="00E17A68"/>
    <w:rsid w:val="00E17E98"/>
    <w:rsid w:val="00E204DB"/>
    <w:rsid w:val="00E20565"/>
    <w:rsid w:val="00E214AA"/>
    <w:rsid w:val="00E2279B"/>
    <w:rsid w:val="00E22809"/>
    <w:rsid w:val="00E22EED"/>
    <w:rsid w:val="00E246D3"/>
    <w:rsid w:val="00E24F7B"/>
    <w:rsid w:val="00E262CA"/>
    <w:rsid w:val="00E268FC"/>
    <w:rsid w:val="00E30272"/>
    <w:rsid w:val="00E311DA"/>
    <w:rsid w:val="00E31573"/>
    <w:rsid w:val="00E32640"/>
    <w:rsid w:val="00E33CE8"/>
    <w:rsid w:val="00E3401B"/>
    <w:rsid w:val="00E34404"/>
    <w:rsid w:val="00E34475"/>
    <w:rsid w:val="00E35A87"/>
    <w:rsid w:val="00E400C3"/>
    <w:rsid w:val="00E4035E"/>
    <w:rsid w:val="00E40F1A"/>
    <w:rsid w:val="00E41182"/>
    <w:rsid w:val="00E419A2"/>
    <w:rsid w:val="00E41BC9"/>
    <w:rsid w:val="00E4339B"/>
    <w:rsid w:val="00E434FB"/>
    <w:rsid w:val="00E43A0D"/>
    <w:rsid w:val="00E45258"/>
    <w:rsid w:val="00E45CCB"/>
    <w:rsid w:val="00E46236"/>
    <w:rsid w:val="00E4758D"/>
    <w:rsid w:val="00E50920"/>
    <w:rsid w:val="00E51998"/>
    <w:rsid w:val="00E51D54"/>
    <w:rsid w:val="00E52AC7"/>
    <w:rsid w:val="00E53CB6"/>
    <w:rsid w:val="00E53E0C"/>
    <w:rsid w:val="00E5469B"/>
    <w:rsid w:val="00E54ABF"/>
    <w:rsid w:val="00E54E11"/>
    <w:rsid w:val="00E55684"/>
    <w:rsid w:val="00E563E9"/>
    <w:rsid w:val="00E56737"/>
    <w:rsid w:val="00E56B66"/>
    <w:rsid w:val="00E575ED"/>
    <w:rsid w:val="00E577F5"/>
    <w:rsid w:val="00E57AC7"/>
    <w:rsid w:val="00E60181"/>
    <w:rsid w:val="00E60E2D"/>
    <w:rsid w:val="00E6123E"/>
    <w:rsid w:val="00E61FA5"/>
    <w:rsid w:val="00E61FE3"/>
    <w:rsid w:val="00E63178"/>
    <w:rsid w:val="00E63255"/>
    <w:rsid w:val="00E6406E"/>
    <w:rsid w:val="00E64360"/>
    <w:rsid w:val="00E64470"/>
    <w:rsid w:val="00E6452F"/>
    <w:rsid w:val="00E6596D"/>
    <w:rsid w:val="00E66772"/>
    <w:rsid w:val="00E701F4"/>
    <w:rsid w:val="00E71B2B"/>
    <w:rsid w:val="00E728BD"/>
    <w:rsid w:val="00E731D5"/>
    <w:rsid w:val="00E75746"/>
    <w:rsid w:val="00E758F3"/>
    <w:rsid w:val="00E75AF8"/>
    <w:rsid w:val="00E75BB1"/>
    <w:rsid w:val="00E7653A"/>
    <w:rsid w:val="00E76BF7"/>
    <w:rsid w:val="00E80ADA"/>
    <w:rsid w:val="00E81227"/>
    <w:rsid w:val="00E81391"/>
    <w:rsid w:val="00E81CA5"/>
    <w:rsid w:val="00E81FED"/>
    <w:rsid w:val="00E84AE7"/>
    <w:rsid w:val="00E84CDC"/>
    <w:rsid w:val="00E85480"/>
    <w:rsid w:val="00E854A4"/>
    <w:rsid w:val="00E861A6"/>
    <w:rsid w:val="00E90A4A"/>
    <w:rsid w:val="00E90FBA"/>
    <w:rsid w:val="00E91221"/>
    <w:rsid w:val="00E91D90"/>
    <w:rsid w:val="00E9219F"/>
    <w:rsid w:val="00E940B1"/>
    <w:rsid w:val="00E94512"/>
    <w:rsid w:val="00E951A6"/>
    <w:rsid w:val="00E95996"/>
    <w:rsid w:val="00E95E23"/>
    <w:rsid w:val="00E95E2B"/>
    <w:rsid w:val="00E95FAE"/>
    <w:rsid w:val="00E9680B"/>
    <w:rsid w:val="00E97F8B"/>
    <w:rsid w:val="00EA0815"/>
    <w:rsid w:val="00EA0D4B"/>
    <w:rsid w:val="00EA1C66"/>
    <w:rsid w:val="00EA21E6"/>
    <w:rsid w:val="00EA2990"/>
    <w:rsid w:val="00EA2B76"/>
    <w:rsid w:val="00EA2FA5"/>
    <w:rsid w:val="00EA2FC8"/>
    <w:rsid w:val="00EA3529"/>
    <w:rsid w:val="00EA449E"/>
    <w:rsid w:val="00EA4806"/>
    <w:rsid w:val="00EA49E2"/>
    <w:rsid w:val="00EA50DA"/>
    <w:rsid w:val="00EA5C88"/>
    <w:rsid w:val="00EA66C6"/>
    <w:rsid w:val="00EA6782"/>
    <w:rsid w:val="00EA6E4F"/>
    <w:rsid w:val="00EA7888"/>
    <w:rsid w:val="00EB010C"/>
    <w:rsid w:val="00EB01F9"/>
    <w:rsid w:val="00EB04AE"/>
    <w:rsid w:val="00EB13D3"/>
    <w:rsid w:val="00EB13F1"/>
    <w:rsid w:val="00EB1B22"/>
    <w:rsid w:val="00EB439D"/>
    <w:rsid w:val="00EB491C"/>
    <w:rsid w:val="00EB58D8"/>
    <w:rsid w:val="00EB5FAA"/>
    <w:rsid w:val="00EB79CA"/>
    <w:rsid w:val="00EB7F4F"/>
    <w:rsid w:val="00EC0567"/>
    <w:rsid w:val="00EC0611"/>
    <w:rsid w:val="00EC0C68"/>
    <w:rsid w:val="00EC0C75"/>
    <w:rsid w:val="00EC11A1"/>
    <w:rsid w:val="00EC20EB"/>
    <w:rsid w:val="00EC24A0"/>
    <w:rsid w:val="00EC35F9"/>
    <w:rsid w:val="00EC3621"/>
    <w:rsid w:val="00EC3E86"/>
    <w:rsid w:val="00EC49A2"/>
    <w:rsid w:val="00EC7BAE"/>
    <w:rsid w:val="00ED02A3"/>
    <w:rsid w:val="00ED05CF"/>
    <w:rsid w:val="00ED05E0"/>
    <w:rsid w:val="00ED0777"/>
    <w:rsid w:val="00ED1112"/>
    <w:rsid w:val="00ED1574"/>
    <w:rsid w:val="00ED1E7A"/>
    <w:rsid w:val="00ED24E0"/>
    <w:rsid w:val="00ED339D"/>
    <w:rsid w:val="00ED4320"/>
    <w:rsid w:val="00ED51DA"/>
    <w:rsid w:val="00ED55AA"/>
    <w:rsid w:val="00ED6052"/>
    <w:rsid w:val="00ED6C8A"/>
    <w:rsid w:val="00ED71A6"/>
    <w:rsid w:val="00EE0194"/>
    <w:rsid w:val="00EE030E"/>
    <w:rsid w:val="00EE05D9"/>
    <w:rsid w:val="00EE0F24"/>
    <w:rsid w:val="00EE2D61"/>
    <w:rsid w:val="00EE3BBD"/>
    <w:rsid w:val="00EE3F6F"/>
    <w:rsid w:val="00EE403C"/>
    <w:rsid w:val="00EE40B1"/>
    <w:rsid w:val="00EE52E2"/>
    <w:rsid w:val="00EE55EB"/>
    <w:rsid w:val="00EE686B"/>
    <w:rsid w:val="00EE6ED2"/>
    <w:rsid w:val="00EE705C"/>
    <w:rsid w:val="00EE7FF2"/>
    <w:rsid w:val="00EF0020"/>
    <w:rsid w:val="00EF08FA"/>
    <w:rsid w:val="00EF0BED"/>
    <w:rsid w:val="00EF0FC8"/>
    <w:rsid w:val="00EF17C2"/>
    <w:rsid w:val="00EF24B6"/>
    <w:rsid w:val="00EF2787"/>
    <w:rsid w:val="00EF3706"/>
    <w:rsid w:val="00EF3772"/>
    <w:rsid w:val="00EF38C8"/>
    <w:rsid w:val="00EF57D8"/>
    <w:rsid w:val="00EF5E5F"/>
    <w:rsid w:val="00EF6235"/>
    <w:rsid w:val="00EF6405"/>
    <w:rsid w:val="00EF645D"/>
    <w:rsid w:val="00EF6903"/>
    <w:rsid w:val="00EF775C"/>
    <w:rsid w:val="00EF7934"/>
    <w:rsid w:val="00F01793"/>
    <w:rsid w:val="00F01B76"/>
    <w:rsid w:val="00F0254B"/>
    <w:rsid w:val="00F03FE0"/>
    <w:rsid w:val="00F05D44"/>
    <w:rsid w:val="00F05E32"/>
    <w:rsid w:val="00F0605A"/>
    <w:rsid w:val="00F07A3C"/>
    <w:rsid w:val="00F07A58"/>
    <w:rsid w:val="00F10437"/>
    <w:rsid w:val="00F104F5"/>
    <w:rsid w:val="00F108DF"/>
    <w:rsid w:val="00F10F42"/>
    <w:rsid w:val="00F1110D"/>
    <w:rsid w:val="00F118C5"/>
    <w:rsid w:val="00F11DB4"/>
    <w:rsid w:val="00F12640"/>
    <w:rsid w:val="00F1381C"/>
    <w:rsid w:val="00F1447F"/>
    <w:rsid w:val="00F1477E"/>
    <w:rsid w:val="00F15263"/>
    <w:rsid w:val="00F15796"/>
    <w:rsid w:val="00F15C1A"/>
    <w:rsid w:val="00F160F0"/>
    <w:rsid w:val="00F16631"/>
    <w:rsid w:val="00F17BE5"/>
    <w:rsid w:val="00F20E2E"/>
    <w:rsid w:val="00F21160"/>
    <w:rsid w:val="00F21226"/>
    <w:rsid w:val="00F2137D"/>
    <w:rsid w:val="00F2152D"/>
    <w:rsid w:val="00F21801"/>
    <w:rsid w:val="00F21C21"/>
    <w:rsid w:val="00F222F5"/>
    <w:rsid w:val="00F23804"/>
    <w:rsid w:val="00F259DB"/>
    <w:rsid w:val="00F261C2"/>
    <w:rsid w:val="00F261C7"/>
    <w:rsid w:val="00F27848"/>
    <w:rsid w:val="00F3037D"/>
    <w:rsid w:val="00F303E9"/>
    <w:rsid w:val="00F306EA"/>
    <w:rsid w:val="00F30B55"/>
    <w:rsid w:val="00F30E81"/>
    <w:rsid w:val="00F31346"/>
    <w:rsid w:val="00F320B1"/>
    <w:rsid w:val="00F3210B"/>
    <w:rsid w:val="00F32923"/>
    <w:rsid w:val="00F33D4F"/>
    <w:rsid w:val="00F342F0"/>
    <w:rsid w:val="00F344E7"/>
    <w:rsid w:val="00F34888"/>
    <w:rsid w:val="00F34EC9"/>
    <w:rsid w:val="00F35941"/>
    <w:rsid w:val="00F35A5F"/>
    <w:rsid w:val="00F36044"/>
    <w:rsid w:val="00F36D82"/>
    <w:rsid w:val="00F36FC9"/>
    <w:rsid w:val="00F375C4"/>
    <w:rsid w:val="00F409F9"/>
    <w:rsid w:val="00F40AB5"/>
    <w:rsid w:val="00F420E5"/>
    <w:rsid w:val="00F42C91"/>
    <w:rsid w:val="00F42F15"/>
    <w:rsid w:val="00F43DD7"/>
    <w:rsid w:val="00F446F5"/>
    <w:rsid w:val="00F46F3A"/>
    <w:rsid w:val="00F471E5"/>
    <w:rsid w:val="00F47C1F"/>
    <w:rsid w:val="00F47D16"/>
    <w:rsid w:val="00F50453"/>
    <w:rsid w:val="00F504A0"/>
    <w:rsid w:val="00F50A4D"/>
    <w:rsid w:val="00F51272"/>
    <w:rsid w:val="00F512DE"/>
    <w:rsid w:val="00F51355"/>
    <w:rsid w:val="00F523AD"/>
    <w:rsid w:val="00F530A8"/>
    <w:rsid w:val="00F5320A"/>
    <w:rsid w:val="00F53C4A"/>
    <w:rsid w:val="00F53DC1"/>
    <w:rsid w:val="00F5419A"/>
    <w:rsid w:val="00F54F0F"/>
    <w:rsid w:val="00F55A49"/>
    <w:rsid w:val="00F55A97"/>
    <w:rsid w:val="00F57139"/>
    <w:rsid w:val="00F5737B"/>
    <w:rsid w:val="00F57CF6"/>
    <w:rsid w:val="00F60C4F"/>
    <w:rsid w:val="00F60F1A"/>
    <w:rsid w:val="00F60F69"/>
    <w:rsid w:val="00F610ED"/>
    <w:rsid w:val="00F61D22"/>
    <w:rsid w:val="00F61FF9"/>
    <w:rsid w:val="00F6231F"/>
    <w:rsid w:val="00F632FF"/>
    <w:rsid w:val="00F63B45"/>
    <w:rsid w:val="00F63E8B"/>
    <w:rsid w:val="00F66074"/>
    <w:rsid w:val="00F6653E"/>
    <w:rsid w:val="00F66F06"/>
    <w:rsid w:val="00F67862"/>
    <w:rsid w:val="00F710D9"/>
    <w:rsid w:val="00F71E8B"/>
    <w:rsid w:val="00F71FC4"/>
    <w:rsid w:val="00F723DA"/>
    <w:rsid w:val="00F72A15"/>
    <w:rsid w:val="00F740E4"/>
    <w:rsid w:val="00F74435"/>
    <w:rsid w:val="00F745A3"/>
    <w:rsid w:val="00F74B96"/>
    <w:rsid w:val="00F74E17"/>
    <w:rsid w:val="00F75205"/>
    <w:rsid w:val="00F76080"/>
    <w:rsid w:val="00F767A9"/>
    <w:rsid w:val="00F768F5"/>
    <w:rsid w:val="00F76D18"/>
    <w:rsid w:val="00F778D8"/>
    <w:rsid w:val="00F80654"/>
    <w:rsid w:val="00F80878"/>
    <w:rsid w:val="00F81445"/>
    <w:rsid w:val="00F81933"/>
    <w:rsid w:val="00F843AF"/>
    <w:rsid w:val="00F85770"/>
    <w:rsid w:val="00F87BF2"/>
    <w:rsid w:val="00F9013A"/>
    <w:rsid w:val="00F902AB"/>
    <w:rsid w:val="00F90B6F"/>
    <w:rsid w:val="00F91435"/>
    <w:rsid w:val="00F916F8"/>
    <w:rsid w:val="00F9173C"/>
    <w:rsid w:val="00F91783"/>
    <w:rsid w:val="00F938D5"/>
    <w:rsid w:val="00F93914"/>
    <w:rsid w:val="00F93F0A"/>
    <w:rsid w:val="00F94915"/>
    <w:rsid w:val="00F949F9"/>
    <w:rsid w:val="00F94A8A"/>
    <w:rsid w:val="00F9648C"/>
    <w:rsid w:val="00F968BA"/>
    <w:rsid w:val="00FA00AD"/>
    <w:rsid w:val="00FA0288"/>
    <w:rsid w:val="00FA09D1"/>
    <w:rsid w:val="00FA362F"/>
    <w:rsid w:val="00FA3A02"/>
    <w:rsid w:val="00FA5751"/>
    <w:rsid w:val="00FA6696"/>
    <w:rsid w:val="00FB0816"/>
    <w:rsid w:val="00FB1F5D"/>
    <w:rsid w:val="00FB398D"/>
    <w:rsid w:val="00FB42FF"/>
    <w:rsid w:val="00FB4ACA"/>
    <w:rsid w:val="00FB4B1E"/>
    <w:rsid w:val="00FB6261"/>
    <w:rsid w:val="00FB674C"/>
    <w:rsid w:val="00FB6D63"/>
    <w:rsid w:val="00FB7743"/>
    <w:rsid w:val="00FC0E3D"/>
    <w:rsid w:val="00FC14FD"/>
    <w:rsid w:val="00FC183A"/>
    <w:rsid w:val="00FC19EE"/>
    <w:rsid w:val="00FC2820"/>
    <w:rsid w:val="00FC3149"/>
    <w:rsid w:val="00FC31B8"/>
    <w:rsid w:val="00FC3A37"/>
    <w:rsid w:val="00FC498A"/>
    <w:rsid w:val="00FC4C66"/>
    <w:rsid w:val="00FC4DAD"/>
    <w:rsid w:val="00FC5707"/>
    <w:rsid w:val="00FC5946"/>
    <w:rsid w:val="00FC599E"/>
    <w:rsid w:val="00FC60F9"/>
    <w:rsid w:val="00FC62E1"/>
    <w:rsid w:val="00FC679D"/>
    <w:rsid w:val="00FC6FEF"/>
    <w:rsid w:val="00FC76D1"/>
    <w:rsid w:val="00FD1749"/>
    <w:rsid w:val="00FD29AD"/>
    <w:rsid w:val="00FD2BF3"/>
    <w:rsid w:val="00FD3B1B"/>
    <w:rsid w:val="00FD4E1E"/>
    <w:rsid w:val="00FD63AF"/>
    <w:rsid w:val="00FE02B7"/>
    <w:rsid w:val="00FE0EDC"/>
    <w:rsid w:val="00FE1299"/>
    <w:rsid w:val="00FE3807"/>
    <w:rsid w:val="00FE42D2"/>
    <w:rsid w:val="00FE65CD"/>
    <w:rsid w:val="00FE697A"/>
    <w:rsid w:val="00FE6E12"/>
    <w:rsid w:val="00FF0228"/>
    <w:rsid w:val="00FF05F6"/>
    <w:rsid w:val="00FF075F"/>
    <w:rsid w:val="00FF0EFE"/>
    <w:rsid w:val="00FF214A"/>
    <w:rsid w:val="00FF4148"/>
    <w:rsid w:val="00FF43F5"/>
    <w:rsid w:val="00FF47B8"/>
    <w:rsid w:val="00FF5B73"/>
    <w:rsid w:val="00FF7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rsid w:val="00C6222D"/>
    <w:pPr>
      <w:keepNext/>
      <w:jc w:val="center"/>
      <w:outlineLvl w:val="0"/>
    </w:pPr>
    <w:rPr>
      <w:rFonts w:ascii="Arial" w:hAnsi="Arial"/>
      <w:b/>
    </w:rPr>
  </w:style>
  <w:style w:type="paragraph" w:styleId="Heading2">
    <w:name w:val="heading 2"/>
    <w:basedOn w:val="Normal"/>
    <w:next w:val="Normal"/>
    <w:link w:val="Heading2Char"/>
    <w:uiPriority w:val="9"/>
    <w:qFormat/>
    <w:rsid w:val="00C6222D"/>
    <w:pPr>
      <w:keepNext/>
      <w:spacing w:before="240" w:after="60"/>
      <w:outlineLvl w:val="1"/>
    </w:pPr>
    <w:rPr>
      <w:rFonts w:ascii="Arial" w:hAnsi="Arial"/>
      <w:b/>
      <w:i/>
      <w:sz w:val="28"/>
    </w:rPr>
  </w:style>
  <w:style w:type="paragraph" w:styleId="Heading3">
    <w:name w:val="heading 3"/>
    <w:basedOn w:val="Normal"/>
    <w:next w:val="Normal"/>
    <w:link w:val="Heading3Char"/>
    <w:qFormat/>
    <w:rsid w:val="00C6222D"/>
    <w:pPr>
      <w:keepNext/>
      <w:spacing w:line="480" w:lineRule="auto"/>
      <w:jc w:val="both"/>
      <w:outlineLvl w:val="2"/>
    </w:pPr>
    <w:rPr>
      <w:b/>
    </w:rPr>
  </w:style>
  <w:style w:type="paragraph" w:styleId="Heading4">
    <w:name w:val="heading 4"/>
    <w:basedOn w:val="Normal"/>
    <w:next w:val="Normal"/>
    <w:link w:val="Heading4Char"/>
    <w:qFormat/>
    <w:rsid w:val="00C6222D"/>
    <w:pPr>
      <w:keepNext/>
      <w:spacing w:line="480" w:lineRule="auto"/>
      <w:outlineLvl w:val="3"/>
    </w:pPr>
    <w:rPr>
      <w:b/>
    </w:rPr>
  </w:style>
  <w:style w:type="paragraph" w:styleId="Heading5">
    <w:name w:val="heading 5"/>
    <w:basedOn w:val="Normal"/>
    <w:next w:val="Normal"/>
    <w:link w:val="Heading5Char"/>
    <w:qFormat/>
    <w:rsid w:val="00C6222D"/>
    <w:pPr>
      <w:keepNext/>
      <w:outlineLvl w:val="4"/>
    </w:pPr>
    <w:rPr>
      <w:b/>
      <w:sz w:val="22"/>
    </w:rPr>
  </w:style>
  <w:style w:type="paragraph" w:styleId="Heading6">
    <w:name w:val="heading 6"/>
    <w:basedOn w:val="Normal"/>
    <w:next w:val="Normal"/>
    <w:link w:val="Heading6Char"/>
    <w:qFormat/>
    <w:rsid w:val="00C6222D"/>
    <w:pPr>
      <w:keepNext/>
      <w:jc w:val="center"/>
      <w:outlineLvl w:val="5"/>
    </w:pPr>
    <w:rPr>
      <w:sz w:val="22"/>
      <w:u w:val="single"/>
    </w:rPr>
  </w:style>
  <w:style w:type="paragraph" w:styleId="Heading7">
    <w:name w:val="heading 7"/>
    <w:basedOn w:val="Normal"/>
    <w:next w:val="Normal"/>
    <w:link w:val="Heading7Char"/>
    <w:qFormat/>
    <w:rsid w:val="00C6222D"/>
    <w:pPr>
      <w:keepNext/>
      <w:jc w:val="center"/>
      <w:outlineLvl w:val="6"/>
    </w:pPr>
    <w:rPr>
      <w:b/>
      <w:snapToGrid w:val="0"/>
      <w:color w:val="000000"/>
      <w:sz w:val="22"/>
    </w:rPr>
  </w:style>
  <w:style w:type="paragraph" w:styleId="Heading8">
    <w:name w:val="heading 8"/>
    <w:basedOn w:val="Normal"/>
    <w:next w:val="Normal"/>
    <w:link w:val="Heading8Char"/>
    <w:qFormat/>
    <w:rsid w:val="00C6222D"/>
    <w:pPr>
      <w:keepNext/>
      <w:outlineLvl w:val="7"/>
    </w:pPr>
    <w:rPr>
      <w:b/>
      <w:snapToGrid w:val="0"/>
      <w:color w:val="000000"/>
      <w:sz w:val="22"/>
    </w:rPr>
  </w:style>
  <w:style w:type="paragraph" w:styleId="Heading9">
    <w:name w:val="heading 9"/>
    <w:basedOn w:val="Normal"/>
    <w:next w:val="Normal"/>
    <w:link w:val="Heading9Char"/>
    <w:qFormat/>
    <w:rsid w:val="00C6222D"/>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6222D"/>
    <w:pPr>
      <w:spacing w:line="480" w:lineRule="auto"/>
    </w:pPr>
    <w:rPr>
      <w:sz w:val="22"/>
    </w:rPr>
  </w:style>
  <w:style w:type="paragraph" w:styleId="BodyTextIndent">
    <w:name w:val="Body Text Indent"/>
    <w:basedOn w:val="Normal"/>
    <w:link w:val="BodyTextIndentChar"/>
    <w:rsid w:val="00C6222D"/>
    <w:pPr>
      <w:ind w:left="180" w:hanging="180"/>
      <w:jc w:val="both"/>
    </w:pPr>
    <w:rPr>
      <w:rFonts w:ascii="Arial" w:hAnsi="Arial"/>
      <w:sz w:val="22"/>
    </w:rPr>
  </w:style>
  <w:style w:type="paragraph" w:styleId="BodyTextIndent2">
    <w:name w:val="Body Text Indent 2"/>
    <w:basedOn w:val="Normal"/>
    <w:link w:val="BodyTextIndent2Char"/>
    <w:rsid w:val="00C6222D"/>
    <w:pPr>
      <w:ind w:left="180" w:hanging="180"/>
      <w:jc w:val="both"/>
    </w:pPr>
    <w:rPr>
      <w:rFonts w:ascii="Arial" w:hAnsi="Arial"/>
    </w:rPr>
  </w:style>
  <w:style w:type="paragraph" w:styleId="BodyText2">
    <w:name w:val="Body Text 2"/>
    <w:basedOn w:val="Normal"/>
    <w:link w:val="BodyText2Char"/>
    <w:rsid w:val="00C6222D"/>
    <w:rPr>
      <w:i/>
    </w:rPr>
  </w:style>
  <w:style w:type="paragraph" w:styleId="BodyText3">
    <w:name w:val="Body Text 3"/>
    <w:basedOn w:val="Normal"/>
    <w:link w:val="BodyText3Char"/>
    <w:rsid w:val="00C6222D"/>
    <w:rPr>
      <w:b/>
      <w:spacing w:val="-3"/>
    </w:rPr>
  </w:style>
  <w:style w:type="paragraph" w:styleId="Footer">
    <w:name w:val="footer"/>
    <w:basedOn w:val="Normal"/>
    <w:link w:val="FooterChar"/>
    <w:uiPriority w:val="99"/>
    <w:rsid w:val="00C6222D"/>
    <w:pPr>
      <w:tabs>
        <w:tab w:val="center" w:pos="4320"/>
        <w:tab w:val="right" w:pos="8640"/>
      </w:tabs>
    </w:pPr>
  </w:style>
  <w:style w:type="character" w:styleId="PageNumber">
    <w:name w:val="page number"/>
    <w:basedOn w:val="DefaultParagraphFont"/>
    <w:rsid w:val="00C6222D"/>
  </w:style>
  <w:style w:type="paragraph" w:customStyle="1" w:styleId="BodyText1">
    <w:name w:val="Body Text1"/>
    <w:rsid w:val="00C6222D"/>
    <w:pPr>
      <w:autoSpaceDE w:val="0"/>
      <w:autoSpaceDN w:val="0"/>
      <w:adjustRightInd w:val="0"/>
      <w:ind w:firstLine="480"/>
    </w:pPr>
    <w:rPr>
      <w:rFonts w:ascii="Arial" w:hAnsi="Arial" w:cs="Arial"/>
      <w:color w:val="000000"/>
      <w:szCs w:val="24"/>
    </w:rPr>
  </w:style>
  <w:style w:type="paragraph" w:customStyle="1" w:styleId="xl24">
    <w:name w:val="xl24"/>
    <w:basedOn w:val="Normal"/>
    <w:rsid w:val="00C6222D"/>
    <w:pPr>
      <w:spacing w:before="100" w:beforeAutospacing="1" w:after="100" w:afterAutospacing="1"/>
    </w:pPr>
    <w:rPr>
      <w:szCs w:val="24"/>
    </w:rPr>
  </w:style>
  <w:style w:type="paragraph" w:styleId="BodyTextIndent3">
    <w:name w:val="Body Text Indent 3"/>
    <w:basedOn w:val="Normal"/>
    <w:link w:val="BodyTextIndent3Char"/>
    <w:rsid w:val="00C6222D"/>
    <w:pPr>
      <w:widowControl w:val="0"/>
      <w:spacing w:line="480" w:lineRule="auto"/>
      <w:ind w:left="567" w:hanging="567"/>
      <w:jc w:val="both"/>
    </w:pPr>
    <w:rPr>
      <w:snapToGrid w:val="0"/>
      <w:sz w:val="22"/>
      <w:szCs w:val="24"/>
      <w:lang w:eastAsia="fr-FR"/>
    </w:rPr>
  </w:style>
  <w:style w:type="paragraph" w:styleId="FootnoteText">
    <w:name w:val="footnote text"/>
    <w:basedOn w:val="Normal"/>
    <w:link w:val="FootnoteTextChar"/>
    <w:semiHidden/>
    <w:rsid w:val="00C6222D"/>
  </w:style>
  <w:style w:type="character" w:styleId="FootnoteReference">
    <w:name w:val="footnote reference"/>
    <w:basedOn w:val="DefaultParagraphFont"/>
    <w:semiHidden/>
    <w:rsid w:val="00C6222D"/>
    <w:rPr>
      <w:vertAlign w:val="superscript"/>
    </w:rPr>
  </w:style>
  <w:style w:type="table" w:styleId="TableGrid">
    <w:name w:val="Table Grid"/>
    <w:basedOn w:val="TableNormal"/>
    <w:uiPriority w:val="59"/>
    <w:rsid w:val="00B177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13E28"/>
    <w:pPr>
      <w:tabs>
        <w:tab w:val="center" w:pos="4320"/>
        <w:tab w:val="right" w:pos="8640"/>
      </w:tabs>
    </w:pPr>
  </w:style>
  <w:style w:type="paragraph" w:customStyle="1" w:styleId="References">
    <w:name w:val="References"/>
    <w:basedOn w:val="Normal"/>
    <w:rsid w:val="00D610CD"/>
    <w:pPr>
      <w:spacing w:after="200"/>
      <w:ind w:left="720" w:hanging="720"/>
    </w:pPr>
    <w:rPr>
      <w:snapToGrid w:val="0"/>
      <w:color w:val="000000"/>
      <w:sz w:val="22"/>
      <w:szCs w:val="22"/>
    </w:rPr>
  </w:style>
  <w:style w:type="paragraph" w:styleId="DocumentMap">
    <w:name w:val="Document Map"/>
    <w:basedOn w:val="Normal"/>
    <w:link w:val="DocumentMapChar"/>
    <w:semiHidden/>
    <w:rsid w:val="00962973"/>
    <w:pPr>
      <w:shd w:val="clear" w:color="auto" w:fill="000080"/>
    </w:pPr>
    <w:rPr>
      <w:rFonts w:ascii="Tahoma" w:hAnsi="Tahoma" w:cs="Tahoma"/>
    </w:rPr>
  </w:style>
  <w:style w:type="paragraph" w:styleId="BalloonText">
    <w:name w:val="Balloon Text"/>
    <w:basedOn w:val="Normal"/>
    <w:link w:val="BalloonTextChar"/>
    <w:semiHidden/>
    <w:rsid w:val="002B3181"/>
    <w:rPr>
      <w:rFonts w:ascii="Tahoma" w:hAnsi="Tahoma" w:cs="Tahoma"/>
      <w:sz w:val="16"/>
      <w:szCs w:val="16"/>
    </w:rPr>
  </w:style>
  <w:style w:type="paragraph" w:styleId="ListParagraph">
    <w:name w:val="List Paragraph"/>
    <w:basedOn w:val="Normal"/>
    <w:uiPriority w:val="34"/>
    <w:qFormat/>
    <w:rsid w:val="006367BE"/>
    <w:pPr>
      <w:ind w:left="720"/>
      <w:contextualSpacing/>
    </w:pPr>
  </w:style>
  <w:style w:type="character" w:styleId="PlaceholderText">
    <w:name w:val="Placeholder Text"/>
    <w:basedOn w:val="DefaultParagraphFont"/>
    <w:uiPriority w:val="99"/>
    <w:semiHidden/>
    <w:rsid w:val="00734648"/>
    <w:rPr>
      <w:color w:val="808080"/>
    </w:rPr>
  </w:style>
  <w:style w:type="character" w:customStyle="1" w:styleId="FooterChar">
    <w:name w:val="Footer Char"/>
    <w:basedOn w:val="DefaultParagraphFont"/>
    <w:link w:val="Footer"/>
    <w:uiPriority w:val="99"/>
    <w:rsid w:val="00A563FD"/>
    <w:rPr>
      <w:sz w:val="24"/>
    </w:rPr>
  </w:style>
  <w:style w:type="character" w:styleId="CommentReference">
    <w:name w:val="annotation reference"/>
    <w:basedOn w:val="DefaultParagraphFont"/>
    <w:rsid w:val="004B7622"/>
    <w:rPr>
      <w:sz w:val="16"/>
      <w:szCs w:val="16"/>
    </w:rPr>
  </w:style>
  <w:style w:type="paragraph" w:styleId="CommentText">
    <w:name w:val="annotation text"/>
    <w:basedOn w:val="Normal"/>
    <w:link w:val="CommentTextChar"/>
    <w:rsid w:val="004B7622"/>
  </w:style>
  <w:style w:type="character" w:customStyle="1" w:styleId="CommentTextChar">
    <w:name w:val="Comment Text Char"/>
    <w:basedOn w:val="DefaultParagraphFont"/>
    <w:link w:val="CommentText"/>
    <w:rsid w:val="004B7622"/>
  </w:style>
  <w:style w:type="paragraph" w:styleId="CommentSubject">
    <w:name w:val="annotation subject"/>
    <w:basedOn w:val="CommentText"/>
    <w:next w:val="CommentText"/>
    <w:link w:val="CommentSubjectChar"/>
    <w:rsid w:val="004B7622"/>
    <w:rPr>
      <w:b/>
      <w:bCs/>
    </w:rPr>
  </w:style>
  <w:style w:type="character" w:customStyle="1" w:styleId="CommentSubjectChar">
    <w:name w:val="Comment Subject Char"/>
    <w:basedOn w:val="CommentTextChar"/>
    <w:link w:val="CommentSubject"/>
    <w:rsid w:val="004B7622"/>
    <w:rPr>
      <w:b/>
      <w:bCs/>
    </w:rPr>
  </w:style>
  <w:style w:type="character" w:customStyle="1" w:styleId="BodyTextChar">
    <w:name w:val="Body Text Char"/>
    <w:basedOn w:val="DefaultParagraphFont"/>
    <w:link w:val="BodyText"/>
    <w:rsid w:val="004B7622"/>
    <w:rPr>
      <w:sz w:val="22"/>
    </w:rPr>
  </w:style>
  <w:style w:type="paragraph" w:styleId="Revision">
    <w:name w:val="Revision"/>
    <w:hidden/>
    <w:uiPriority w:val="99"/>
    <w:semiHidden/>
    <w:rsid w:val="00944F43"/>
    <w:rPr>
      <w:sz w:val="24"/>
    </w:rPr>
  </w:style>
  <w:style w:type="table" w:styleId="TableClassic1">
    <w:name w:val="Table Classic 1"/>
    <w:basedOn w:val="TableNormal"/>
    <w:rsid w:val="0087209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b/>
        <w:i w:val="0"/>
        <w:iCs/>
        <w:sz w:val="20"/>
      </w:rPr>
      <w:tblPr/>
      <w:tcPr>
        <w:tcBorders>
          <w:bottom w:val="single" w:sz="6" w:space="0" w:color="000000"/>
          <w:tl2br w:val="none" w:sz="0" w:space="0" w:color="auto"/>
          <w:tr2bl w:val="none" w:sz="0" w:space="0" w:color="auto"/>
        </w:tcBorders>
      </w:tcPr>
    </w:tblStylePr>
    <w:tblStylePr w:type="lastRow">
      <w:rPr>
        <w:b w:val="0"/>
        <w:i w:val="0"/>
        <w:color w:val="auto"/>
      </w:rPr>
      <w:tblPr/>
      <w:tcPr>
        <w:tcBorders>
          <w:top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nhideWhenUsed/>
    <w:qFormat/>
    <w:rsid w:val="008E57FB"/>
    <w:pPr>
      <w:spacing w:after="200"/>
    </w:pPr>
    <w:rPr>
      <w:bCs/>
      <w:color w:val="000000" w:themeColor="text1"/>
      <w:sz w:val="22"/>
      <w:szCs w:val="18"/>
    </w:rPr>
  </w:style>
  <w:style w:type="paragraph" w:customStyle="1" w:styleId="LitCite">
    <w:name w:val="Lit Cite."/>
    <w:basedOn w:val="BodyText"/>
    <w:link w:val="LitCiteChar"/>
    <w:autoRedefine/>
    <w:qFormat/>
    <w:rsid w:val="00600E05"/>
    <w:pPr>
      <w:spacing w:before="120" w:line="240" w:lineRule="auto"/>
      <w:ind w:left="360" w:hanging="360"/>
      <w:jc w:val="both"/>
    </w:pPr>
    <w:rPr>
      <w:szCs w:val="24"/>
    </w:rPr>
  </w:style>
  <w:style w:type="paragraph" w:customStyle="1" w:styleId="GKC">
    <w:name w:val="GKC"/>
    <w:basedOn w:val="BodyText"/>
    <w:link w:val="GKCChar"/>
    <w:qFormat/>
    <w:rsid w:val="00DF2A74"/>
    <w:pPr>
      <w:spacing w:line="360" w:lineRule="auto"/>
      <w:jc w:val="both"/>
    </w:pPr>
    <w:rPr>
      <w:sz w:val="24"/>
      <w:szCs w:val="24"/>
    </w:rPr>
  </w:style>
  <w:style w:type="character" w:customStyle="1" w:styleId="LitCiteChar">
    <w:name w:val="Lit Cite. Char"/>
    <w:basedOn w:val="BodyTextChar"/>
    <w:link w:val="LitCite"/>
    <w:rsid w:val="00600E05"/>
    <w:rPr>
      <w:sz w:val="22"/>
      <w:szCs w:val="24"/>
    </w:rPr>
  </w:style>
  <w:style w:type="character" w:customStyle="1" w:styleId="GKCChar">
    <w:name w:val="GKC Char"/>
    <w:basedOn w:val="BodyTextChar"/>
    <w:link w:val="GKC"/>
    <w:rsid w:val="00DF2A74"/>
    <w:rPr>
      <w:sz w:val="24"/>
      <w:szCs w:val="24"/>
    </w:rPr>
  </w:style>
  <w:style w:type="character" w:customStyle="1" w:styleId="BalloonTextChar">
    <w:name w:val="Balloon Text Char"/>
    <w:basedOn w:val="DefaultParagraphFont"/>
    <w:link w:val="BalloonText"/>
    <w:semiHidden/>
    <w:rsid w:val="006B4EDE"/>
    <w:rPr>
      <w:rFonts w:ascii="Tahoma" w:hAnsi="Tahoma" w:cs="Tahoma"/>
      <w:sz w:val="16"/>
      <w:szCs w:val="16"/>
    </w:rPr>
  </w:style>
  <w:style w:type="character" w:customStyle="1" w:styleId="Heading1Char">
    <w:name w:val="Heading 1 Char"/>
    <w:basedOn w:val="DefaultParagraphFont"/>
    <w:link w:val="Heading1"/>
    <w:rsid w:val="006F21C0"/>
    <w:rPr>
      <w:rFonts w:ascii="Arial" w:hAnsi="Arial"/>
      <w:b/>
    </w:rPr>
  </w:style>
  <w:style w:type="character" w:customStyle="1" w:styleId="Heading2Char">
    <w:name w:val="Heading 2 Char"/>
    <w:basedOn w:val="DefaultParagraphFont"/>
    <w:link w:val="Heading2"/>
    <w:uiPriority w:val="9"/>
    <w:rsid w:val="006F21C0"/>
    <w:rPr>
      <w:rFonts w:ascii="Arial" w:hAnsi="Arial"/>
      <w:b/>
      <w:i/>
      <w:sz w:val="28"/>
    </w:rPr>
  </w:style>
  <w:style w:type="character" w:customStyle="1" w:styleId="Heading3Char">
    <w:name w:val="Heading 3 Char"/>
    <w:basedOn w:val="DefaultParagraphFont"/>
    <w:link w:val="Heading3"/>
    <w:rsid w:val="006F21C0"/>
    <w:rPr>
      <w:b/>
    </w:rPr>
  </w:style>
  <w:style w:type="character" w:customStyle="1" w:styleId="Heading4Char">
    <w:name w:val="Heading 4 Char"/>
    <w:basedOn w:val="DefaultParagraphFont"/>
    <w:link w:val="Heading4"/>
    <w:rsid w:val="006F21C0"/>
    <w:rPr>
      <w:b/>
    </w:rPr>
  </w:style>
  <w:style w:type="character" w:customStyle="1" w:styleId="Heading5Char">
    <w:name w:val="Heading 5 Char"/>
    <w:basedOn w:val="DefaultParagraphFont"/>
    <w:link w:val="Heading5"/>
    <w:rsid w:val="006F21C0"/>
    <w:rPr>
      <w:b/>
      <w:sz w:val="22"/>
    </w:rPr>
  </w:style>
  <w:style w:type="character" w:customStyle="1" w:styleId="Heading6Char">
    <w:name w:val="Heading 6 Char"/>
    <w:basedOn w:val="DefaultParagraphFont"/>
    <w:link w:val="Heading6"/>
    <w:rsid w:val="006F21C0"/>
    <w:rPr>
      <w:sz w:val="22"/>
      <w:u w:val="single"/>
    </w:rPr>
  </w:style>
  <w:style w:type="character" w:customStyle="1" w:styleId="Heading7Char">
    <w:name w:val="Heading 7 Char"/>
    <w:basedOn w:val="DefaultParagraphFont"/>
    <w:link w:val="Heading7"/>
    <w:rsid w:val="006F21C0"/>
    <w:rPr>
      <w:b/>
      <w:snapToGrid w:val="0"/>
      <w:color w:val="000000"/>
      <w:sz w:val="22"/>
    </w:rPr>
  </w:style>
  <w:style w:type="character" w:customStyle="1" w:styleId="Heading8Char">
    <w:name w:val="Heading 8 Char"/>
    <w:basedOn w:val="DefaultParagraphFont"/>
    <w:link w:val="Heading8"/>
    <w:rsid w:val="006F21C0"/>
    <w:rPr>
      <w:b/>
      <w:snapToGrid w:val="0"/>
      <w:color w:val="000000"/>
      <w:sz w:val="22"/>
    </w:rPr>
  </w:style>
  <w:style w:type="character" w:customStyle="1" w:styleId="Heading9Char">
    <w:name w:val="Heading 9 Char"/>
    <w:basedOn w:val="DefaultParagraphFont"/>
    <w:link w:val="Heading9"/>
    <w:rsid w:val="006F21C0"/>
    <w:rPr>
      <w:b/>
    </w:rPr>
  </w:style>
  <w:style w:type="character" w:customStyle="1" w:styleId="BodyTextIndentChar">
    <w:name w:val="Body Text Indent Char"/>
    <w:basedOn w:val="DefaultParagraphFont"/>
    <w:link w:val="BodyTextIndent"/>
    <w:rsid w:val="006F21C0"/>
    <w:rPr>
      <w:rFonts w:ascii="Arial" w:hAnsi="Arial"/>
      <w:sz w:val="22"/>
    </w:rPr>
  </w:style>
  <w:style w:type="character" w:customStyle="1" w:styleId="BodyTextIndent2Char">
    <w:name w:val="Body Text Indent 2 Char"/>
    <w:basedOn w:val="DefaultParagraphFont"/>
    <w:link w:val="BodyTextIndent2"/>
    <w:rsid w:val="006F21C0"/>
    <w:rPr>
      <w:rFonts w:ascii="Arial" w:hAnsi="Arial"/>
    </w:rPr>
  </w:style>
  <w:style w:type="character" w:customStyle="1" w:styleId="BodyText2Char">
    <w:name w:val="Body Text 2 Char"/>
    <w:basedOn w:val="DefaultParagraphFont"/>
    <w:link w:val="BodyText2"/>
    <w:rsid w:val="006F21C0"/>
    <w:rPr>
      <w:i/>
    </w:rPr>
  </w:style>
  <w:style w:type="character" w:customStyle="1" w:styleId="BodyText3Char">
    <w:name w:val="Body Text 3 Char"/>
    <w:basedOn w:val="DefaultParagraphFont"/>
    <w:link w:val="BodyText3"/>
    <w:rsid w:val="006F21C0"/>
    <w:rPr>
      <w:b/>
      <w:spacing w:val="-3"/>
    </w:rPr>
  </w:style>
  <w:style w:type="character" w:customStyle="1" w:styleId="BodyTextIndent3Char">
    <w:name w:val="Body Text Indent 3 Char"/>
    <w:basedOn w:val="DefaultParagraphFont"/>
    <w:link w:val="BodyTextIndent3"/>
    <w:rsid w:val="006F21C0"/>
    <w:rPr>
      <w:snapToGrid w:val="0"/>
      <w:sz w:val="22"/>
      <w:szCs w:val="24"/>
      <w:lang w:eastAsia="fr-FR"/>
    </w:rPr>
  </w:style>
  <w:style w:type="character" w:customStyle="1" w:styleId="FootnoteTextChar">
    <w:name w:val="Footnote Text Char"/>
    <w:basedOn w:val="DefaultParagraphFont"/>
    <w:link w:val="FootnoteText"/>
    <w:semiHidden/>
    <w:rsid w:val="006F21C0"/>
  </w:style>
  <w:style w:type="character" w:customStyle="1" w:styleId="HeaderChar">
    <w:name w:val="Header Char"/>
    <w:basedOn w:val="DefaultParagraphFont"/>
    <w:link w:val="Header"/>
    <w:rsid w:val="006F21C0"/>
  </w:style>
  <w:style w:type="character" w:customStyle="1" w:styleId="DocumentMapChar">
    <w:name w:val="Document Map Char"/>
    <w:basedOn w:val="DefaultParagraphFont"/>
    <w:link w:val="DocumentMap"/>
    <w:semiHidden/>
    <w:rsid w:val="006F21C0"/>
    <w:rPr>
      <w:rFonts w:ascii="Tahoma" w:hAnsi="Tahoma" w:cs="Tahoma"/>
      <w:shd w:val="clear" w:color="auto" w:fill="000080"/>
    </w:rPr>
  </w:style>
  <w:style w:type="paragraph" w:styleId="NoSpacing">
    <w:name w:val="No Spacing"/>
    <w:uiPriority w:val="1"/>
    <w:qFormat/>
    <w:rsid w:val="00BA71F0"/>
  </w:style>
  <w:style w:type="paragraph" w:customStyle="1" w:styleId="Ref">
    <w:name w:val="Ref"/>
    <w:basedOn w:val="Normal"/>
    <w:link w:val="RefChar"/>
    <w:qFormat/>
    <w:rsid w:val="00193AA7"/>
    <w:pPr>
      <w:autoSpaceDE w:val="0"/>
      <w:autoSpaceDN w:val="0"/>
      <w:adjustRightInd w:val="0"/>
      <w:ind w:left="288" w:hanging="288"/>
    </w:pPr>
    <w:rPr>
      <w:rFonts w:eastAsiaTheme="minorEastAsia"/>
      <w:szCs w:val="22"/>
    </w:rPr>
  </w:style>
  <w:style w:type="character" w:customStyle="1" w:styleId="RefChar">
    <w:name w:val="Ref Char"/>
    <w:basedOn w:val="DefaultParagraphFont"/>
    <w:link w:val="Ref"/>
    <w:rsid w:val="00193AA7"/>
    <w:rPr>
      <w:rFonts w:eastAsiaTheme="minorEastAsia"/>
      <w:szCs w:val="22"/>
    </w:rPr>
  </w:style>
  <w:style w:type="paragraph" w:styleId="NormalWeb">
    <w:name w:val="Normal (Web)"/>
    <w:basedOn w:val="Normal"/>
    <w:uiPriority w:val="99"/>
    <w:unhideWhenUsed/>
    <w:rsid w:val="005C7ED1"/>
    <w:pPr>
      <w:spacing w:before="100" w:beforeAutospacing="1" w:after="100" w:afterAutospacing="1"/>
    </w:pPr>
    <w:rPr>
      <w:sz w:val="24"/>
      <w:szCs w:val="24"/>
    </w:rPr>
  </w:style>
  <w:style w:type="character" w:styleId="Strong">
    <w:name w:val="Strong"/>
    <w:basedOn w:val="DefaultParagraphFont"/>
    <w:uiPriority w:val="22"/>
    <w:qFormat/>
    <w:rsid w:val="005C7ED1"/>
    <w:rPr>
      <w:b/>
      <w:bCs/>
    </w:rPr>
  </w:style>
  <w:style w:type="paragraph" w:customStyle="1" w:styleId="discreet">
    <w:name w:val="discreet"/>
    <w:basedOn w:val="Normal"/>
    <w:rsid w:val="005C7ED1"/>
    <w:pPr>
      <w:spacing w:before="100" w:beforeAutospacing="1" w:after="100" w:afterAutospacing="1"/>
    </w:pPr>
    <w:rPr>
      <w:sz w:val="24"/>
      <w:szCs w:val="24"/>
    </w:rPr>
  </w:style>
  <w:style w:type="character" w:styleId="Hyperlink">
    <w:name w:val="Hyperlink"/>
    <w:basedOn w:val="DefaultParagraphFont"/>
    <w:uiPriority w:val="99"/>
    <w:unhideWhenUsed/>
    <w:rsid w:val="005C7ED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rsid w:val="00C6222D"/>
    <w:pPr>
      <w:keepNext/>
      <w:jc w:val="center"/>
      <w:outlineLvl w:val="0"/>
    </w:pPr>
    <w:rPr>
      <w:rFonts w:ascii="Arial" w:hAnsi="Arial"/>
      <w:b/>
    </w:rPr>
  </w:style>
  <w:style w:type="paragraph" w:styleId="Heading2">
    <w:name w:val="heading 2"/>
    <w:basedOn w:val="Normal"/>
    <w:next w:val="Normal"/>
    <w:link w:val="Heading2Char"/>
    <w:uiPriority w:val="9"/>
    <w:qFormat/>
    <w:rsid w:val="00C6222D"/>
    <w:pPr>
      <w:keepNext/>
      <w:spacing w:before="240" w:after="60"/>
      <w:outlineLvl w:val="1"/>
    </w:pPr>
    <w:rPr>
      <w:rFonts w:ascii="Arial" w:hAnsi="Arial"/>
      <w:b/>
      <w:i/>
      <w:sz w:val="28"/>
    </w:rPr>
  </w:style>
  <w:style w:type="paragraph" w:styleId="Heading3">
    <w:name w:val="heading 3"/>
    <w:basedOn w:val="Normal"/>
    <w:next w:val="Normal"/>
    <w:link w:val="Heading3Char"/>
    <w:qFormat/>
    <w:rsid w:val="00C6222D"/>
    <w:pPr>
      <w:keepNext/>
      <w:spacing w:line="480" w:lineRule="auto"/>
      <w:jc w:val="both"/>
      <w:outlineLvl w:val="2"/>
    </w:pPr>
    <w:rPr>
      <w:b/>
    </w:rPr>
  </w:style>
  <w:style w:type="paragraph" w:styleId="Heading4">
    <w:name w:val="heading 4"/>
    <w:basedOn w:val="Normal"/>
    <w:next w:val="Normal"/>
    <w:link w:val="Heading4Char"/>
    <w:qFormat/>
    <w:rsid w:val="00C6222D"/>
    <w:pPr>
      <w:keepNext/>
      <w:spacing w:line="480" w:lineRule="auto"/>
      <w:outlineLvl w:val="3"/>
    </w:pPr>
    <w:rPr>
      <w:b/>
    </w:rPr>
  </w:style>
  <w:style w:type="paragraph" w:styleId="Heading5">
    <w:name w:val="heading 5"/>
    <w:basedOn w:val="Normal"/>
    <w:next w:val="Normal"/>
    <w:link w:val="Heading5Char"/>
    <w:qFormat/>
    <w:rsid w:val="00C6222D"/>
    <w:pPr>
      <w:keepNext/>
      <w:outlineLvl w:val="4"/>
    </w:pPr>
    <w:rPr>
      <w:b/>
      <w:sz w:val="22"/>
    </w:rPr>
  </w:style>
  <w:style w:type="paragraph" w:styleId="Heading6">
    <w:name w:val="heading 6"/>
    <w:basedOn w:val="Normal"/>
    <w:next w:val="Normal"/>
    <w:link w:val="Heading6Char"/>
    <w:qFormat/>
    <w:rsid w:val="00C6222D"/>
    <w:pPr>
      <w:keepNext/>
      <w:jc w:val="center"/>
      <w:outlineLvl w:val="5"/>
    </w:pPr>
    <w:rPr>
      <w:sz w:val="22"/>
      <w:u w:val="single"/>
    </w:rPr>
  </w:style>
  <w:style w:type="paragraph" w:styleId="Heading7">
    <w:name w:val="heading 7"/>
    <w:basedOn w:val="Normal"/>
    <w:next w:val="Normal"/>
    <w:link w:val="Heading7Char"/>
    <w:qFormat/>
    <w:rsid w:val="00C6222D"/>
    <w:pPr>
      <w:keepNext/>
      <w:jc w:val="center"/>
      <w:outlineLvl w:val="6"/>
    </w:pPr>
    <w:rPr>
      <w:b/>
      <w:snapToGrid w:val="0"/>
      <w:color w:val="000000"/>
      <w:sz w:val="22"/>
    </w:rPr>
  </w:style>
  <w:style w:type="paragraph" w:styleId="Heading8">
    <w:name w:val="heading 8"/>
    <w:basedOn w:val="Normal"/>
    <w:next w:val="Normal"/>
    <w:link w:val="Heading8Char"/>
    <w:qFormat/>
    <w:rsid w:val="00C6222D"/>
    <w:pPr>
      <w:keepNext/>
      <w:outlineLvl w:val="7"/>
    </w:pPr>
    <w:rPr>
      <w:b/>
      <w:snapToGrid w:val="0"/>
      <w:color w:val="000000"/>
      <w:sz w:val="22"/>
    </w:rPr>
  </w:style>
  <w:style w:type="paragraph" w:styleId="Heading9">
    <w:name w:val="heading 9"/>
    <w:basedOn w:val="Normal"/>
    <w:next w:val="Normal"/>
    <w:link w:val="Heading9Char"/>
    <w:qFormat/>
    <w:rsid w:val="00C6222D"/>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6222D"/>
    <w:pPr>
      <w:spacing w:line="480" w:lineRule="auto"/>
    </w:pPr>
    <w:rPr>
      <w:sz w:val="22"/>
    </w:rPr>
  </w:style>
  <w:style w:type="paragraph" w:styleId="BodyTextIndent">
    <w:name w:val="Body Text Indent"/>
    <w:basedOn w:val="Normal"/>
    <w:link w:val="BodyTextIndentChar"/>
    <w:rsid w:val="00C6222D"/>
    <w:pPr>
      <w:ind w:left="180" w:hanging="180"/>
      <w:jc w:val="both"/>
    </w:pPr>
    <w:rPr>
      <w:rFonts w:ascii="Arial" w:hAnsi="Arial"/>
      <w:sz w:val="22"/>
    </w:rPr>
  </w:style>
  <w:style w:type="paragraph" w:styleId="BodyTextIndent2">
    <w:name w:val="Body Text Indent 2"/>
    <w:basedOn w:val="Normal"/>
    <w:link w:val="BodyTextIndent2Char"/>
    <w:rsid w:val="00C6222D"/>
    <w:pPr>
      <w:ind w:left="180" w:hanging="180"/>
      <w:jc w:val="both"/>
    </w:pPr>
    <w:rPr>
      <w:rFonts w:ascii="Arial" w:hAnsi="Arial"/>
    </w:rPr>
  </w:style>
  <w:style w:type="paragraph" w:styleId="BodyText2">
    <w:name w:val="Body Text 2"/>
    <w:basedOn w:val="Normal"/>
    <w:link w:val="BodyText2Char"/>
    <w:rsid w:val="00C6222D"/>
    <w:rPr>
      <w:i/>
    </w:rPr>
  </w:style>
  <w:style w:type="paragraph" w:styleId="BodyText3">
    <w:name w:val="Body Text 3"/>
    <w:basedOn w:val="Normal"/>
    <w:link w:val="BodyText3Char"/>
    <w:rsid w:val="00C6222D"/>
    <w:rPr>
      <w:b/>
      <w:spacing w:val="-3"/>
    </w:rPr>
  </w:style>
  <w:style w:type="paragraph" w:styleId="Footer">
    <w:name w:val="footer"/>
    <w:basedOn w:val="Normal"/>
    <w:link w:val="FooterChar"/>
    <w:uiPriority w:val="99"/>
    <w:rsid w:val="00C6222D"/>
    <w:pPr>
      <w:tabs>
        <w:tab w:val="center" w:pos="4320"/>
        <w:tab w:val="right" w:pos="8640"/>
      </w:tabs>
    </w:pPr>
  </w:style>
  <w:style w:type="character" w:styleId="PageNumber">
    <w:name w:val="page number"/>
    <w:basedOn w:val="DefaultParagraphFont"/>
    <w:rsid w:val="00C6222D"/>
  </w:style>
  <w:style w:type="paragraph" w:customStyle="1" w:styleId="BodyText1">
    <w:name w:val="Body Text1"/>
    <w:rsid w:val="00C6222D"/>
    <w:pPr>
      <w:autoSpaceDE w:val="0"/>
      <w:autoSpaceDN w:val="0"/>
      <w:adjustRightInd w:val="0"/>
      <w:ind w:firstLine="480"/>
    </w:pPr>
    <w:rPr>
      <w:rFonts w:ascii="Arial" w:hAnsi="Arial" w:cs="Arial"/>
      <w:color w:val="000000"/>
      <w:szCs w:val="24"/>
    </w:rPr>
  </w:style>
  <w:style w:type="paragraph" w:customStyle="1" w:styleId="xl24">
    <w:name w:val="xl24"/>
    <w:basedOn w:val="Normal"/>
    <w:rsid w:val="00C6222D"/>
    <w:pPr>
      <w:spacing w:before="100" w:beforeAutospacing="1" w:after="100" w:afterAutospacing="1"/>
    </w:pPr>
    <w:rPr>
      <w:szCs w:val="24"/>
    </w:rPr>
  </w:style>
  <w:style w:type="paragraph" w:styleId="BodyTextIndent3">
    <w:name w:val="Body Text Indent 3"/>
    <w:basedOn w:val="Normal"/>
    <w:link w:val="BodyTextIndent3Char"/>
    <w:rsid w:val="00C6222D"/>
    <w:pPr>
      <w:widowControl w:val="0"/>
      <w:spacing w:line="480" w:lineRule="auto"/>
      <w:ind w:left="567" w:hanging="567"/>
      <w:jc w:val="both"/>
    </w:pPr>
    <w:rPr>
      <w:snapToGrid w:val="0"/>
      <w:sz w:val="22"/>
      <w:szCs w:val="24"/>
      <w:lang w:eastAsia="fr-FR"/>
    </w:rPr>
  </w:style>
  <w:style w:type="paragraph" w:styleId="FootnoteText">
    <w:name w:val="footnote text"/>
    <w:basedOn w:val="Normal"/>
    <w:link w:val="FootnoteTextChar"/>
    <w:semiHidden/>
    <w:rsid w:val="00C6222D"/>
  </w:style>
  <w:style w:type="character" w:styleId="FootnoteReference">
    <w:name w:val="footnote reference"/>
    <w:basedOn w:val="DefaultParagraphFont"/>
    <w:semiHidden/>
    <w:rsid w:val="00C6222D"/>
    <w:rPr>
      <w:vertAlign w:val="superscript"/>
    </w:rPr>
  </w:style>
  <w:style w:type="table" w:styleId="TableGrid">
    <w:name w:val="Table Grid"/>
    <w:basedOn w:val="TableNormal"/>
    <w:uiPriority w:val="59"/>
    <w:rsid w:val="00B177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13E28"/>
    <w:pPr>
      <w:tabs>
        <w:tab w:val="center" w:pos="4320"/>
        <w:tab w:val="right" w:pos="8640"/>
      </w:tabs>
    </w:pPr>
  </w:style>
  <w:style w:type="paragraph" w:customStyle="1" w:styleId="References">
    <w:name w:val="References"/>
    <w:basedOn w:val="Normal"/>
    <w:rsid w:val="00D610CD"/>
    <w:pPr>
      <w:spacing w:after="200"/>
      <w:ind w:left="720" w:hanging="720"/>
    </w:pPr>
    <w:rPr>
      <w:snapToGrid w:val="0"/>
      <w:color w:val="000000"/>
      <w:sz w:val="22"/>
      <w:szCs w:val="22"/>
    </w:rPr>
  </w:style>
  <w:style w:type="paragraph" w:styleId="DocumentMap">
    <w:name w:val="Document Map"/>
    <w:basedOn w:val="Normal"/>
    <w:link w:val="DocumentMapChar"/>
    <w:semiHidden/>
    <w:rsid w:val="00962973"/>
    <w:pPr>
      <w:shd w:val="clear" w:color="auto" w:fill="000080"/>
    </w:pPr>
    <w:rPr>
      <w:rFonts w:ascii="Tahoma" w:hAnsi="Tahoma" w:cs="Tahoma"/>
    </w:rPr>
  </w:style>
  <w:style w:type="paragraph" w:styleId="BalloonText">
    <w:name w:val="Balloon Text"/>
    <w:basedOn w:val="Normal"/>
    <w:link w:val="BalloonTextChar"/>
    <w:semiHidden/>
    <w:rsid w:val="002B3181"/>
    <w:rPr>
      <w:rFonts w:ascii="Tahoma" w:hAnsi="Tahoma" w:cs="Tahoma"/>
      <w:sz w:val="16"/>
      <w:szCs w:val="16"/>
    </w:rPr>
  </w:style>
  <w:style w:type="paragraph" w:styleId="ListParagraph">
    <w:name w:val="List Paragraph"/>
    <w:basedOn w:val="Normal"/>
    <w:uiPriority w:val="34"/>
    <w:qFormat/>
    <w:rsid w:val="006367BE"/>
    <w:pPr>
      <w:ind w:left="720"/>
      <w:contextualSpacing/>
    </w:pPr>
  </w:style>
  <w:style w:type="character" w:styleId="PlaceholderText">
    <w:name w:val="Placeholder Text"/>
    <w:basedOn w:val="DefaultParagraphFont"/>
    <w:uiPriority w:val="99"/>
    <w:semiHidden/>
    <w:rsid w:val="00734648"/>
    <w:rPr>
      <w:color w:val="808080"/>
    </w:rPr>
  </w:style>
  <w:style w:type="character" w:customStyle="1" w:styleId="FooterChar">
    <w:name w:val="Footer Char"/>
    <w:basedOn w:val="DefaultParagraphFont"/>
    <w:link w:val="Footer"/>
    <w:uiPriority w:val="99"/>
    <w:rsid w:val="00A563FD"/>
    <w:rPr>
      <w:sz w:val="24"/>
    </w:rPr>
  </w:style>
  <w:style w:type="character" w:styleId="CommentReference">
    <w:name w:val="annotation reference"/>
    <w:basedOn w:val="DefaultParagraphFont"/>
    <w:rsid w:val="004B7622"/>
    <w:rPr>
      <w:sz w:val="16"/>
      <w:szCs w:val="16"/>
    </w:rPr>
  </w:style>
  <w:style w:type="paragraph" w:styleId="CommentText">
    <w:name w:val="annotation text"/>
    <w:basedOn w:val="Normal"/>
    <w:link w:val="CommentTextChar"/>
    <w:rsid w:val="004B7622"/>
  </w:style>
  <w:style w:type="character" w:customStyle="1" w:styleId="CommentTextChar">
    <w:name w:val="Comment Text Char"/>
    <w:basedOn w:val="DefaultParagraphFont"/>
    <w:link w:val="CommentText"/>
    <w:rsid w:val="004B7622"/>
  </w:style>
  <w:style w:type="paragraph" w:styleId="CommentSubject">
    <w:name w:val="annotation subject"/>
    <w:basedOn w:val="CommentText"/>
    <w:next w:val="CommentText"/>
    <w:link w:val="CommentSubjectChar"/>
    <w:rsid w:val="004B7622"/>
    <w:rPr>
      <w:b/>
      <w:bCs/>
    </w:rPr>
  </w:style>
  <w:style w:type="character" w:customStyle="1" w:styleId="CommentSubjectChar">
    <w:name w:val="Comment Subject Char"/>
    <w:basedOn w:val="CommentTextChar"/>
    <w:link w:val="CommentSubject"/>
    <w:rsid w:val="004B7622"/>
    <w:rPr>
      <w:b/>
      <w:bCs/>
    </w:rPr>
  </w:style>
  <w:style w:type="character" w:customStyle="1" w:styleId="BodyTextChar">
    <w:name w:val="Body Text Char"/>
    <w:basedOn w:val="DefaultParagraphFont"/>
    <w:link w:val="BodyText"/>
    <w:rsid w:val="004B7622"/>
    <w:rPr>
      <w:sz w:val="22"/>
    </w:rPr>
  </w:style>
  <w:style w:type="paragraph" w:styleId="Revision">
    <w:name w:val="Revision"/>
    <w:hidden/>
    <w:uiPriority w:val="99"/>
    <w:semiHidden/>
    <w:rsid w:val="00944F43"/>
    <w:rPr>
      <w:sz w:val="24"/>
    </w:rPr>
  </w:style>
  <w:style w:type="table" w:styleId="TableClassic1">
    <w:name w:val="Table Classic 1"/>
    <w:basedOn w:val="TableNormal"/>
    <w:rsid w:val="0087209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b/>
        <w:i w:val="0"/>
        <w:iCs/>
        <w:sz w:val="20"/>
      </w:rPr>
      <w:tblPr/>
      <w:tcPr>
        <w:tcBorders>
          <w:bottom w:val="single" w:sz="6" w:space="0" w:color="000000"/>
          <w:tl2br w:val="none" w:sz="0" w:space="0" w:color="auto"/>
          <w:tr2bl w:val="none" w:sz="0" w:space="0" w:color="auto"/>
        </w:tcBorders>
      </w:tcPr>
    </w:tblStylePr>
    <w:tblStylePr w:type="lastRow">
      <w:rPr>
        <w:b w:val="0"/>
        <w:i w:val="0"/>
        <w:color w:val="auto"/>
      </w:rPr>
      <w:tblPr/>
      <w:tcPr>
        <w:tcBorders>
          <w:top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nhideWhenUsed/>
    <w:qFormat/>
    <w:rsid w:val="008E57FB"/>
    <w:pPr>
      <w:spacing w:after="200"/>
    </w:pPr>
    <w:rPr>
      <w:bCs/>
      <w:color w:val="000000" w:themeColor="text1"/>
      <w:sz w:val="22"/>
      <w:szCs w:val="18"/>
    </w:rPr>
  </w:style>
  <w:style w:type="paragraph" w:customStyle="1" w:styleId="LitCite">
    <w:name w:val="Lit Cite."/>
    <w:basedOn w:val="BodyText"/>
    <w:link w:val="LitCiteChar"/>
    <w:autoRedefine/>
    <w:qFormat/>
    <w:rsid w:val="00600E05"/>
    <w:pPr>
      <w:spacing w:before="120" w:line="240" w:lineRule="auto"/>
      <w:ind w:left="360" w:hanging="360"/>
      <w:jc w:val="both"/>
    </w:pPr>
    <w:rPr>
      <w:szCs w:val="24"/>
    </w:rPr>
  </w:style>
  <w:style w:type="paragraph" w:customStyle="1" w:styleId="GKC">
    <w:name w:val="GKC"/>
    <w:basedOn w:val="BodyText"/>
    <w:link w:val="GKCChar"/>
    <w:qFormat/>
    <w:rsid w:val="00DF2A74"/>
    <w:pPr>
      <w:spacing w:line="360" w:lineRule="auto"/>
      <w:jc w:val="both"/>
    </w:pPr>
    <w:rPr>
      <w:sz w:val="24"/>
      <w:szCs w:val="24"/>
    </w:rPr>
  </w:style>
  <w:style w:type="character" w:customStyle="1" w:styleId="LitCiteChar">
    <w:name w:val="Lit Cite. Char"/>
    <w:basedOn w:val="BodyTextChar"/>
    <w:link w:val="LitCite"/>
    <w:rsid w:val="00600E05"/>
    <w:rPr>
      <w:sz w:val="22"/>
      <w:szCs w:val="24"/>
    </w:rPr>
  </w:style>
  <w:style w:type="character" w:customStyle="1" w:styleId="GKCChar">
    <w:name w:val="GKC Char"/>
    <w:basedOn w:val="BodyTextChar"/>
    <w:link w:val="GKC"/>
    <w:rsid w:val="00DF2A74"/>
    <w:rPr>
      <w:sz w:val="24"/>
      <w:szCs w:val="24"/>
    </w:rPr>
  </w:style>
  <w:style w:type="character" w:customStyle="1" w:styleId="BalloonTextChar">
    <w:name w:val="Balloon Text Char"/>
    <w:basedOn w:val="DefaultParagraphFont"/>
    <w:link w:val="BalloonText"/>
    <w:semiHidden/>
    <w:rsid w:val="006B4EDE"/>
    <w:rPr>
      <w:rFonts w:ascii="Tahoma" w:hAnsi="Tahoma" w:cs="Tahoma"/>
      <w:sz w:val="16"/>
      <w:szCs w:val="16"/>
    </w:rPr>
  </w:style>
  <w:style w:type="character" w:customStyle="1" w:styleId="Heading1Char">
    <w:name w:val="Heading 1 Char"/>
    <w:basedOn w:val="DefaultParagraphFont"/>
    <w:link w:val="Heading1"/>
    <w:rsid w:val="006F21C0"/>
    <w:rPr>
      <w:rFonts w:ascii="Arial" w:hAnsi="Arial"/>
      <w:b/>
    </w:rPr>
  </w:style>
  <w:style w:type="character" w:customStyle="1" w:styleId="Heading2Char">
    <w:name w:val="Heading 2 Char"/>
    <w:basedOn w:val="DefaultParagraphFont"/>
    <w:link w:val="Heading2"/>
    <w:uiPriority w:val="9"/>
    <w:rsid w:val="006F21C0"/>
    <w:rPr>
      <w:rFonts w:ascii="Arial" w:hAnsi="Arial"/>
      <w:b/>
      <w:i/>
      <w:sz w:val="28"/>
    </w:rPr>
  </w:style>
  <w:style w:type="character" w:customStyle="1" w:styleId="Heading3Char">
    <w:name w:val="Heading 3 Char"/>
    <w:basedOn w:val="DefaultParagraphFont"/>
    <w:link w:val="Heading3"/>
    <w:rsid w:val="006F21C0"/>
    <w:rPr>
      <w:b/>
    </w:rPr>
  </w:style>
  <w:style w:type="character" w:customStyle="1" w:styleId="Heading4Char">
    <w:name w:val="Heading 4 Char"/>
    <w:basedOn w:val="DefaultParagraphFont"/>
    <w:link w:val="Heading4"/>
    <w:rsid w:val="006F21C0"/>
    <w:rPr>
      <w:b/>
    </w:rPr>
  </w:style>
  <w:style w:type="character" w:customStyle="1" w:styleId="Heading5Char">
    <w:name w:val="Heading 5 Char"/>
    <w:basedOn w:val="DefaultParagraphFont"/>
    <w:link w:val="Heading5"/>
    <w:rsid w:val="006F21C0"/>
    <w:rPr>
      <w:b/>
      <w:sz w:val="22"/>
    </w:rPr>
  </w:style>
  <w:style w:type="character" w:customStyle="1" w:styleId="Heading6Char">
    <w:name w:val="Heading 6 Char"/>
    <w:basedOn w:val="DefaultParagraphFont"/>
    <w:link w:val="Heading6"/>
    <w:rsid w:val="006F21C0"/>
    <w:rPr>
      <w:sz w:val="22"/>
      <w:u w:val="single"/>
    </w:rPr>
  </w:style>
  <w:style w:type="character" w:customStyle="1" w:styleId="Heading7Char">
    <w:name w:val="Heading 7 Char"/>
    <w:basedOn w:val="DefaultParagraphFont"/>
    <w:link w:val="Heading7"/>
    <w:rsid w:val="006F21C0"/>
    <w:rPr>
      <w:b/>
      <w:snapToGrid w:val="0"/>
      <w:color w:val="000000"/>
      <w:sz w:val="22"/>
    </w:rPr>
  </w:style>
  <w:style w:type="character" w:customStyle="1" w:styleId="Heading8Char">
    <w:name w:val="Heading 8 Char"/>
    <w:basedOn w:val="DefaultParagraphFont"/>
    <w:link w:val="Heading8"/>
    <w:rsid w:val="006F21C0"/>
    <w:rPr>
      <w:b/>
      <w:snapToGrid w:val="0"/>
      <w:color w:val="000000"/>
      <w:sz w:val="22"/>
    </w:rPr>
  </w:style>
  <w:style w:type="character" w:customStyle="1" w:styleId="Heading9Char">
    <w:name w:val="Heading 9 Char"/>
    <w:basedOn w:val="DefaultParagraphFont"/>
    <w:link w:val="Heading9"/>
    <w:rsid w:val="006F21C0"/>
    <w:rPr>
      <w:b/>
    </w:rPr>
  </w:style>
  <w:style w:type="character" w:customStyle="1" w:styleId="BodyTextIndentChar">
    <w:name w:val="Body Text Indent Char"/>
    <w:basedOn w:val="DefaultParagraphFont"/>
    <w:link w:val="BodyTextIndent"/>
    <w:rsid w:val="006F21C0"/>
    <w:rPr>
      <w:rFonts w:ascii="Arial" w:hAnsi="Arial"/>
      <w:sz w:val="22"/>
    </w:rPr>
  </w:style>
  <w:style w:type="character" w:customStyle="1" w:styleId="BodyTextIndent2Char">
    <w:name w:val="Body Text Indent 2 Char"/>
    <w:basedOn w:val="DefaultParagraphFont"/>
    <w:link w:val="BodyTextIndent2"/>
    <w:rsid w:val="006F21C0"/>
    <w:rPr>
      <w:rFonts w:ascii="Arial" w:hAnsi="Arial"/>
    </w:rPr>
  </w:style>
  <w:style w:type="character" w:customStyle="1" w:styleId="BodyText2Char">
    <w:name w:val="Body Text 2 Char"/>
    <w:basedOn w:val="DefaultParagraphFont"/>
    <w:link w:val="BodyText2"/>
    <w:rsid w:val="006F21C0"/>
    <w:rPr>
      <w:i/>
    </w:rPr>
  </w:style>
  <w:style w:type="character" w:customStyle="1" w:styleId="BodyText3Char">
    <w:name w:val="Body Text 3 Char"/>
    <w:basedOn w:val="DefaultParagraphFont"/>
    <w:link w:val="BodyText3"/>
    <w:rsid w:val="006F21C0"/>
    <w:rPr>
      <w:b/>
      <w:spacing w:val="-3"/>
    </w:rPr>
  </w:style>
  <w:style w:type="character" w:customStyle="1" w:styleId="BodyTextIndent3Char">
    <w:name w:val="Body Text Indent 3 Char"/>
    <w:basedOn w:val="DefaultParagraphFont"/>
    <w:link w:val="BodyTextIndent3"/>
    <w:rsid w:val="006F21C0"/>
    <w:rPr>
      <w:snapToGrid w:val="0"/>
      <w:sz w:val="22"/>
      <w:szCs w:val="24"/>
      <w:lang w:eastAsia="fr-FR"/>
    </w:rPr>
  </w:style>
  <w:style w:type="character" w:customStyle="1" w:styleId="FootnoteTextChar">
    <w:name w:val="Footnote Text Char"/>
    <w:basedOn w:val="DefaultParagraphFont"/>
    <w:link w:val="FootnoteText"/>
    <w:semiHidden/>
    <w:rsid w:val="006F21C0"/>
  </w:style>
  <w:style w:type="character" w:customStyle="1" w:styleId="HeaderChar">
    <w:name w:val="Header Char"/>
    <w:basedOn w:val="DefaultParagraphFont"/>
    <w:link w:val="Header"/>
    <w:rsid w:val="006F21C0"/>
  </w:style>
  <w:style w:type="character" w:customStyle="1" w:styleId="DocumentMapChar">
    <w:name w:val="Document Map Char"/>
    <w:basedOn w:val="DefaultParagraphFont"/>
    <w:link w:val="DocumentMap"/>
    <w:semiHidden/>
    <w:rsid w:val="006F21C0"/>
    <w:rPr>
      <w:rFonts w:ascii="Tahoma" w:hAnsi="Tahoma" w:cs="Tahoma"/>
      <w:shd w:val="clear" w:color="auto" w:fill="000080"/>
    </w:rPr>
  </w:style>
  <w:style w:type="paragraph" w:styleId="NoSpacing">
    <w:name w:val="No Spacing"/>
    <w:uiPriority w:val="1"/>
    <w:qFormat/>
    <w:rsid w:val="00BA71F0"/>
  </w:style>
  <w:style w:type="paragraph" w:customStyle="1" w:styleId="Ref">
    <w:name w:val="Ref"/>
    <w:basedOn w:val="Normal"/>
    <w:link w:val="RefChar"/>
    <w:qFormat/>
    <w:rsid w:val="00193AA7"/>
    <w:pPr>
      <w:autoSpaceDE w:val="0"/>
      <w:autoSpaceDN w:val="0"/>
      <w:adjustRightInd w:val="0"/>
      <w:ind w:left="288" w:hanging="288"/>
    </w:pPr>
    <w:rPr>
      <w:rFonts w:eastAsiaTheme="minorEastAsia"/>
      <w:szCs w:val="22"/>
    </w:rPr>
  </w:style>
  <w:style w:type="character" w:customStyle="1" w:styleId="RefChar">
    <w:name w:val="Ref Char"/>
    <w:basedOn w:val="DefaultParagraphFont"/>
    <w:link w:val="Ref"/>
    <w:rsid w:val="00193AA7"/>
    <w:rPr>
      <w:rFonts w:eastAsiaTheme="minorEastAsia"/>
      <w:szCs w:val="22"/>
    </w:rPr>
  </w:style>
  <w:style w:type="paragraph" w:styleId="NormalWeb">
    <w:name w:val="Normal (Web)"/>
    <w:basedOn w:val="Normal"/>
    <w:uiPriority w:val="99"/>
    <w:unhideWhenUsed/>
    <w:rsid w:val="005C7ED1"/>
    <w:pPr>
      <w:spacing w:before="100" w:beforeAutospacing="1" w:after="100" w:afterAutospacing="1"/>
    </w:pPr>
    <w:rPr>
      <w:sz w:val="24"/>
      <w:szCs w:val="24"/>
    </w:rPr>
  </w:style>
  <w:style w:type="character" w:styleId="Strong">
    <w:name w:val="Strong"/>
    <w:basedOn w:val="DefaultParagraphFont"/>
    <w:uiPriority w:val="22"/>
    <w:qFormat/>
    <w:rsid w:val="005C7ED1"/>
    <w:rPr>
      <w:b/>
      <w:bCs/>
    </w:rPr>
  </w:style>
  <w:style w:type="paragraph" w:customStyle="1" w:styleId="discreet">
    <w:name w:val="discreet"/>
    <w:basedOn w:val="Normal"/>
    <w:rsid w:val="005C7ED1"/>
    <w:pPr>
      <w:spacing w:before="100" w:beforeAutospacing="1" w:after="100" w:afterAutospacing="1"/>
    </w:pPr>
    <w:rPr>
      <w:sz w:val="24"/>
      <w:szCs w:val="24"/>
    </w:rPr>
  </w:style>
  <w:style w:type="character" w:styleId="Hyperlink">
    <w:name w:val="Hyperlink"/>
    <w:basedOn w:val="DefaultParagraphFont"/>
    <w:uiPriority w:val="99"/>
    <w:unhideWhenUsed/>
    <w:rsid w:val="005C7E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087">
      <w:bodyDiv w:val="1"/>
      <w:marLeft w:val="0"/>
      <w:marRight w:val="0"/>
      <w:marTop w:val="0"/>
      <w:marBottom w:val="0"/>
      <w:divBdr>
        <w:top w:val="none" w:sz="0" w:space="0" w:color="auto"/>
        <w:left w:val="none" w:sz="0" w:space="0" w:color="auto"/>
        <w:bottom w:val="none" w:sz="0" w:space="0" w:color="auto"/>
        <w:right w:val="none" w:sz="0" w:space="0" w:color="auto"/>
      </w:divBdr>
    </w:div>
    <w:div w:id="10686662">
      <w:bodyDiv w:val="1"/>
      <w:marLeft w:val="0"/>
      <w:marRight w:val="0"/>
      <w:marTop w:val="0"/>
      <w:marBottom w:val="0"/>
      <w:divBdr>
        <w:top w:val="none" w:sz="0" w:space="0" w:color="auto"/>
        <w:left w:val="none" w:sz="0" w:space="0" w:color="auto"/>
        <w:bottom w:val="none" w:sz="0" w:space="0" w:color="auto"/>
        <w:right w:val="none" w:sz="0" w:space="0" w:color="auto"/>
      </w:divBdr>
    </w:div>
    <w:div w:id="11030570">
      <w:bodyDiv w:val="1"/>
      <w:marLeft w:val="0"/>
      <w:marRight w:val="0"/>
      <w:marTop w:val="0"/>
      <w:marBottom w:val="0"/>
      <w:divBdr>
        <w:top w:val="none" w:sz="0" w:space="0" w:color="auto"/>
        <w:left w:val="none" w:sz="0" w:space="0" w:color="auto"/>
        <w:bottom w:val="none" w:sz="0" w:space="0" w:color="auto"/>
        <w:right w:val="none" w:sz="0" w:space="0" w:color="auto"/>
      </w:divBdr>
    </w:div>
    <w:div w:id="23794675">
      <w:bodyDiv w:val="1"/>
      <w:marLeft w:val="0"/>
      <w:marRight w:val="0"/>
      <w:marTop w:val="0"/>
      <w:marBottom w:val="0"/>
      <w:divBdr>
        <w:top w:val="none" w:sz="0" w:space="0" w:color="auto"/>
        <w:left w:val="none" w:sz="0" w:space="0" w:color="auto"/>
        <w:bottom w:val="none" w:sz="0" w:space="0" w:color="auto"/>
        <w:right w:val="none" w:sz="0" w:space="0" w:color="auto"/>
      </w:divBdr>
    </w:div>
    <w:div w:id="38676458">
      <w:bodyDiv w:val="1"/>
      <w:marLeft w:val="0"/>
      <w:marRight w:val="0"/>
      <w:marTop w:val="0"/>
      <w:marBottom w:val="0"/>
      <w:divBdr>
        <w:top w:val="none" w:sz="0" w:space="0" w:color="auto"/>
        <w:left w:val="none" w:sz="0" w:space="0" w:color="auto"/>
        <w:bottom w:val="none" w:sz="0" w:space="0" w:color="auto"/>
        <w:right w:val="none" w:sz="0" w:space="0" w:color="auto"/>
      </w:divBdr>
    </w:div>
    <w:div w:id="43844057">
      <w:bodyDiv w:val="1"/>
      <w:marLeft w:val="0"/>
      <w:marRight w:val="0"/>
      <w:marTop w:val="0"/>
      <w:marBottom w:val="0"/>
      <w:divBdr>
        <w:top w:val="none" w:sz="0" w:space="0" w:color="auto"/>
        <w:left w:val="none" w:sz="0" w:space="0" w:color="auto"/>
        <w:bottom w:val="none" w:sz="0" w:space="0" w:color="auto"/>
        <w:right w:val="none" w:sz="0" w:space="0" w:color="auto"/>
      </w:divBdr>
    </w:div>
    <w:div w:id="47412497">
      <w:bodyDiv w:val="1"/>
      <w:marLeft w:val="0"/>
      <w:marRight w:val="0"/>
      <w:marTop w:val="0"/>
      <w:marBottom w:val="0"/>
      <w:divBdr>
        <w:top w:val="none" w:sz="0" w:space="0" w:color="auto"/>
        <w:left w:val="none" w:sz="0" w:space="0" w:color="auto"/>
        <w:bottom w:val="none" w:sz="0" w:space="0" w:color="auto"/>
        <w:right w:val="none" w:sz="0" w:space="0" w:color="auto"/>
      </w:divBdr>
    </w:div>
    <w:div w:id="48040110">
      <w:bodyDiv w:val="1"/>
      <w:marLeft w:val="0"/>
      <w:marRight w:val="0"/>
      <w:marTop w:val="0"/>
      <w:marBottom w:val="0"/>
      <w:divBdr>
        <w:top w:val="none" w:sz="0" w:space="0" w:color="auto"/>
        <w:left w:val="none" w:sz="0" w:space="0" w:color="auto"/>
        <w:bottom w:val="none" w:sz="0" w:space="0" w:color="auto"/>
        <w:right w:val="none" w:sz="0" w:space="0" w:color="auto"/>
      </w:divBdr>
    </w:div>
    <w:div w:id="53746237">
      <w:bodyDiv w:val="1"/>
      <w:marLeft w:val="0"/>
      <w:marRight w:val="0"/>
      <w:marTop w:val="0"/>
      <w:marBottom w:val="0"/>
      <w:divBdr>
        <w:top w:val="none" w:sz="0" w:space="0" w:color="auto"/>
        <w:left w:val="none" w:sz="0" w:space="0" w:color="auto"/>
        <w:bottom w:val="none" w:sz="0" w:space="0" w:color="auto"/>
        <w:right w:val="none" w:sz="0" w:space="0" w:color="auto"/>
      </w:divBdr>
    </w:div>
    <w:div w:id="59910027">
      <w:bodyDiv w:val="1"/>
      <w:marLeft w:val="0"/>
      <w:marRight w:val="0"/>
      <w:marTop w:val="0"/>
      <w:marBottom w:val="0"/>
      <w:divBdr>
        <w:top w:val="none" w:sz="0" w:space="0" w:color="auto"/>
        <w:left w:val="none" w:sz="0" w:space="0" w:color="auto"/>
        <w:bottom w:val="none" w:sz="0" w:space="0" w:color="auto"/>
        <w:right w:val="none" w:sz="0" w:space="0" w:color="auto"/>
      </w:divBdr>
    </w:div>
    <w:div w:id="92290006">
      <w:bodyDiv w:val="1"/>
      <w:marLeft w:val="0"/>
      <w:marRight w:val="0"/>
      <w:marTop w:val="0"/>
      <w:marBottom w:val="0"/>
      <w:divBdr>
        <w:top w:val="none" w:sz="0" w:space="0" w:color="auto"/>
        <w:left w:val="none" w:sz="0" w:space="0" w:color="auto"/>
        <w:bottom w:val="none" w:sz="0" w:space="0" w:color="auto"/>
        <w:right w:val="none" w:sz="0" w:space="0" w:color="auto"/>
      </w:divBdr>
    </w:div>
    <w:div w:id="96952354">
      <w:bodyDiv w:val="1"/>
      <w:marLeft w:val="0"/>
      <w:marRight w:val="0"/>
      <w:marTop w:val="0"/>
      <w:marBottom w:val="0"/>
      <w:divBdr>
        <w:top w:val="none" w:sz="0" w:space="0" w:color="auto"/>
        <w:left w:val="none" w:sz="0" w:space="0" w:color="auto"/>
        <w:bottom w:val="none" w:sz="0" w:space="0" w:color="auto"/>
        <w:right w:val="none" w:sz="0" w:space="0" w:color="auto"/>
      </w:divBdr>
    </w:div>
    <w:div w:id="100999104">
      <w:bodyDiv w:val="1"/>
      <w:marLeft w:val="0"/>
      <w:marRight w:val="0"/>
      <w:marTop w:val="0"/>
      <w:marBottom w:val="0"/>
      <w:divBdr>
        <w:top w:val="none" w:sz="0" w:space="0" w:color="auto"/>
        <w:left w:val="none" w:sz="0" w:space="0" w:color="auto"/>
        <w:bottom w:val="none" w:sz="0" w:space="0" w:color="auto"/>
        <w:right w:val="none" w:sz="0" w:space="0" w:color="auto"/>
      </w:divBdr>
    </w:div>
    <w:div w:id="110898510">
      <w:bodyDiv w:val="1"/>
      <w:marLeft w:val="0"/>
      <w:marRight w:val="0"/>
      <w:marTop w:val="0"/>
      <w:marBottom w:val="0"/>
      <w:divBdr>
        <w:top w:val="none" w:sz="0" w:space="0" w:color="auto"/>
        <w:left w:val="none" w:sz="0" w:space="0" w:color="auto"/>
        <w:bottom w:val="none" w:sz="0" w:space="0" w:color="auto"/>
        <w:right w:val="none" w:sz="0" w:space="0" w:color="auto"/>
      </w:divBdr>
    </w:div>
    <w:div w:id="127207812">
      <w:bodyDiv w:val="1"/>
      <w:marLeft w:val="0"/>
      <w:marRight w:val="0"/>
      <w:marTop w:val="0"/>
      <w:marBottom w:val="0"/>
      <w:divBdr>
        <w:top w:val="none" w:sz="0" w:space="0" w:color="auto"/>
        <w:left w:val="none" w:sz="0" w:space="0" w:color="auto"/>
        <w:bottom w:val="none" w:sz="0" w:space="0" w:color="auto"/>
        <w:right w:val="none" w:sz="0" w:space="0" w:color="auto"/>
      </w:divBdr>
    </w:div>
    <w:div w:id="135804845">
      <w:bodyDiv w:val="1"/>
      <w:marLeft w:val="0"/>
      <w:marRight w:val="0"/>
      <w:marTop w:val="0"/>
      <w:marBottom w:val="0"/>
      <w:divBdr>
        <w:top w:val="none" w:sz="0" w:space="0" w:color="auto"/>
        <w:left w:val="none" w:sz="0" w:space="0" w:color="auto"/>
        <w:bottom w:val="none" w:sz="0" w:space="0" w:color="auto"/>
        <w:right w:val="none" w:sz="0" w:space="0" w:color="auto"/>
      </w:divBdr>
    </w:div>
    <w:div w:id="138307265">
      <w:bodyDiv w:val="1"/>
      <w:marLeft w:val="0"/>
      <w:marRight w:val="0"/>
      <w:marTop w:val="0"/>
      <w:marBottom w:val="0"/>
      <w:divBdr>
        <w:top w:val="none" w:sz="0" w:space="0" w:color="auto"/>
        <w:left w:val="none" w:sz="0" w:space="0" w:color="auto"/>
        <w:bottom w:val="none" w:sz="0" w:space="0" w:color="auto"/>
        <w:right w:val="none" w:sz="0" w:space="0" w:color="auto"/>
      </w:divBdr>
    </w:div>
    <w:div w:id="145627803">
      <w:bodyDiv w:val="1"/>
      <w:marLeft w:val="0"/>
      <w:marRight w:val="0"/>
      <w:marTop w:val="0"/>
      <w:marBottom w:val="0"/>
      <w:divBdr>
        <w:top w:val="none" w:sz="0" w:space="0" w:color="auto"/>
        <w:left w:val="none" w:sz="0" w:space="0" w:color="auto"/>
        <w:bottom w:val="none" w:sz="0" w:space="0" w:color="auto"/>
        <w:right w:val="none" w:sz="0" w:space="0" w:color="auto"/>
      </w:divBdr>
    </w:div>
    <w:div w:id="146821337">
      <w:bodyDiv w:val="1"/>
      <w:marLeft w:val="0"/>
      <w:marRight w:val="0"/>
      <w:marTop w:val="0"/>
      <w:marBottom w:val="0"/>
      <w:divBdr>
        <w:top w:val="none" w:sz="0" w:space="0" w:color="auto"/>
        <w:left w:val="none" w:sz="0" w:space="0" w:color="auto"/>
        <w:bottom w:val="none" w:sz="0" w:space="0" w:color="auto"/>
        <w:right w:val="none" w:sz="0" w:space="0" w:color="auto"/>
      </w:divBdr>
    </w:div>
    <w:div w:id="147719113">
      <w:bodyDiv w:val="1"/>
      <w:marLeft w:val="0"/>
      <w:marRight w:val="0"/>
      <w:marTop w:val="0"/>
      <w:marBottom w:val="0"/>
      <w:divBdr>
        <w:top w:val="none" w:sz="0" w:space="0" w:color="auto"/>
        <w:left w:val="none" w:sz="0" w:space="0" w:color="auto"/>
        <w:bottom w:val="none" w:sz="0" w:space="0" w:color="auto"/>
        <w:right w:val="none" w:sz="0" w:space="0" w:color="auto"/>
      </w:divBdr>
    </w:div>
    <w:div w:id="153962029">
      <w:bodyDiv w:val="1"/>
      <w:marLeft w:val="0"/>
      <w:marRight w:val="0"/>
      <w:marTop w:val="0"/>
      <w:marBottom w:val="0"/>
      <w:divBdr>
        <w:top w:val="none" w:sz="0" w:space="0" w:color="auto"/>
        <w:left w:val="none" w:sz="0" w:space="0" w:color="auto"/>
        <w:bottom w:val="none" w:sz="0" w:space="0" w:color="auto"/>
        <w:right w:val="none" w:sz="0" w:space="0" w:color="auto"/>
      </w:divBdr>
    </w:div>
    <w:div w:id="163518412">
      <w:bodyDiv w:val="1"/>
      <w:marLeft w:val="0"/>
      <w:marRight w:val="0"/>
      <w:marTop w:val="0"/>
      <w:marBottom w:val="0"/>
      <w:divBdr>
        <w:top w:val="none" w:sz="0" w:space="0" w:color="auto"/>
        <w:left w:val="none" w:sz="0" w:space="0" w:color="auto"/>
        <w:bottom w:val="none" w:sz="0" w:space="0" w:color="auto"/>
        <w:right w:val="none" w:sz="0" w:space="0" w:color="auto"/>
      </w:divBdr>
    </w:div>
    <w:div w:id="164631290">
      <w:bodyDiv w:val="1"/>
      <w:marLeft w:val="0"/>
      <w:marRight w:val="0"/>
      <w:marTop w:val="0"/>
      <w:marBottom w:val="0"/>
      <w:divBdr>
        <w:top w:val="none" w:sz="0" w:space="0" w:color="auto"/>
        <w:left w:val="none" w:sz="0" w:space="0" w:color="auto"/>
        <w:bottom w:val="none" w:sz="0" w:space="0" w:color="auto"/>
        <w:right w:val="none" w:sz="0" w:space="0" w:color="auto"/>
      </w:divBdr>
    </w:div>
    <w:div w:id="181281937">
      <w:bodyDiv w:val="1"/>
      <w:marLeft w:val="0"/>
      <w:marRight w:val="0"/>
      <w:marTop w:val="0"/>
      <w:marBottom w:val="0"/>
      <w:divBdr>
        <w:top w:val="none" w:sz="0" w:space="0" w:color="auto"/>
        <w:left w:val="none" w:sz="0" w:space="0" w:color="auto"/>
        <w:bottom w:val="none" w:sz="0" w:space="0" w:color="auto"/>
        <w:right w:val="none" w:sz="0" w:space="0" w:color="auto"/>
      </w:divBdr>
    </w:div>
    <w:div w:id="230503700">
      <w:bodyDiv w:val="1"/>
      <w:marLeft w:val="0"/>
      <w:marRight w:val="0"/>
      <w:marTop w:val="0"/>
      <w:marBottom w:val="0"/>
      <w:divBdr>
        <w:top w:val="none" w:sz="0" w:space="0" w:color="auto"/>
        <w:left w:val="none" w:sz="0" w:space="0" w:color="auto"/>
        <w:bottom w:val="none" w:sz="0" w:space="0" w:color="auto"/>
        <w:right w:val="none" w:sz="0" w:space="0" w:color="auto"/>
      </w:divBdr>
    </w:div>
    <w:div w:id="234321639">
      <w:bodyDiv w:val="1"/>
      <w:marLeft w:val="0"/>
      <w:marRight w:val="0"/>
      <w:marTop w:val="0"/>
      <w:marBottom w:val="0"/>
      <w:divBdr>
        <w:top w:val="none" w:sz="0" w:space="0" w:color="auto"/>
        <w:left w:val="none" w:sz="0" w:space="0" w:color="auto"/>
        <w:bottom w:val="none" w:sz="0" w:space="0" w:color="auto"/>
        <w:right w:val="none" w:sz="0" w:space="0" w:color="auto"/>
      </w:divBdr>
    </w:div>
    <w:div w:id="238099137">
      <w:bodyDiv w:val="1"/>
      <w:marLeft w:val="0"/>
      <w:marRight w:val="0"/>
      <w:marTop w:val="0"/>
      <w:marBottom w:val="0"/>
      <w:divBdr>
        <w:top w:val="none" w:sz="0" w:space="0" w:color="auto"/>
        <w:left w:val="none" w:sz="0" w:space="0" w:color="auto"/>
        <w:bottom w:val="none" w:sz="0" w:space="0" w:color="auto"/>
        <w:right w:val="none" w:sz="0" w:space="0" w:color="auto"/>
      </w:divBdr>
    </w:div>
    <w:div w:id="238633130">
      <w:bodyDiv w:val="1"/>
      <w:marLeft w:val="0"/>
      <w:marRight w:val="0"/>
      <w:marTop w:val="0"/>
      <w:marBottom w:val="0"/>
      <w:divBdr>
        <w:top w:val="none" w:sz="0" w:space="0" w:color="auto"/>
        <w:left w:val="none" w:sz="0" w:space="0" w:color="auto"/>
        <w:bottom w:val="none" w:sz="0" w:space="0" w:color="auto"/>
        <w:right w:val="none" w:sz="0" w:space="0" w:color="auto"/>
      </w:divBdr>
    </w:div>
    <w:div w:id="251933715">
      <w:bodyDiv w:val="1"/>
      <w:marLeft w:val="0"/>
      <w:marRight w:val="0"/>
      <w:marTop w:val="0"/>
      <w:marBottom w:val="0"/>
      <w:divBdr>
        <w:top w:val="none" w:sz="0" w:space="0" w:color="auto"/>
        <w:left w:val="none" w:sz="0" w:space="0" w:color="auto"/>
        <w:bottom w:val="none" w:sz="0" w:space="0" w:color="auto"/>
        <w:right w:val="none" w:sz="0" w:space="0" w:color="auto"/>
      </w:divBdr>
    </w:div>
    <w:div w:id="254096899">
      <w:bodyDiv w:val="1"/>
      <w:marLeft w:val="0"/>
      <w:marRight w:val="0"/>
      <w:marTop w:val="0"/>
      <w:marBottom w:val="0"/>
      <w:divBdr>
        <w:top w:val="none" w:sz="0" w:space="0" w:color="auto"/>
        <w:left w:val="none" w:sz="0" w:space="0" w:color="auto"/>
        <w:bottom w:val="none" w:sz="0" w:space="0" w:color="auto"/>
        <w:right w:val="none" w:sz="0" w:space="0" w:color="auto"/>
      </w:divBdr>
    </w:div>
    <w:div w:id="255795054">
      <w:bodyDiv w:val="1"/>
      <w:marLeft w:val="0"/>
      <w:marRight w:val="0"/>
      <w:marTop w:val="0"/>
      <w:marBottom w:val="0"/>
      <w:divBdr>
        <w:top w:val="none" w:sz="0" w:space="0" w:color="auto"/>
        <w:left w:val="none" w:sz="0" w:space="0" w:color="auto"/>
        <w:bottom w:val="none" w:sz="0" w:space="0" w:color="auto"/>
        <w:right w:val="none" w:sz="0" w:space="0" w:color="auto"/>
      </w:divBdr>
    </w:div>
    <w:div w:id="257374493">
      <w:bodyDiv w:val="1"/>
      <w:marLeft w:val="0"/>
      <w:marRight w:val="0"/>
      <w:marTop w:val="0"/>
      <w:marBottom w:val="0"/>
      <w:divBdr>
        <w:top w:val="none" w:sz="0" w:space="0" w:color="auto"/>
        <w:left w:val="none" w:sz="0" w:space="0" w:color="auto"/>
        <w:bottom w:val="none" w:sz="0" w:space="0" w:color="auto"/>
        <w:right w:val="none" w:sz="0" w:space="0" w:color="auto"/>
      </w:divBdr>
    </w:div>
    <w:div w:id="267546655">
      <w:bodyDiv w:val="1"/>
      <w:marLeft w:val="0"/>
      <w:marRight w:val="0"/>
      <w:marTop w:val="0"/>
      <w:marBottom w:val="0"/>
      <w:divBdr>
        <w:top w:val="none" w:sz="0" w:space="0" w:color="auto"/>
        <w:left w:val="none" w:sz="0" w:space="0" w:color="auto"/>
        <w:bottom w:val="none" w:sz="0" w:space="0" w:color="auto"/>
        <w:right w:val="none" w:sz="0" w:space="0" w:color="auto"/>
      </w:divBdr>
    </w:div>
    <w:div w:id="273682611">
      <w:bodyDiv w:val="1"/>
      <w:marLeft w:val="0"/>
      <w:marRight w:val="0"/>
      <w:marTop w:val="0"/>
      <w:marBottom w:val="0"/>
      <w:divBdr>
        <w:top w:val="none" w:sz="0" w:space="0" w:color="auto"/>
        <w:left w:val="none" w:sz="0" w:space="0" w:color="auto"/>
        <w:bottom w:val="none" w:sz="0" w:space="0" w:color="auto"/>
        <w:right w:val="none" w:sz="0" w:space="0" w:color="auto"/>
      </w:divBdr>
    </w:div>
    <w:div w:id="277419429">
      <w:bodyDiv w:val="1"/>
      <w:marLeft w:val="0"/>
      <w:marRight w:val="0"/>
      <w:marTop w:val="0"/>
      <w:marBottom w:val="0"/>
      <w:divBdr>
        <w:top w:val="none" w:sz="0" w:space="0" w:color="auto"/>
        <w:left w:val="none" w:sz="0" w:space="0" w:color="auto"/>
        <w:bottom w:val="none" w:sz="0" w:space="0" w:color="auto"/>
        <w:right w:val="none" w:sz="0" w:space="0" w:color="auto"/>
      </w:divBdr>
    </w:div>
    <w:div w:id="278028793">
      <w:bodyDiv w:val="1"/>
      <w:marLeft w:val="0"/>
      <w:marRight w:val="0"/>
      <w:marTop w:val="0"/>
      <w:marBottom w:val="0"/>
      <w:divBdr>
        <w:top w:val="none" w:sz="0" w:space="0" w:color="auto"/>
        <w:left w:val="none" w:sz="0" w:space="0" w:color="auto"/>
        <w:bottom w:val="none" w:sz="0" w:space="0" w:color="auto"/>
        <w:right w:val="none" w:sz="0" w:space="0" w:color="auto"/>
      </w:divBdr>
    </w:div>
    <w:div w:id="289242971">
      <w:bodyDiv w:val="1"/>
      <w:marLeft w:val="0"/>
      <w:marRight w:val="0"/>
      <w:marTop w:val="0"/>
      <w:marBottom w:val="0"/>
      <w:divBdr>
        <w:top w:val="none" w:sz="0" w:space="0" w:color="auto"/>
        <w:left w:val="none" w:sz="0" w:space="0" w:color="auto"/>
        <w:bottom w:val="none" w:sz="0" w:space="0" w:color="auto"/>
        <w:right w:val="none" w:sz="0" w:space="0" w:color="auto"/>
      </w:divBdr>
    </w:div>
    <w:div w:id="301815173">
      <w:bodyDiv w:val="1"/>
      <w:marLeft w:val="0"/>
      <w:marRight w:val="0"/>
      <w:marTop w:val="0"/>
      <w:marBottom w:val="0"/>
      <w:divBdr>
        <w:top w:val="none" w:sz="0" w:space="0" w:color="auto"/>
        <w:left w:val="none" w:sz="0" w:space="0" w:color="auto"/>
        <w:bottom w:val="none" w:sz="0" w:space="0" w:color="auto"/>
        <w:right w:val="none" w:sz="0" w:space="0" w:color="auto"/>
      </w:divBdr>
    </w:div>
    <w:div w:id="305472408">
      <w:bodyDiv w:val="1"/>
      <w:marLeft w:val="0"/>
      <w:marRight w:val="0"/>
      <w:marTop w:val="0"/>
      <w:marBottom w:val="0"/>
      <w:divBdr>
        <w:top w:val="none" w:sz="0" w:space="0" w:color="auto"/>
        <w:left w:val="none" w:sz="0" w:space="0" w:color="auto"/>
        <w:bottom w:val="none" w:sz="0" w:space="0" w:color="auto"/>
        <w:right w:val="none" w:sz="0" w:space="0" w:color="auto"/>
      </w:divBdr>
    </w:div>
    <w:div w:id="315955831">
      <w:bodyDiv w:val="1"/>
      <w:marLeft w:val="0"/>
      <w:marRight w:val="0"/>
      <w:marTop w:val="0"/>
      <w:marBottom w:val="0"/>
      <w:divBdr>
        <w:top w:val="none" w:sz="0" w:space="0" w:color="auto"/>
        <w:left w:val="none" w:sz="0" w:space="0" w:color="auto"/>
        <w:bottom w:val="none" w:sz="0" w:space="0" w:color="auto"/>
        <w:right w:val="none" w:sz="0" w:space="0" w:color="auto"/>
      </w:divBdr>
    </w:div>
    <w:div w:id="317147976">
      <w:bodyDiv w:val="1"/>
      <w:marLeft w:val="0"/>
      <w:marRight w:val="0"/>
      <w:marTop w:val="0"/>
      <w:marBottom w:val="0"/>
      <w:divBdr>
        <w:top w:val="none" w:sz="0" w:space="0" w:color="auto"/>
        <w:left w:val="none" w:sz="0" w:space="0" w:color="auto"/>
        <w:bottom w:val="none" w:sz="0" w:space="0" w:color="auto"/>
        <w:right w:val="none" w:sz="0" w:space="0" w:color="auto"/>
      </w:divBdr>
    </w:div>
    <w:div w:id="317996225">
      <w:bodyDiv w:val="1"/>
      <w:marLeft w:val="0"/>
      <w:marRight w:val="0"/>
      <w:marTop w:val="0"/>
      <w:marBottom w:val="0"/>
      <w:divBdr>
        <w:top w:val="none" w:sz="0" w:space="0" w:color="auto"/>
        <w:left w:val="none" w:sz="0" w:space="0" w:color="auto"/>
        <w:bottom w:val="none" w:sz="0" w:space="0" w:color="auto"/>
        <w:right w:val="none" w:sz="0" w:space="0" w:color="auto"/>
      </w:divBdr>
    </w:div>
    <w:div w:id="326324604">
      <w:bodyDiv w:val="1"/>
      <w:marLeft w:val="0"/>
      <w:marRight w:val="0"/>
      <w:marTop w:val="0"/>
      <w:marBottom w:val="0"/>
      <w:divBdr>
        <w:top w:val="none" w:sz="0" w:space="0" w:color="auto"/>
        <w:left w:val="none" w:sz="0" w:space="0" w:color="auto"/>
        <w:bottom w:val="none" w:sz="0" w:space="0" w:color="auto"/>
        <w:right w:val="none" w:sz="0" w:space="0" w:color="auto"/>
      </w:divBdr>
    </w:div>
    <w:div w:id="336275146">
      <w:bodyDiv w:val="1"/>
      <w:marLeft w:val="0"/>
      <w:marRight w:val="0"/>
      <w:marTop w:val="0"/>
      <w:marBottom w:val="0"/>
      <w:divBdr>
        <w:top w:val="none" w:sz="0" w:space="0" w:color="auto"/>
        <w:left w:val="none" w:sz="0" w:space="0" w:color="auto"/>
        <w:bottom w:val="none" w:sz="0" w:space="0" w:color="auto"/>
        <w:right w:val="none" w:sz="0" w:space="0" w:color="auto"/>
      </w:divBdr>
    </w:div>
    <w:div w:id="340276632">
      <w:bodyDiv w:val="1"/>
      <w:marLeft w:val="0"/>
      <w:marRight w:val="0"/>
      <w:marTop w:val="0"/>
      <w:marBottom w:val="0"/>
      <w:divBdr>
        <w:top w:val="none" w:sz="0" w:space="0" w:color="auto"/>
        <w:left w:val="none" w:sz="0" w:space="0" w:color="auto"/>
        <w:bottom w:val="none" w:sz="0" w:space="0" w:color="auto"/>
        <w:right w:val="none" w:sz="0" w:space="0" w:color="auto"/>
      </w:divBdr>
    </w:div>
    <w:div w:id="348990521">
      <w:bodyDiv w:val="1"/>
      <w:marLeft w:val="0"/>
      <w:marRight w:val="0"/>
      <w:marTop w:val="0"/>
      <w:marBottom w:val="0"/>
      <w:divBdr>
        <w:top w:val="none" w:sz="0" w:space="0" w:color="auto"/>
        <w:left w:val="none" w:sz="0" w:space="0" w:color="auto"/>
        <w:bottom w:val="none" w:sz="0" w:space="0" w:color="auto"/>
        <w:right w:val="none" w:sz="0" w:space="0" w:color="auto"/>
      </w:divBdr>
    </w:div>
    <w:div w:id="352222046">
      <w:bodyDiv w:val="1"/>
      <w:marLeft w:val="0"/>
      <w:marRight w:val="0"/>
      <w:marTop w:val="0"/>
      <w:marBottom w:val="0"/>
      <w:divBdr>
        <w:top w:val="none" w:sz="0" w:space="0" w:color="auto"/>
        <w:left w:val="none" w:sz="0" w:space="0" w:color="auto"/>
        <w:bottom w:val="none" w:sz="0" w:space="0" w:color="auto"/>
        <w:right w:val="none" w:sz="0" w:space="0" w:color="auto"/>
      </w:divBdr>
    </w:div>
    <w:div w:id="355928330">
      <w:bodyDiv w:val="1"/>
      <w:marLeft w:val="0"/>
      <w:marRight w:val="0"/>
      <w:marTop w:val="0"/>
      <w:marBottom w:val="0"/>
      <w:divBdr>
        <w:top w:val="none" w:sz="0" w:space="0" w:color="auto"/>
        <w:left w:val="none" w:sz="0" w:space="0" w:color="auto"/>
        <w:bottom w:val="none" w:sz="0" w:space="0" w:color="auto"/>
        <w:right w:val="none" w:sz="0" w:space="0" w:color="auto"/>
      </w:divBdr>
    </w:div>
    <w:div w:id="357899613">
      <w:bodyDiv w:val="1"/>
      <w:marLeft w:val="0"/>
      <w:marRight w:val="0"/>
      <w:marTop w:val="0"/>
      <w:marBottom w:val="0"/>
      <w:divBdr>
        <w:top w:val="none" w:sz="0" w:space="0" w:color="auto"/>
        <w:left w:val="none" w:sz="0" w:space="0" w:color="auto"/>
        <w:bottom w:val="none" w:sz="0" w:space="0" w:color="auto"/>
        <w:right w:val="none" w:sz="0" w:space="0" w:color="auto"/>
      </w:divBdr>
    </w:div>
    <w:div w:id="382599461">
      <w:bodyDiv w:val="1"/>
      <w:marLeft w:val="0"/>
      <w:marRight w:val="0"/>
      <w:marTop w:val="0"/>
      <w:marBottom w:val="0"/>
      <w:divBdr>
        <w:top w:val="none" w:sz="0" w:space="0" w:color="auto"/>
        <w:left w:val="none" w:sz="0" w:space="0" w:color="auto"/>
        <w:bottom w:val="none" w:sz="0" w:space="0" w:color="auto"/>
        <w:right w:val="none" w:sz="0" w:space="0" w:color="auto"/>
      </w:divBdr>
    </w:div>
    <w:div w:id="384065151">
      <w:bodyDiv w:val="1"/>
      <w:marLeft w:val="0"/>
      <w:marRight w:val="0"/>
      <w:marTop w:val="0"/>
      <w:marBottom w:val="0"/>
      <w:divBdr>
        <w:top w:val="none" w:sz="0" w:space="0" w:color="auto"/>
        <w:left w:val="none" w:sz="0" w:space="0" w:color="auto"/>
        <w:bottom w:val="none" w:sz="0" w:space="0" w:color="auto"/>
        <w:right w:val="none" w:sz="0" w:space="0" w:color="auto"/>
      </w:divBdr>
    </w:div>
    <w:div w:id="388194532">
      <w:bodyDiv w:val="1"/>
      <w:marLeft w:val="0"/>
      <w:marRight w:val="0"/>
      <w:marTop w:val="0"/>
      <w:marBottom w:val="0"/>
      <w:divBdr>
        <w:top w:val="none" w:sz="0" w:space="0" w:color="auto"/>
        <w:left w:val="none" w:sz="0" w:space="0" w:color="auto"/>
        <w:bottom w:val="none" w:sz="0" w:space="0" w:color="auto"/>
        <w:right w:val="none" w:sz="0" w:space="0" w:color="auto"/>
      </w:divBdr>
    </w:div>
    <w:div w:id="400566705">
      <w:bodyDiv w:val="1"/>
      <w:marLeft w:val="0"/>
      <w:marRight w:val="0"/>
      <w:marTop w:val="0"/>
      <w:marBottom w:val="0"/>
      <w:divBdr>
        <w:top w:val="none" w:sz="0" w:space="0" w:color="auto"/>
        <w:left w:val="none" w:sz="0" w:space="0" w:color="auto"/>
        <w:bottom w:val="none" w:sz="0" w:space="0" w:color="auto"/>
        <w:right w:val="none" w:sz="0" w:space="0" w:color="auto"/>
      </w:divBdr>
    </w:div>
    <w:div w:id="402456604">
      <w:bodyDiv w:val="1"/>
      <w:marLeft w:val="0"/>
      <w:marRight w:val="0"/>
      <w:marTop w:val="0"/>
      <w:marBottom w:val="0"/>
      <w:divBdr>
        <w:top w:val="none" w:sz="0" w:space="0" w:color="auto"/>
        <w:left w:val="none" w:sz="0" w:space="0" w:color="auto"/>
        <w:bottom w:val="none" w:sz="0" w:space="0" w:color="auto"/>
        <w:right w:val="none" w:sz="0" w:space="0" w:color="auto"/>
      </w:divBdr>
    </w:div>
    <w:div w:id="405684179">
      <w:bodyDiv w:val="1"/>
      <w:marLeft w:val="0"/>
      <w:marRight w:val="0"/>
      <w:marTop w:val="0"/>
      <w:marBottom w:val="0"/>
      <w:divBdr>
        <w:top w:val="none" w:sz="0" w:space="0" w:color="auto"/>
        <w:left w:val="none" w:sz="0" w:space="0" w:color="auto"/>
        <w:bottom w:val="none" w:sz="0" w:space="0" w:color="auto"/>
        <w:right w:val="none" w:sz="0" w:space="0" w:color="auto"/>
      </w:divBdr>
    </w:div>
    <w:div w:id="414978221">
      <w:bodyDiv w:val="1"/>
      <w:marLeft w:val="0"/>
      <w:marRight w:val="0"/>
      <w:marTop w:val="0"/>
      <w:marBottom w:val="0"/>
      <w:divBdr>
        <w:top w:val="none" w:sz="0" w:space="0" w:color="auto"/>
        <w:left w:val="none" w:sz="0" w:space="0" w:color="auto"/>
        <w:bottom w:val="none" w:sz="0" w:space="0" w:color="auto"/>
        <w:right w:val="none" w:sz="0" w:space="0" w:color="auto"/>
      </w:divBdr>
    </w:div>
    <w:div w:id="415589243">
      <w:bodyDiv w:val="1"/>
      <w:marLeft w:val="0"/>
      <w:marRight w:val="0"/>
      <w:marTop w:val="0"/>
      <w:marBottom w:val="0"/>
      <w:divBdr>
        <w:top w:val="none" w:sz="0" w:space="0" w:color="auto"/>
        <w:left w:val="none" w:sz="0" w:space="0" w:color="auto"/>
        <w:bottom w:val="none" w:sz="0" w:space="0" w:color="auto"/>
        <w:right w:val="none" w:sz="0" w:space="0" w:color="auto"/>
      </w:divBdr>
    </w:div>
    <w:div w:id="419840616">
      <w:bodyDiv w:val="1"/>
      <w:marLeft w:val="0"/>
      <w:marRight w:val="0"/>
      <w:marTop w:val="0"/>
      <w:marBottom w:val="0"/>
      <w:divBdr>
        <w:top w:val="none" w:sz="0" w:space="0" w:color="auto"/>
        <w:left w:val="none" w:sz="0" w:space="0" w:color="auto"/>
        <w:bottom w:val="none" w:sz="0" w:space="0" w:color="auto"/>
        <w:right w:val="none" w:sz="0" w:space="0" w:color="auto"/>
      </w:divBdr>
    </w:div>
    <w:div w:id="422534818">
      <w:bodyDiv w:val="1"/>
      <w:marLeft w:val="0"/>
      <w:marRight w:val="0"/>
      <w:marTop w:val="0"/>
      <w:marBottom w:val="0"/>
      <w:divBdr>
        <w:top w:val="none" w:sz="0" w:space="0" w:color="auto"/>
        <w:left w:val="none" w:sz="0" w:space="0" w:color="auto"/>
        <w:bottom w:val="none" w:sz="0" w:space="0" w:color="auto"/>
        <w:right w:val="none" w:sz="0" w:space="0" w:color="auto"/>
      </w:divBdr>
    </w:div>
    <w:div w:id="424033774">
      <w:bodyDiv w:val="1"/>
      <w:marLeft w:val="0"/>
      <w:marRight w:val="0"/>
      <w:marTop w:val="0"/>
      <w:marBottom w:val="0"/>
      <w:divBdr>
        <w:top w:val="none" w:sz="0" w:space="0" w:color="auto"/>
        <w:left w:val="none" w:sz="0" w:space="0" w:color="auto"/>
        <w:bottom w:val="none" w:sz="0" w:space="0" w:color="auto"/>
        <w:right w:val="none" w:sz="0" w:space="0" w:color="auto"/>
      </w:divBdr>
    </w:div>
    <w:div w:id="434442753">
      <w:bodyDiv w:val="1"/>
      <w:marLeft w:val="0"/>
      <w:marRight w:val="0"/>
      <w:marTop w:val="0"/>
      <w:marBottom w:val="0"/>
      <w:divBdr>
        <w:top w:val="none" w:sz="0" w:space="0" w:color="auto"/>
        <w:left w:val="none" w:sz="0" w:space="0" w:color="auto"/>
        <w:bottom w:val="none" w:sz="0" w:space="0" w:color="auto"/>
        <w:right w:val="none" w:sz="0" w:space="0" w:color="auto"/>
      </w:divBdr>
    </w:div>
    <w:div w:id="447435895">
      <w:bodyDiv w:val="1"/>
      <w:marLeft w:val="0"/>
      <w:marRight w:val="0"/>
      <w:marTop w:val="0"/>
      <w:marBottom w:val="0"/>
      <w:divBdr>
        <w:top w:val="none" w:sz="0" w:space="0" w:color="auto"/>
        <w:left w:val="none" w:sz="0" w:space="0" w:color="auto"/>
        <w:bottom w:val="none" w:sz="0" w:space="0" w:color="auto"/>
        <w:right w:val="none" w:sz="0" w:space="0" w:color="auto"/>
      </w:divBdr>
    </w:div>
    <w:div w:id="460803021">
      <w:bodyDiv w:val="1"/>
      <w:marLeft w:val="0"/>
      <w:marRight w:val="0"/>
      <w:marTop w:val="0"/>
      <w:marBottom w:val="0"/>
      <w:divBdr>
        <w:top w:val="none" w:sz="0" w:space="0" w:color="auto"/>
        <w:left w:val="none" w:sz="0" w:space="0" w:color="auto"/>
        <w:bottom w:val="none" w:sz="0" w:space="0" w:color="auto"/>
        <w:right w:val="none" w:sz="0" w:space="0" w:color="auto"/>
      </w:divBdr>
    </w:div>
    <w:div w:id="465466892">
      <w:bodyDiv w:val="1"/>
      <w:marLeft w:val="0"/>
      <w:marRight w:val="0"/>
      <w:marTop w:val="0"/>
      <w:marBottom w:val="0"/>
      <w:divBdr>
        <w:top w:val="none" w:sz="0" w:space="0" w:color="auto"/>
        <w:left w:val="none" w:sz="0" w:space="0" w:color="auto"/>
        <w:bottom w:val="none" w:sz="0" w:space="0" w:color="auto"/>
        <w:right w:val="none" w:sz="0" w:space="0" w:color="auto"/>
      </w:divBdr>
    </w:div>
    <w:div w:id="468328747">
      <w:bodyDiv w:val="1"/>
      <w:marLeft w:val="0"/>
      <w:marRight w:val="0"/>
      <w:marTop w:val="0"/>
      <w:marBottom w:val="0"/>
      <w:divBdr>
        <w:top w:val="none" w:sz="0" w:space="0" w:color="auto"/>
        <w:left w:val="none" w:sz="0" w:space="0" w:color="auto"/>
        <w:bottom w:val="none" w:sz="0" w:space="0" w:color="auto"/>
        <w:right w:val="none" w:sz="0" w:space="0" w:color="auto"/>
      </w:divBdr>
    </w:div>
    <w:div w:id="473791127">
      <w:bodyDiv w:val="1"/>
      <w:marLeft w:val="0"/>
      <w:marRight w:val="0"/>
      <w:marTop w:val="0"/>
      <w:marBottom w:val="0"/>
      <w:divBdr>
        <w:top w:val="none" w:sz="0" w:space="0" w:color="auto"/>
        <w:left w:val="none" w:sz="0" w:space="0" w:color="auto"/>
        <w:bottom w:val="none" w:sz="0" w:space="0" w:color="auto"/>
        <w:right w:val="none" w:sz="0" w:space="0" w:color="auto"/>
      </w:divBdr>
    </w:div>
    <w:div w:id="487981776">
      <w:bodyDiv w:val="1"/>
      <w:marLeft w:val="0"/>
      <w:marRight w:val="0"/>
      <w:marTop w:val="0"/>
      <w:marBottom w:val="0"/>
      <w:divBdr>
        <w:top w:val="none" w:sz="0" w:space="0" w:color="auto"/>
        <w:left w:val="none" w:sz="0" w:space="0" w:color="auto"/>
        <w:bottom w:val="none" w:sz="0" w:space="0" w:color="auto"/>
        <w:right w:val="none" w:sz="0" w:space="0" w:color="auto"/>
      </w:divBdr>
    </w:div>
    <w:div w:id="493109589">
      <w:bodyDiv w:val="1"/>
      <w:marLeft w:val="0"/>
      <w:marRight w:val="0"/>
      <w:marTop w:val="0"/>
      <w:marBottom w:val="0"/>
      <w:divBdr>
        <w:top w:val="none" w:sz="0" w:space="0" w:color="auto"/>
        <w:left w:val="none" w:sz="0" w:space="0" w:color="auto"/>
        <w:bottom w:val="none" w:sz="0" w:space="0" w:color="auto"/>
        <w:right w:val="none" w:sz="0" w:space="0" w:color="auto"/>
      </w:divBdr>
    </w:div>
    <w:div w:id="496119940">
      <w:bodyDiv w:val="1"/>
      <w:marLeft w:val="0"/>
      <w:marRight w:val="0"/>
      <w:marTop w:val="0"/>
      <w:marBottom w:val="0"/>
      <w:divBdr>
        <w:top w:val="none" w:sz="0" w:space="0" w:color="auto"/>
        <w:left w:val="none" w:sz="0" w:space="0" w:color="auto"/>
        <w:bottom w:val="none" w:sz="0" w:space="0" w:color="auto"/>
        <w:right w:val="none" w:sz="0" w:space="0" w:color="auto"/>
      </w:divBdr>
    </w:div>
    <w:div w:id="502165357">
      <w:bodyDiv w:val="1"/>
      <w:marLeft w:val="0"/>
      <w:marRight w:val="0"/>
      <w:marTop w:val="0"/>
      <w:marBottom w:val="0"/>
      <w:divBdr>
        <w:top w:val="none" w:sz="0" w:space="0" w:color="auto"/>
        <w:left w:val="none" w:sz="0" w:space="0" w:color="auto"/>
        <w:bottom w:val="none" w:sz="0" w:space="0" w:color="auto"/>
        <w:right w:val="none" w:sz="0" w:space="0" w:color="auto"/>
      </w:divBdr>
    </w:div>
    <w:div w:id="506944068">
      <w:bodyDiv w:val="1"/>
      <w:marLeft w:val="0"/>
      <w:marRight w:val="0"/>
      <w:marTop w:val="0"/>
      <w:marBottom w:val="0"/>
      <w:divBdr>
        <w:top w:val="none" w:sz="0" w:space="0" w:color="auto"/>
        <w:left w:val="none" w:sz="0" w:space="0" w:color="auto"/>
        <w:bottom w:val="none" w:sz="0" w:space="0" w:color="auto"/>
        <w:right w:val="none" w:sz="0" w:space="0" w:color="auto"/>
      </w:divBdr>
    </w:div>
    <w:div w:id="506945303">
      <w:bodyDiv w:val="1"/>
      <w:marLeft w:val="0"/>
      <w:marRight w:val="0"/>
      <w:marTop w:val="0"/>
      <w:marBottom w:val="0"/>
      <w:divBdr>
        <w:top w:val="none" w:sz="0" w:space="0" w:color="auto"/>
        <w:left w:val="none" w:sz="0" w:space="0" w:color="auto"/>
        <w:bottom w:val="none" w:sz="0" w:space="0" w:color="auto"/>
        <w:right w:val="none" w:sz="0" w:space="0" w:color="auto"/>
      </w:divBdr>
    </w:div>
    <w:div w:id="509754308">
      <w:bodyDiv w:val="1"/>
      <w:marLeft w:val="0"/>
      <w:marRight w:val="0"/>
      <w:marTop w:val="0"/>
      <w:marBottom w:val="0"/>
      <w:divBdr>
        <w:top w:val="none" w:sz="0" w:space="0" w:color="auto"/>
        <w:left w:val="none" w:sz="0" w:space="0" w:color="auto"/>
        <w:bottom w:val="none" w:sz="0" w:space="0" w:color="auto"/>
        <w:right w:val="none" w:sz="0" w:space="0" w:color="auto"/>
      </w:divBdr>
    </w:div>
    <w:div w:id="514656531">
      <w:bodyDiv w:val="1"/>
      <w:marLeft w:val="0"/>
      <w:marRight w:val="0"/>
      <w:marTop w:val="0"/>
      <w:marBottom w:val="0"/>
      <w:divBdr>
        <w:top w:val="none" w:sz="0" w:space="0" w:color="auto"/>
        <w:left w:val="none" w:sz="0" w:space="0" w:color="auto"/>
        <w:bottom w:val="none" w:sz="0" w:space="0" w:color="auto"/>
        <w:right w:val="none" w:sz="0" w:space="0" w:color="auto"/>
      </w:divBdr>
    </w:div>
    <w:div w:id="520630026">
      <w:bodyDiv w:val="1"/>
      <w:marLeft w:val="0"/>
      <w:marRight w:val="0"/>
      <w:marTop w:val="0"/>
      <w:marBottom w:val="0"/>
      <w:divBdr>
        <w:top w:val="none" w:sz="0" w:space="0" w:color="auto"/>
        <w:left w:val="none" w:sz="0" w:space="0" w:color="auto"/>
        <w:bottom w:val="none" w:sz="0" w:space="0" w:color="auto"/>
        <w:right w:val="none" w:sz="0" w:space="0" w:color="auto"/>
      </w:divBdr>
    </w:div>
    <w:div w:id="525556423">
      <w:bodyDiv w:val="1"/>
      <w:marLeft w:val="0"/>
      <w:marRight w:val="0"/>
      <w:marTop w:val="0"/>
      <w:marBottom w:val="0"/>
      <w:divBdr>
        <w:top w:val="none" w:sz="0" w:space="0" w:color="auto"/>
        <w:left w:val="none" w:sz="0" w:space="0" w:color="auto"/>
        <w:bottom w:val="none" w:sz="0" w:space="0" w:color="auto"/>
        <w:right w:val="none" w:sz="0" w:space="0" w:color="auto"/>
      </w:divBdr>
    </w:div>
    <w:div w:id="529417035">
      <w:bodyDiv w:val="1"/>
      <w:marLeft w:val="0"/>
      <w:marRight w:val="0"/>
      <w:marTop w:val="0"/>
      <w:marBottom w:val="0"/>
      <w:divBdr>
        <w:top w:val="none" w:sz="0" w:space="0" w:color="auto"/>
        <w:left w:val="none" w:sz="0" w:space="0" w:color="auto"/>
        <w:bottom w:val="none" w:sz="0" w:space="0" w:color="auto"/>
        <w:right w:val="none" w:sz="0" w:space="0" w:color="auto"/>
      </w:divBdr>
    </w:div>
    <w:div w:id="534121862">
      <w:bodyDiv w:val="1"/>
      <w:marLeft w:val="0"/>
      <w:marRight w:val="0"/>
      <w:marTop w:val="0"/>
      <w:marBottom w:val="0"/>
      <w:divBdr>
        <w:top w:val="none" w:sz="0" w:space="0" w:color="auto"/>
        <w:left w:val="none" w:sz="0" w:space="0" w:color="auto"/>
        <w:bottom w:val="none" w:sz="0" w:space="0" w:color="auto"/>
        <w:right w:val="none" w:sz="0" w:space="0" w:color="auto"/>
      </w:divBdr>
    </w:div>
    <w:div w:id="534538349">
      <w:bodyDiv w:val="1"/>
      <w:marLeft w:val="0"/>
      <w:marRight w:val="0"/>
      <w:marTop w:val="0"/>
      <w:marBottom w:val="0"/>
      <w:divBdr>
        <w:top w:val="none" w:sz="0" w:space="0" w:color="auto"/>
        <w:left w:val="none" w:sz="0" w:space="0" w:color="auto"/>
        <w:bottom w:val="none" w:sz="0" w:space="0" w:color="auto"/>
        <w:right w:val="none" w:sz="0" w:space="0" w:color="auto"/>
      </w:divBdr>
    </w:div>
    <w:div w:id="545261848">
      <w:bodyDiv w:val="1"/>
      <w:marLeft w:val="0"/>
      <w:marRight w:val="0"/>
      <w:marTop w:val="0"/>
      <w:marBottom w:val="0"/>
      <w:divBdr>
        <w:top w:val="none" w:sz="0" w:space="0" w:color="auto"/>
        <w:left w:val="none" w:sz="0" w:space="0" w:color="auto"/>
        <w:bottom w:val="none" w:sz="0" w:space="0" w:color="auto"/>
        <w:right w:val="none" w:sz="0" w:space="0" w:color="auto"/>
      </w:divBdr>
    </w:div>
    <w:div w:id="551041951">
      <w:bodyDiv w:val="1"/>
      <w:marLeft w:val="0"/>
      <w:marRight w:val="0"/>
      <w:marTop w:val="0"/>
      <w:marBottom w:val="0"/>
      <w:divBdr>
        <w:top w:val="none" w:sz="0" w:space="0" w:color="auto"/>
        <w:left w:val="none" w:sz="0" w:space="0" w:color="auto"/>
        <w:bottom w:val="none" w:sz="0" w:space="0" w:color="auto"/>
        <w:right w:val="none" w:sz="0" w:space="0" w:color="auto"/>
      </w:divBdr>
    </w:div>
    <w:div w:id="561909159">
      <w:bodyDiv w:val="1"/>
      <w:marLeft w:val="0"/>
      <w:marRight w:val="0"/>
      <w:marTop w:val="0"/>
      <w:marBottom w:val="0"/>
      <w:divBdr>
        <w:top w:val="none" w:sz="0" w:space="0" w:color="auto"/>
        <w:left w:val="none" w:sz="0" w:space="0" w:color="auto"/>
        <w:bottom w:val="none" w:sz="0" w:space="0" w:color="auto"/>
        <w:right w:val="none" w:sz="0" w:space="0" w:color="auto"/>
      </w:divBdr>
    </w:div>
    <w:div w:id="572589639">
      <w:bodyDiv w:val="1"/>
      <w:marLeft w:val="0"/>
      <w:marRight w:val="0"/>
      <w:marTop w:val="0"/>
      <w:marBottom w:val="0"/>
      <w:divBdr>
        <w:top w:val="none" w:sz="0" w:space="0" w:color="auto"/>
        <w:left w:val="none" w:sz="0" w:space="0" w:color="auto"/>
        <w:bottom w:val="none" w:sz="0" w:space="0" w:color="auto"/>
        <w:right w:val="none" w:sz="0" w:space="0" w:color="auto"/>
      </w:divBdr>
    </w:div>
    <w:div w:id="585110018">
      <w:bodyDiv w:val="1"/>
      <w:marLeft w:val="0"/>
      <w:marRight w:val="0"/>
      <w:marTop w:val="0"/>
      <w:marBottom w:val="0"/>
      <w:divBdr>
        <w:top w:val="none" w:sz="0" w:space="0" w:color="auto"/>
        <w:left w:val="none" w:sz="0" w:space="0" w:color="auto"/>
        <w:bottom w:val="none" w:sz="0" w:space="0" w:color="auto"/>
        <w:right w:val="none" w:sz="0" w:space="0" w:color="auto"/>
      </w:divBdr>
    </w:div>
    <w:div w:id="594944621">
      <w:bodyDiv w:val="1"/>
      <w:marLeft w:val="0"/>
      <w:marRight w:val="0"/>
      <w:marTop w:val="0"/>
      <w:marBottom w:val="0"/>
      <w:divBdr>
        <w:top w:val="none" w:sz="0" w:space="0" w:color="auto"/>
        <w:left w:val="none" w:sz="0" w:space="0" w:color="auto"/>
        <w:bottom w:val="none" w:sz="0" w:space="0" w:color="auto"/>
        <w:right w:val="none" w:sz="0" w:space="0" w:color="auto"/>
      </w:divBdr>
    </w:div>
    <w:div w:id="609967675">
      <w:bodyDiv w:val="1"/>
      <w:marLeft w:val="0"/>
      <w:marRight w:val="0"/>
      <w:marTop w:val="0"/>
      <w:marBottom w:val="0"/>
      <w:divBdr>
        <w:top w:val="none" w:sz="0" w:space="0" w:color="auto"/>
        <w:left w:val="none" w:sz="0" w:space="0" w:color="auto"/>
        <w:bottom w:val="none" w:sz="0" w:space="0" w:color="auto"/>
        <w:right w:val="none" w:sz="0" w:space="0" w:color="auto"/>
      </w:divBdr>
    </w:div>
    <w:div w:id="616255271">
      <w:bodyDiv w:val="1"/>
      <w:marLeft w:val="0"/>
      <w:marRight w:val="0"/>
      <w:marTop w:val="0"/>
      <w:marBottom w:val="0"/>
      <w:divBdr>
        <w:top w:val="none" w:sz="0" w:space="0" w:color="auto"/>
        <w:left w:val="none" w:sz="0" w:space="0" w:color="auto"/>
        <w:bottom w:val="none" w:sz="0" w:space="0" w:color="auto"/>
        <w:right w:val="none" w:sz="0" w:space="0" w:color="auto"/>
      </w:divBdr>
    </w:div>
    <w:div w:id="633558075">
      <w:bodyDiv w:val="1"/>
      <w:marLeft w:val="0"/>
      <w:marRight w:val="0"/>
      <w:marTop w:val="0"/>
      <w:marBottom w:val="0"/>
      <w:divBdr>
        <w:top w:val="none" w:sz="0" w:space="0" w:color="auto"/>
        <w:left w:val="none" w:sz="0" w:space="0" w:color="auto"/>
        <w:bottom w:val="none" w:sz="0" w:space="0" w:color="auto"/>
        <w:right w:val="none" w:sz="0" w:space="0" w:color="auto"/>
      </w:divBdr>
    </w:div>
    <w:div w:id="645620948">
      <w:bodyDiv w:val="1"/>
      <w:marLeft w:val="0"/>
      <w:marRight w:val="0"/>
      <w:marTop w:val="0"/>
      <w:marBottom w:val="0"/>
      <w:divBdr>
        <w:top w:val="none" w:sz="0" w:space="0" w:color="auto"/>
        <w:left w:val="none" w:sz="0" w:space="0" w:color="auto"/>
        <w:bottom w:val="none" w:sz="0" w:space="0" w:color="auto"/>
        <w:right w:val="none" w:sz="0" w:space="0" w:color="auto"/>
      </w:divBdr>
    </w:div>
    <w:div w:id="654919175">
      <w:bodyDiv w:val="1"/>
      <w:marLeft w:val="0"/>
      <w:marRight w:val="0"/>
      <w:marTop w:val="0"/>
      <w:marBottom w:val="0"/>
      <w:divBdr>
        <w:top w:val="none" w:sz="0" w:space="0" w:color="auto"/>
        <w:left w:val="none" w:sz="0" w:space="0" w:color="auto"/>
        <w:bottom w:val="none" w:sz="0" w:space="0" w:color="auto"/>
        <w:right w:val="none" w:sz="0" w:space="0" w:color="auto"/>
      </w:divBdr>
    </w:div>
    <w:div w:id="657076446">
      <w:bodyDiv w:val="1"/>
      <w:marLeft w:val="0"/>
      <w:marRight w:val="0"/>
      <w:marTop w:val="0"/>
      <w:marBottom w:val="0"/>
      <w:divBdr>
        <w:top w:val="none" w:sz="0" w:space="0" w:color="auto"/>
        <w:left w:val="none" w:sz="0" w:space="0" w:color="auto"/>
        <w:bottom w:val="none" w:sz="0" w:space="0" w:color="auto"/>
        <w:right w:val="none" w:sz="0" w:space="0" w:color="auto"/>
      </w:divBdr>
    </w:div>
    <w:div w:id="661155660">
      <w:bodyDiv w:val="1"/>
      <w:marLeft w:val="0"/>
      <w:marRight w:val="0"/>
      <w:marTop w:val="0"/>
      <w:marBottom w:val="0"/>
      <w:divBdr>
        <w:top w:val="none" w:sz="0" w:space="0" w:color="auto"/>
        <w:left w:val="none" w:sz="0" w:space="0" w:color="auto"/>
        <w:bottom w:val="none" w:sz="0" w:space="0" w:color="auto"/>
        <w:right w:val="none" w:sz="0" w:space="0" w:color="auto"/>
      </w:divBdr>
    </w:div>
    <w:div w:id="663780379">
      <w:bodyDiv w:val="1"/>
      <w:marLeft w:val="0"/>
      <w:marRight w:val="0"/>
      <w:marTop w:val="0"/>
      <w:marBottom w:val="0"/>
      <w:divBdr>
        <w:top w:val="none" w:sz="0" w:space="0" w:color="auto"/>
        <w:left w:val="none" w:sz="0" w:space="0" w:color="auto"/>
        <w:bottom w:val="none" w:sz="0" w:space="0" w:color="auto"/>
        <w:right w:val="none" w:sz="0" w:space="0" w:color="auto"/>
      </w:divBdr>
    </w:div>
    <w:div w:id="673605298">
      <w:bodyDiv w:val="1"/>
      <w:marLeft w:val="0"/>
      <w:marRight w:val="0"/>
      <w:marTop w:val="0"/>
      <w:marBottom w:val="0"/>
      <w:divBdr>
        <w:top w:val="none" w:sz="0" w:space="0" w:color="auto"/>
        <w:left w:val="none" w:sz="0" w:space="0" w:color="auto"/>
        <w:bottom w:val="none" w:sz="0" w:space="0" w:color="auto"/>
        <w:right w:val="none" w:sz="0" w:space="0" w:color="auto"/>
      </w:divBdr>
    </w:div>
    <w:div w:id="678502412">
      <w:bodyDiv w:val="1"/>
      <w:marLeft w:val="0"/>
      <w:marRight w:val="0"/>
      <w:marTop w:val="0"/>
      <w:marBottom w:val="0"/>
      <w:divBdr>
        <w:top w:val="none" w:sz="0" w:space="0" w:color="auto"/>
        <w:left w:val="none" w:sz="0" w:space="0" w:color="auto"/>
        <w:bottom w:val="none" w:sz="0" w:space="0" w:color="auto"/>
        <w:right w:val="none" w:sz="0" w:space="0" w:color="auto"/>
      </w:divBdr>
    </w:div>
    <w:div w:id="679502435">
      <w:bodyDiv w:val="1"/>
      <w:marLeft w:val="0"/>
      <w:marRight w:val="0"/>
      <w:marTop w:val="0"/>
      <w:marBottom w:val="0"/>
      <w:divBdr>
        <w:top w:val="none" w:sz="0" w:space="0" w:color="auto"/>
        <w:left w:val="none" w:sz="0" w:space="0" w:color="auto"/>
        <w:bottom w:val="none" w:sz="0" w:space="0" w:color="auto"/>
        <w:right w:val="none" w:sz="0" w:space="0" w:color="auto"/>
      </w:divBdr>
    </w:div>
    <w:div w:id="682324503">
      <w:bodyDiv w:val="1"/>
      <w:marLeft w:val="0"/>
      <w:marRight w:val="0"/>
      <w:marTop w:val="0"/>
      <w:marBottom w:val="0"/>
      <w:divBdr>
        <w:top w:val="none" w:sz="0" w:space="0" w:color="auto"/>
        <w:left w:val="none" w:sz="0" w:space="0" w:color="auto"/>
        <w:bottom w:val="none" w:sz="0" w:space="0" w:color="auto"/>
        <w:right w:val="none" w:sz="0" w:space="0" w:color="auto"/>
      </w:divBdr>
    </w:div>
    <w:div w:id="720400907">
      <w:bodyDiv w:val="1"/>
      <w:marLeft w:val="0"/>
      <w:marRight w:val="0"/>
      <w:marTop w:val="0"/>
      <w:marBottom w:val="0"/>
      <w:divBdr>
        <w:top w:val="none" w:sz="0" w:space="0" w:color="auto"/>
        <w:left w:val="none" w:sz="0" w:space="0" w:color="auto"/>
        <w:bottom w:val="none" w:sz="0" w:space="0" w:color="auto"/>
        <w:right w:val="none" w:sz="0" w:space="0" w:color="auto"/>
      </w:divBdr>
    </w:div>
    <w:div w:id="721445025">
      <w:bodyDiv w:val="1"/>
      <w:marLeft w:val="0"/>
      <w:marRight w:val="0"/>
      <w:marTop w:val="0"/>
      <w:marBottom w:val="0"/>
      <w:divBdr>
        <w:top w:val="none" w:sz="0" w:space="0" w:color="auto"/>
        <w:left w:val="none" w:sz="0" w:space="0" w:color="auto"/>
        <w:bottom w:val="none" w:sz="0" w:space="0" w:color="auto"/>
        <w:right w:val="none" w:sz="0" w:space="0" w:color="auto"/>
      </w:divBdr>
    </w:div>
    <w:div w:id="724722117">
      <w:bodyDiv w:val="1"/>
      <w:marLeft w:val="0"/>
      <w:marRight w:val="0"/>
      <w:marTop w:val="0"/>
      <w:marBottom w:val="0"/>
      <w:divBdr>
        <w:top w:val="none" w:sz="0" w:space="0" w:color="auto"/>
        <w:left w:val="none" w:sz="0" w:space="0" w:color="auto"/>
        <w:bottom w:val="none" w:sz="0" w:space="0" w:color="auto"/>
        <w:right w:val="none" w:sz="0" w:space="0" w:color="auto"/>
      </w:divBdr>
    </w:div>
    <w:div w:id="730271229">
      <w:bodyDiv w:val="1"/>
      <w:marLeft w:val="0"/>
      <w:marRight w:val="0"/>
      <w:marTop w:val="0"/>
      <w:marBottom w:val="0"/>
      <w:divBdr>
        <w:top w:val="none" w:sz="0" w:space="0" w:color="auto"/>
        <w:left w:val="none" w:sz="0" w:space="0" w:color="auto"/>
        <w:bottom w:val="none" w:sz="0" w:space="0" w:color="auto"/>
        <w:right w:val="none" w:sz="0" w:space="0" w:color="auto"/>
      </w:divBdr>
    </w:div>
    <w:div w:id="751515125">
      <w:bodyDiv w:val="1"/>
      <w:marLeft w:val="0"/>
      <w:marRight w:val="0"/>
      <w:marTop w:val="0"/>
      <w:marBottom w:val="0"/>
      <w:divBdr>
        <w:top w:val="none" w:sz="0" w:space="0" w:color="auto"/>
        <w:left w:val="none" w:sz="0" w:space="0" w:color="auto"/>
        <w:bottom w:val="none" w:sz="0" w:space="0" w:color="auto"/>
        <w:right w:val="none" w:sz="0" w:space="0" w:color="auto"/>
      </w:divBdr>
    </w:div>
    <w:div w:id="769207503">
      <w:bodyDiv w:val="1"/>
      <w:marLeft w:val="0"/>
      <w:marRight w:val="0"/>
      <w:marTop w:val="0"/>
      <w:marBottom w:val="0"/>
      <w:divBdr>
        <w:top w:val="none" w:sz="0" w:space="0" w:color="auto"/>
        <w:left w:val="none" w:sz="0" w:space="0" w:color="auto"/>
        <w:bottom w:val="none" w:sz="0" w:space="0" w:color="auto"/>
        <w:right w:val="none" w:sz="0" w:space="0" w:color="auto"/>
      </w:divBdr>
    </w:div>
    <w:div w:id="772745643">
      <w:bodyDiv w:val="1"/>
      <w:marLeft w:val="0"/>
      <w:marRight w:val="0"/>
      <w:marTop w:val="0"/>
      <w:marBottom w:val="0"/>
      <w:divBdr>
        <w:top w:val="none" w:sz="0" w:space="0" w:color="auto"/>
        <w:left w:val="none" w:sz="0" w:space="0" w:color="auto"/>
        <w:bottom w:val="none" w:sz="0" w:space="0" w:color="auto"/>
        <w:right w:val="none" w:sz="0" w:space="0" w:color="auto"/>
      </w:divBdr>
    </w:div>
    <w:div w:id="796140044">
      <w:bodyDiv w:val="1"/>
      <w:marLeft w:val="0"/>
      <w:marRight w:val="0"/>
      <w:marTop w:val="0"/>
      <w:marBottom w:val="0"/>
      <w:divBdr>
        <w:top w:val="none" w:sz="0" w:space="0" w:color="auto"/>
        <w:left w:val="none" w:sz="0" w:space="0" w:color="auto"/>
        <w:bottom w:val="none" w:sz="0" w:space="0" w:color="auto"/>
        <w:right w:val="none" w:sz="0" w:space="0" w:color="auto"/>
      </w:divBdr>
    </w:div>
    <w:div w:id="798457198">
      <w:bodyDiv w:val="1"/>
      <w:marLeft w:val="0"/>
      <w:marRight w:val="0"/>
      <w:marTop w:val="0"/>
      <w:marBottom w:val="0"/>
      <w:divBdr>
        <w:top w:val="none" w:sz="0" w:space="0" w:color="auto"/>
        <w:left w:val="none" w:sz="0" w:space="0" w:color="auto"/>
        <w:bottom w:val="none" w:sz="0" w:space="0" w:color="auto"/>
        <w:right w:val="none" w:sz="0" w:space="0" w:color="auto"/>
      </w:divBdr>
    </w:div>
    <w:div w:id="805318429">
      <w:bodyDiv w:val="1"/>
      <w:marLeft w:val="0"/>
      <w:marRight w:val="0"/>
      <w:marTop w:val="0"/>
      <w:marBottom w:val="0"/>
      <w:divBdr>
        <w:top w:val="none" w:sz="0" w:space="0" w:color="auto"/>
        <w:left w:val="none" w:sz="0" w:space="0" w:color="auto"/>
        <w:bottom w:val="none" w:sz="0" w:space="0" w:color="auto"/>
        <w:right w:val="none" w:sz="0" w:space="0" w:color="auto"/>
      </w:divBdr>
    </w:div>
    <w:div w:id="814876219">
      <w:bodyDiv w:val="1"/>
      <w:marLeft w:val="0"/>
      <w:marRight w:val="0"/>
      <w:marTop w:val="0"/>
      <w:marBottom w:val="0"/>
      <w:divBdr>
        <w:top w:val="none" w:sz="0" w:space="0" w:color="auto"/>
        <w:left w:val="none" w:sz="0" w:space="0" w:color="auto"/>
        <w:bottom w:val="none" w:sz="0" w:space="0" w:color="auto"/>
        <w:right w:val="none" w:sz="0" w:space="0" w:color="auto"/>
      </w:divBdr>
    </w:div>
    <w:div w:id="817574335">
      <w:bodyDiv w:val="1"/>
      <w:marLeft w:val="0"/>
      <w:marRight w:val="0"/>
      <w:marTop w:val="0"/>
      <w:marBottom w:val="0"/>
      <w:divBdr>
        <w:top w:val="none" w:sz="0" w:space="0" w:color="auto"/>
        <w:left w:val="none" w:sz="0" w:space="0" w:color="auto"/>
        <w:bottom w:val="none" w:sz="0" w:space="0" w:color="auto"/>
        <w:right w:val="none" w:sz="0" w:space="0" w:color="auto"/>
      </w:divBdr>
    </w:div>
    <w:div w:id="822818217">
      <w:bodyDiv w:val="1"/>
      <w:marLeft w:val="0"/>
      <w:marRight w:val="0"/>
      <w:marTop w:val="0"/>
      <w:marBottom w:val="0"/>
      <w:divBdr>
        <w:top w:val="none" w:sz="0" w:space="0" w:color="auto"/>
        <w:left w:val="none" w:sz="0" w:space="0" w:color="auto"/>
        <w:bottom w:val="none" w:sz="0" w:space="0" w:color="auto"/>
        <w:right w:val="none" w:sz="0" w:space="0" w:color="auto"/>
      </w:divBdr>
    </w:div>
    <w:div w:id="827863067">
      <w:bodyDiv w:val="1"/>
      <w:marLeft w:val="0"/>
      <w:marRight w:val="0"/>
      <w:marTop w:val="0"/>
      <w:marBottom w:val="0"/>
      <w:divBdr>
        <w:top w:val="none" w:sz="0" w:space="0" w:color="auto"/>
        <w:left w:val="none" w:sz="0" w:space="0" w:color="auto"/>
        <w:bottom w:val="none" w:sz="0" w:space="0" w:color="auto"/>
        <w:right w:val="none" w:sz="0" w:space="0" w:color="auto"/>
      </w:divBdr>
    </w:div>
    <w:div w:id="829834208">
      <w:bodyDiv w:val="1"/>
      <w:marLeft w:val="0"/>
      <w:marRight w:val="0"/>
      <w:marTop w:val="0"/>
      <w:marBottom w:val="0"/>
      <w:divBdr>
        <w:top w:val="none" w:sz="0" w:space="0" w:color="auto"/>
        <w:left w:val="none" w:sz="0" w:space="0" w:color="auto"/>
        <w:bottom w:val="none" w:sz="0" w:space="0" w:color="auto"/>
        <w:right w:val="none" w:sz="0" w:space="0" w:color="auto"/>
      </w:divBdr>
    </w:div>
    <w:div w:id="840126243">
      <w:bodyDiv w:val="1"/>
      <w:marLeft w:val="0"/>
      <w:marRight w:val="0"/>
      <w:marTop w:val="0"/>
      <w:marBottom w:val="0"/>
      <w:divBdr>
        <w:top w:val="none" w:sz="0" w:space="0" w:color="auto"/>
        <w:left w:val="none" w:sz="0" w:space="0" w:color="auto"/>
        <w:bottom w:val="none" w:sz="0" w:space="0" w:color="auto"/>
        <w:right w:val="none" w:sz="0" w:space="0" w:color="auto"/>
      </w:divBdr>
    </w:div>
    <w:div w:id="844786932">
      <w:bodyDiv w:val="1"/>
      <w:marLeft w:val="0"/>
      <w:marRight w:val="0"/>
      <w:marTop w:val="0"/>
      <w:marBottom w:val="0"/>
      <w:divBdr>
        <w:top w:val="none" w:sz="0" w:space="0" w:color="auto"/>
        <w:left w:val="none" w:sz="0" w:space="0" w:color="auto"/>
        <w:bottom w:val="none" w:sz="0" w:space="0" w:color="auto"/>
        <w:right w:val="none" w:sz="0" w:space="0" w:color="auto"/>
      </w:divBdr>
    </w:div>
    <w:div w:id="856505811">
      <w:bodyDiv w:val="1"/>
      <w:marLeft w:val="0"/>
      <w:marRight w:val="0"/>
      <w:marTop w:val="0"/>
      <w:marBottom w:val="0"/>
      <w:divBdr>
        <w:top w:val="none" w:sz="0" w:space="0" w:color="auto"/>
        <w:left w:val="none" w:sz="0" w:space="0" w:color="auto"/>
        <w:bottom w:val="none" w:sz="0" w:space="0" w:color="auto"/>
        <w:right w:val="none" w:sz="0" w:space="0" w:color="auto"/>
      </w:divBdr>
    </w:div>
    <w:div w:id="859664258">
      <w:bodyDiv w:val="1"/>
      <w:marLeft w:val="0"/>
      <w:marRight w:val="0"/>
      <w:marTop w:val="0"/>
      <w:marBottom w:val="0"/>
      <w:divBdr>
        <w:top w:val="none" w:sz="0" w:space="0" w:color="auto"/>
        <w:left w:val="none" w:sz="0" w:space="0" w:color="auto"/>
        <w:bottom w:val="none" w:sz="0" w:space="0" w:color="auto"/>
        <w:right w:val="none" w:sz="0" w:space="0" w:color="auto"/>
      </w:divBdr>
    </w:div>
    <w:div w:id="871500683">
      <w:bodyDiv w:val="1"/>
      <w:marLeft w:val="0"/>
      <w:marRight w:val="0"/>
      <w:marTop w:val="0"/>
      <w:marBottom w:val="0"/>
      <w:divBdr>
        <w:top w:val="none" w:sz="0" w:space="0" w:color="auto"/>
        <w:left w:val="none" w:sz="0" w:space="0" w:color="auto"/>
        <w:bottom w:val="none" w:sz="0" w:space="0" w:color="auto"/>
        <w:right w:val="none" w:sz="0" w:space="0" w:color="auto"/>
      </w:divBdr>
    </w:div>
    <w:div w:id="873614687">
      <w:bodyDiv w:val="1"/>
      <w:marLeft w:val="0"/>
      <w:marRight w:val="0"/>
      <w:marTop w:val="0"/>
      <w:marBottom w:val="0"/>
      <w:divBdr>
        <w:top w:val="none" w:sz="0" w:space="0" w:color="auto"/>
        <w:left w:val="none" w:sz="0" w:space="0" w:color="auto"/>
        <w:bottom w:val="none" w:sz="0" w:space="0" w:color="auto"/>
        <w:right w:val="none" w:sz="0" w:space="0" w:color="auto"/>
      </w:divBdr>
    </w:div>
    <w:div w:id="875119597">
      <w:bodyDiv w:val="1"/>
      <w:marLeft w:val="0"/>
      <w:marRight w:val="0"/>
      <w:marTop w:val="0"/>
      <w:marBottom w:val="0"/>
      <w:divBdr>
        <w:top w:val="none" w:sz="0" w:space="0" w:color="auto"/>
        <w:left w:val="none" w:sz="0" w:space="0" w:color="auto"/>
        <w:bottom w:val="none" w:sz="0" w:space="0" w:color="auto"/>
        <w:right w:val="none" w:sz="0" w:space="0" w:color="auto"/>
      </w:divBdr>
    </w:div>
    <w:div w:id="875973428">
      <w:bodyDiv w:val="1"/>
      <w:marLeft w:val="0"/>
      <w:marRight w:val="0"/>
      <w:marTop w:val="0"/>
      <w:marBottom w:val="0"/>
      <w:divBdr>
        <w:top w:val="none" w:sz="0" w:space="0" w:color="auto"/>
        <w:left w:val="none" w:sz="0" w:space="0" w:color="auto"/>
        <w:bottom w:val="none" w:sz="0" w:space="0" w:color="auto"/>
        <w:right w:val="none" w:sz="0" w:space="0" w:color="auto"/>
      </w:divBdr>
    </w:div>
    <w:div w:id="881095131">
      <w:bodyDiv w:val="1"/>
      <w:marLeft w:val="0"/>
      <w:marRight w:val="0"/>
      <w:marTop w:val="0"/>
      <w:marBottom w:val="0"/>
      <w:divBdr>
        <w:top w:val="none" w:sz="0" w:space="0" w:color="auto"/>
        <w:left w:val="none" w:sz="0" w:space="0" w:color="auto"/>
        <w:bottom w:val="none" w:sz="0" w:space="0" w:color="auto"/>
        <w:right w:val="none" w:sz="0" w:space="0" w:color="auto"/>
      </w:divBdr>
    </w:div>
    <w:div w:id="883950451">
      <w:bodyDiv w:val="1"/>
      <w:marLeft w:val="0"/>
      <w:marRight w:val="0"/>
      <w:marTop w:val="0"/>
      <w:marBottom w:val="0"/>
      <w:divBdr>
        <w:top w:val="none" w:sz="0" w:space="0" w:color="auto"/>
        <w:left w:val="none" w:sz="0" w:space="0" w:color="auto"/>
        <w:bottom w:val="none" w:sz="0" w:space="0" w:color="auto"/>
        <w:right w:val="none" w:sz="0" w:space="0" w:color="auto"/>
      </w:divBdr>
    </w:div>
    <w:div w:id="932053019">
      <w:bodyDiv w:val="1"/>
      <w:marLeft w:val="0"/>
      <w:marRight w:val="0"/>
      <w:marTop w:val="0"/>
      <w:marBottom w:val="0"/>
      <w:divBdr>
        <w:top w:val="none" w:sz="0" w:space="0" w:color="auto"/>
        <w:left w:val="none" w:sz="0" w:space="0" w:color="auto"/>
        <w:bottom w:val="none" w:sz="0" w:space="0" w:color="auto"/>
        <w:right w:val="none" w:sz="0" w:space="0" w:color="auto"/>
      </w:divBdr>
    </w:div>
    <w:div w:id="932395587">
      <w:bodyDiv w:val="1"/>
      <w:marLeft w:val="0"/>
      <w:marRight w:val="0"/>
      <w:marTop w:val="0"/>
      <w:marBottom w:val="0"/>
      <w:divBdr>
        <w:top w:val="none" w:sz="0" w:space="0" w:color="auto"/>
        <w:left w:val="none" w:sz="0" w:space="0" w:color="auto"/>
        <w:bottom w:val="none" w:sz="0" w:space="0" w:color="auto"/>
        <w:right w:val="none" w:sz="0" w:space="0" w:color="auto"/>
      </w:divBdr>
    </w:div>
    <w:div w:id="934433651">
      <w:bodyDiv w:val="1"/>
      <w:marLeft w:val="0"/>
      <w:marRight w:val="0"/>
      <w:marTop w:val="0"/>
      <w:marBottom w:val="0"/>
      <w:divBdr>
        <w:top w:val="none" w:sz="0" w:space="0" w:color="auto"/>
        <w:left w:val="none" w:sz="0" w:space="0" w:color="auto"/>
        <w:bottom w:val="none" w:sz="0" w:space="0" w:color="auto"/>
        <w:right w:val="none" w:sz="0" w:space="0" w:color="auto"/>
      </w:divBdr>
    </w:div>
    <w:div w:id="940334846">
      <w:bodyDiv w:val="1"/>
      <w:marLeft w:val="0"/>
      <w:marRight w:val="0"/>
      <w:marTop w:val="0"/>
      <w:marBottom w:val="0"/>
      <w:divBdr>
        <w:top w:val="none" w:sz="0" w:space="0" w:color="auto"/>
        <w:left w:val="none" w:sz="0" w:space="0" w:color="auto"/>
        <w:bottom w:val="none" w:sz="0" w:space="0" w:color="auto"/>
        <w:right w:val="none" w:sz="0" w:space="0" w:color="auto"/>
      </w:divBdr>
    </w:div>
    <w:div w:id="945113679">
      <w:bodyDiv w:val="1"/>
      <w:marLeft w:val="0"/>
      <w:marRight w:val="0"/>
      <w:marTop w:val="0"/>
      <w:marBottom w:val="0"/>
      <w:divBdr>
        <w:top w:val="none" w:sz="0" w:space="0" w:color="auto"/>
        <w:left w:val="none" w:sz="0" w:space="0" w:color="auto"/>
        <w:bottom w:val="none" w:sz="0" w:space="0" w:color="auto"/>
        <w:right w:val="none" w:sz="0" w:space="0" w:color="auto"/>
      </w:divBdr>
    </w:div>
    <w:div w:id="953636756">
      <w:bodyDiv w:val="1"/>
      <w:marLeft w:val="0"/>
      <w:marRight w:val="0"/>
      <w:marTop w:val="0"/>
      <w:marBottom w:val="0"/>
      <w:divBdr>
        <w:top w:val="none" w:sz="0" w:space="0" w:color="auto"/>
        <w:left w:val="none" w:sz="0" w:space="0" w:color="auto"/>
        <w:bottom w:val="none" w:sz="0" w:space="0" w:color="auto"/>
        <w:right w:val="none" w:sz="0" w:space="0" w:color="auto"/>
      </w:divBdr>
    </w:div>
    <w:div w:id="955914232">
      <w:bodyDiv w:val="1"/>
      <w:marLeft w:val="0"/>
      <w:marRight w:val="0"/>
      <w:marTop w:val="0"/>
      <w:marBottom w:val="0"/>
      <w:divBdr>
        <w:top w:val="none" w:sz="0" w:space="0" w:color="auto"/>
        <w:left w:val="none" w:sz="0" w:space="0" w:color="auto"/>
        <w:bottom w:val="none" w:sz="0" w:space="0" w:color="auto"/>
        <w:right w:val="none" w:sz="0" w:space="0" w:color="auto"/>
      </w:divBdr>
    </w:div>
    <w:div w:id="962073551">
      <w:bodyDiv w:val="1"/>
      <w:marLeft w:val="0"/>
      <w:marRight w:val="0"/>
      <w:marTop w:val="0"/>
      <w:marBottom w:val="0"/>
      <w:divBdr>
        <w:top w:val="none" w:sz="0" w:space="0" w:color="auto"/>
        <w:left w:val="none" w:sz="0" w:space="0" w:color="auto"/>
        <w:bottom w:val="none" w:sz="0" w:space="0" w:color="auto"/>
        <w:right w:val="none" w:sz="0" w:space="0" w:color="auto"/>
      </w:divBdr>
    </w:div>
    <w:div w:id="962535792">
      <w:bodyDiv w:val="1"/>
      <w:marLeft w:val="0"/>
      <w:marRight w:val="0"/>
      <w:marTop w:val="0"/>
      <w:marBottom w:val="0"/>
      <w:divBdr>
        <w:top w:val="none" w:sz="0" w:space="0" w:color="auto"/>
        <w:left w:val="none" w:sz="0" w:space="0" w:color="auto"/>
        <w:bottom w:val="none" w:sz="0" w:space="0" w:color="auto"/>
        <w:right w:val="none" w:sz="0" w:space="0" w:color="auto"/>
      </w:divBdr>
    </w:div>
    <w:div w:id="969675380">
      <w:bodyDiv w:val="1"/>
      <w:marLeft w:val="0"/>
      <w:marRight w:val="0"/>
      <w:marTop w:val="0"/>
      <w:marBottom w:val="0"/>
      <w:divBdr>
        <w:top w:val="none" w:sz="0" w:space="0" w:color="auto"/>
        <w:left w:val="none" w:sz="0" w:space="0" w:color="auto"/>
        <w:bottom w:val="none" w:sz="0" w:space="0" w:color="auto"/>
        <w:right w:val="none" w:sz="0" w:space="0" w:color="auto"/>
      </w:divBdr>
    </w:div>
    <w:div w:id="990788057">
      <w:bodyDiv w:val="1"/>
      <w:marLeft w:val="0"/>
      <w:marRight w:val="0"/>
      <w:marTop w:val="0"/>
      <w:marBottom w:val="0"/>
      <w:divBdr>
        <w:top w:val="none" w:sz="0" w:space="0" w:color="auto"/>
        <w:left w:val="none" w:sz="0" w:space="0" w:color="auto"/>
        <w:bottom w:val="none" w:sz="0" w:space="0" w:color="auto"/>
        <w:right w:val="none" w:sz="0" w:space="0" w:color="auto"/>
      </w:divBdr>
    </w:div>
    <w:div w:id="991955898">
      <w:bodyDiv w:val="1"/>
      <w:marLeft w:val="0"/>
      <w:marRight w:val="0"/>
      <w:marTop w:val="0"/>
      <w:marBottom w:val="0"/>
      <w:divBdr>
        <w:top w:val="none" w:sz="0" w:space="0" w:color="auto"/>
        <w:left w:val="none" w:sz="0" w:space="0" w:color="auto"/>
        <w:bottom w:val="none" w:sz="0" w:space="0" w:color="auto"/>
        <w:right w:val="none" w:sz="0" w:space="0" w:color="auto"/>
      </w:divBdr>
    </w:div>
    <w:div w:id="1007949200">
      <w:bodyDiv w:val="1"/>
      <w:marLeft w:val="0"/>
      <w:marRight w:val="0"/>
      <w:marTop w:val="0"/>
      <w:marBottom w:val="0"/>
      <w:divBdr>
        <w:top w:val="none" w:sz="0" w:space="0" w:color="auto"/>
        <w:left w:val="none" w:sz="0" w:space="0" w:color="auto"/>
        <w:bottom w:val="none" w:sz="0" w:space="0" w:color="auto"/>
        <w:right w:val="none" w:sz="0" w:space="0" w:color="auto"/>
      </w:divBdr>
    </w:div>
    <w:div w:id="1014192226">
      <w:bodyDiv w:val="1"/>
      <w:marLeft w:val="0"/>
      <w:marRight w:val="0"/>
      <w:marTop w:val="0"/>
      <w:marBottom w:val="0"/>
      <w:divBdr>
        <w:top w:val="none" w:sz="0" w:space="0" w:color="auto"/>
        <w:left w:val="none" w:sz="0" w:space="0" w:color="auto"/>
        <w:bottom w:val="none" w:sz="0" w:space="0" w:color="auto"/>
        <w:right w:val="none" w:sz="0" w:space="0" w:color="auto"/>
      </w:divBdr>
    </w:div>
    <w:div w:id="1029799611">
      <w:bodyDiv w:val="1"/>
      <w:marLeft w:val="0"/>
      <w:marRight w:val="0"/>
      <w:marTop w:val="0"/>
      <w:marBottom w:val="0"/>
      <w:divBdr>
        <w:top w:val="none" w:sz="0" w:space="0" w:color="auto"/>
        <w:left w:val="none" w:sz="0" w:space="0" w:color="auto"/>
        <w:bottom w:val="none" w:sz="0" w:space="0" w:color="auto"/>
        <w:right w:val="none" w:sz="0" w:space="0" w:color="auto"/>
      </w:divBdr>
    </w:div>
    <w:div w:id="1033262498">
      <w:bodyDiv w:val="1"/>
      <w:marLeft w:val="0"/>
      <w:marRight w:val="0"/>
      <w:marTop w:val="0"/>
      <w:marBottom w:val="0"/>
      <w:divBdr>
        <w:top w:val="none" w:sz="0" w:space="0" w:color="auto"/>
        <w:left w:val="none" w:sz="0" w:space="0" w:color="auto"/>
        <w:bottom w:val="none" w:sz="0" w:space="0" w:color="auto"/>
        <w:right w:val="none" w:sz="0" w:space="0" w:color="auto"/>
      </w:divBdr>
    </w:div>
    <w:div w:id="1045719751">
      <w:bodyDiv w:val="1"/>
      <w:marLeft w:val="0"/>
      <w:marRight w:val="0"/>
      <w:marTop w:val="0"/>
      <w:marBottom w:val="0"/>
      <w:divBdr>
        <w:top w:val="none" w:sz="0" w:space="0" w:color="auto"/>
        <w:left w:val="none" w:sz="0" w:space="0" w:color="auto"/>
        <w:bottom w:val="none" w:sz="0" w:space="0" w:color="auto"/>
        <w:right w:val="none" w:sz="0" w:space="0" w:color="auto"/>
      </w:divBdr>
    </w:div>
    <w:div w:id="1053768106">
      <w:bodyDiv w:val="1"/>
      <w:marLeft w:val="0"/>
      <w:marRight w:val="0"/>
      <w:marTop w:val="0"/>
      <w:marBottom w:val="0"/>
      <w:divBdr>
        <w:top w:val="none" w:sz="0" w:space="0" w:color="auto"/>
        <w:left w:val="none" w:sz="0" w:space="0" w:color="auto"/>
        <w:bottom w:val="none" w:sz="0" w:space="0" w:color="auto"/>
        <w:right w:val="none" w:sz="0" w:space="0" w:color="auto"/>
      </w:divBdr>
    </w:div>
    <w:div w:id="1061632143">
      <w:bodyDiv w:val="1"/>
      <w:marLeft w:val="0"/>
      <w:marRight w:val="0"/>
      <w:marTop w:val="0"/>
      <w:marBottom w:val="0"/>
      <w:divBdr>
        <w:top w:val="none" w:sz="0" w:space="0" w:color="auto"/>
        <w:left w:val="none" w:sz="0" w:space="0" w:color="auto"/>
        <w:bottom w:val="none" w:sz="0" w:space="0" w:color="auto"/>
        <w:right w:val="none" w:sz="0" w:space="0" w:color="auto"/>
      </w:divBdr>
    </w:div>
    <w:div w:id="1063599694">
      <w:bodyDiv w:val="1"/>
      <w:marLeft w:val="0"/>
      <w:marRight w:val="0"/>
      <w:marTop w:val="0"/>
      <w:marBottom w:val="0"/>
      <w:divBdr>
        <w:top w:val="none" w:sz="0" w:space="0" w:color="auto"/>
        <w:left w:val="none" w:sz="0" w:space="0" w:color="auto"/>
        <w:bottom w:val="none" w:sz="0" w:space="0" w:color="auto"/>
        <w:right w:val="none" w:sz="0" w:space="0" w:color="auto"/>
      </w:divBdr>
    </w:div>
    <w:div w:id="1077751414">
      <w:bodyDiv w:val="1"/>
      <w:marLeft w:val="0"/>
      <w:marRight w:val="0"/>
      <w:marTop w:val="0"/>
      <w:marBottom w:val="0"/>
      <w:divBdr>
        <w:top w:val="none" w:sz="0" w:space="0" w:color="auto"/>
        <w:left w:val="none" w:sz="0" w:space="0" w:color="auto"/>
        <w:bottom w:val="none" w:sz="0" w:space="0" w:color="auto"/>
        <w:right w:val="none" w:sz="0" w:space="0" w:color="auto"/>
      </w:divBdr>
    </w:div>
    <w:div w:id="1093160934">
      <w:bodyDiv w:val="1"/>
      <w:marLeft w:val="0"/>
      <w:marRight w:val="0"/>
      <w:marTop w:val="0"/>
      <w:marBottom w:val="0"/>
      <w:divBdr>
        <w:top w:val="none" w:sz="0" w:space="0" w:color="auto"/>
        <w:left w:val="none" w:sz="0" w:space="0" w:color="auto"/>
        <w:bottom w:val="none" w:sz="0" w:space="0" w:color="auto"/>
        <w:right w:val="none" w:sz="0" w:space="0" w:color="auto"/>
      </w:divBdr>
    </w:div>
    <w:div w:id="1095900427">
      <w:bodyDiv w:val="1"/>
      <w:marLeft w:val="0"/>
      <w:marRight w:val="0"/>
      <w:marTop w:val="0"/>
      <w:marBottom w:val="0"/>
      <w:divBdr>
        <w:top w:val="none" w:sz="0" w:space="0" w:color="auto"/>
        <w:left w:val="none" w:sz="0" w:space="0" w:color="auto"/>
        <w:bottom w:val="none" w:sz="0" w:space="0" w:color="auto"/>
        <w:right w:val="none" w:sz="0" w:space="0" w:color="auto"/>
      </w:divBdr>
    </w:div>
    <w:div w:id="1105231080">
      <w:bodyDiv w:val="1"/>
      <w:marLeft w:val="0"/>
      <w:marRight w:val="0"/>
      <w:marTop w:val="0"/>
      <w:marBottom w:val="0"/>
      <w:divBdr>
        <w:top w:val="none" w:sz="0" w:space="0" w:color="auto"/>
        <w:left w:val="none" w:sz="0" w:space="0" w:color="auto"/>
        <w:bottom w:val="none" w:sz="0" w:space="0" w:color="auto"/>
        <w:right w:val="none" w:sz="0" w:space="0" w:color="auto"/>
      </w:divBdr>
    </w:div>
    <w:div w:id="1105811683">
      <w:bodyDiv w:val="1"/>
      <w:marLeft w:val="0"/>
      <w:marRight w:val="0"/>
      <w:marTop w:val="0"/>
      <w:marBottom w:val="0"/>
      <w:divBdr>
        <w:top w:val="none" w:sz="0" w:space="0" w:color="auto"/>
        <w:left w:val="none" w:sz="0" w:space="0" w:color="auto"/>
        <w:bottom w:val="none" w:sz="0" w:space="0" w:color="auto"/>
        <w:right w:val="none" w:sz="0" w:space="0" w:color="auto"/>
      </w:divBdr>
    </w:div>
    <w:div w:id="1119493198">
      <w:bodyDiv w:val="1"/>
      <w:marLeft w:val="0"/>
      <w:marRight w:val="0"/>
      <w:marTop w:val="0"/>
      <w:marBottom w:val="0"/>
      <w:divBdr>
        <w:top w:val="none" w:sz="0" w:space="0" w:color="auto"/>
        <w:left w:val="none" w:sz="0" w:space="0" w:color="auto"/>
        <w:bottom w:val="none" w:sz="0" w:space="0" w:color="auto"/>
        <w:right w:val="none" w:sz="0" w:space="0" w:color="auto"/>
      </w:divBdr>
    </w:div>
    <w:div w:id="1144857912">
      <w:bodyDiv w:val="1"/>
      <w:marLeft w:val="0"/>
      <w:marRight w:val="0"/>
      <w:marTop w:val="0"/>
      <w:marBottom w:val="0"/>
      <w:divBdr>
        <w:top w:val="none" w:sz="0" w:space="0" w:color="auto"/>
        <w:left w:val="none" w:sz="0" w:space="0" w:color="auto"/>
        <w:bottom w:val="none" w:sz="0" w:space="0" w:color="auto"/>
        <w:right w:val="none" w:sz="0" w:space="0" w:color="auto"/>
      </w:divBdr>
    </w:div>
    <w:div w:id="1146703288">
      <w:bodyDiv w:val="1"/>
      <w:marLeft w:val="0"/>
      <w:marRight w:val="0"/>
      <w:marTop w:val="0"/>
      <w:marBottom w:val="0"/>
      <w:divBdr>
        <w:top w:val="none" w:sz="0" w:space="0" w:color="auto"/>
        <w:left w:val="none" w:sz="0" w:space="0" w:color="auto"/>
        <w:bottom w:val="none" w:sz="0" w:space="0" w:color="auto"/>
        <w:right w:val="none" w:sz="0" w:space="0" w:color="auto"/>
      </w:divBdr>
    </w:div>
    <w:div w:id="1150100359">
      <w:bodyDiv w:val="1"/>
      <w:marLeft w:val="0"/>
      <w:marRight w:val="0"/>
      <w:marTop w:val="0"/>
      <w:marBottom w:val="0"/>
      <w:divBdr>
        <w:top w:val="none" w:sz="0" w:space="0" w:color="auto"/>
        <w:left w:val="none" w:sz="0" w:space="0" w:color="auto"/>
        <w:bottom w:val="none" w:sz="0" w:space="0" w:color="auto"/>
        <w:right w:val="none" w:sz="0" w:space="0" w:color="auto"/>
      </w:divBdr>
    </w:div>
    <w:div w:id="1159735604">
      <w:bodyDiv w:val="1"/>
      <w:marLeft w:val="0"/>
      <w:marRight w:val="0"/>
      <w:marTop w:val="0"/>
      <w:marBottom w:val="0"/>
      <w:divBdr>
        <w:top w:val="none" w:sz="0" w:space="0" w:color="auto"/>
        <w:left w:val="none" w:sz="0" w:space="0" w:color="auto"/>
        <w:bottom w:val="none" w:sz="0" w:space="0" w:color="auto"/>
        <w:right w:val="none" w:sz="0" w:space="0" w:color="auto"/>
      </w:divBdr>
    </w:div>
    <w:div w:id="1161240779">
      <w:bodyDiv w:val="1"/>
      <w:marLeft w:val="0"/>
      <w:marRight w:val="0"/>
      <w:marTop w:val="0"/>
      <w:marBottom w:val="0"/>
      <w:divBdr>
        <w:top w:val="none" w:sz="0" w:space="0" w:color="auto"/>
        <w:left w:val="none" w:sz="0" w:space="0" w:color="auto"/>
        <w:bottom w:val="none" w:sz="0" w:space="0" w:color="auto"/>
        <w:right w:val="none" w:sz="0" w:space="0" w:color="auto"/>
      </w:divBdr>
    </w:div>
    <w:div w:id="1163200546">
      <w:bodyDiv w:val="1"/>
      <w:marLeft w:val="0"/>
      <w:marRight w:val="0"/>
      <w:marTop w:val="0"/>
      <w:marBottom w:val="0"/>
      <w:divBdr>
        <w:top w:val="none" w:sz="0" w:space="0" w:color="auto"/>
        <w:left w:val="none" w:sz="0" w:space="0" w:color="auto"/>
        <w:bottom w:val="none" w:sz="0" w:space="0" w:color="auto"/>
        <w:right w:val="none" w:sz="0" w:space="0" w:color="auto"/>
      </w:divBdr>
    </w:div>
    <w:div w:id="1173685051">
      <w:bodyDiv w:val="1"/>
      <w:marLeft w:val="0"/>
      <w:marRight w:val="0"/>
      <w:marTop w:val="0"/>
      <w:marBottom w:val="0"/>
      <w:divBdr>
        <w:top w:val="none" w:sz="0" w:space="0" w:color="auto"/>
        <w:left w:val="none" w:sz="0" w:space="0" w:color="auto"/>
        <w:bottom w:val="none" w:sz="0" w:space="0" w:color="auto"/>
        <w:right w:val="none" w:sz="0" w:space="0" w:color="auto"/>
      </w:divBdr>
    </w:div>
    <w:div w:id="1183787011">
      <w:bodyDiv w:val="1"/>
      <w:marLeft w:val="0"/>
      <w:marRight w:val="0"/>
      <w:marTop w:val="0"/>
      <w:marBottom w:val="0"/>
      <w:divBdr>
        <w:top w:val="none" w:sz="0" w:space="0" w:color="auto"/>
        <w:left w:val="none" w:sz="0" w:space="0" w:color="auto"/>
        <w:bottom w:val="none" w:sz="0" w:space="0" w:color="auto"/>
        <w:right w:val="none" w:sz="0" w:space="0" w:color="auto"/>
      </w:divBdr>
    </w:div>
    <w:div w:id="1187794813">
      <w:bodyDiv w:val="1"/>
      <w:marLeft w:val="0"/>
      <w:marRight w:val="0"/>
      <w:marTop w:val="0"/>
      <w:marBottom w:val="0"/>
      <w:divBdr>
        <w:top w:val="none" w:sz="0" w:space="0" w:color="auto"/>
        <w:left w:val="none" w:sz="0" w:space="0" w:color="auto"/>
        <w:bottom w:val="none" w:sz="0" w:space="0" w:color="auto"/>
        <w:right w:val="none" w:sz="0" w:space="0" w:color="auto"/>
      </w:divBdr>
    </w:div>
    <w:div w:id="1206025206">
      <w:bodyDiv w:val="1"/>
      <w:marLeft w:val="0"/>
      <w:marRight w:val="0"/>
      <w:marTop w:val="0"/>
      <w:marBottom w:val="0"/>
      <w:divBdr>
        <w:top w:val="none" w:sz="0" w:space="0" w:color="auto"/>
        <w:left w:val="none" w:sz="0" w:space="0" w:color="auto"/>
        <w:bottom w:val="none" w:sz="0" w:space="0" w:color="auto"/>
        <w:right w:val="none" w:sz="0" w:space="0" w:color="auto"/>
      </w:divBdr>
    </w:div>
    <w:div w:id="1210536936">
      <w:bodyDiv w:val="1"/>
      <w:marLeft w:val="0"/>
      <w:marRight w:val="0"/>
      <w:marTop w:val="0"/>
      <w:marBottom w:val="0"/>
      <w:divBdr>
        <w:top w:val="none" w:sz="0" w:space="0" w:color="auto"/>
        <w:left w:val="none" w:sz="0" w:space="0" w:color="auto"/>
        <w:bottom w:val="none" w:sz="0" w:space="0" w:color="auto"/>
        <w:right w:val="none" w:sz="0" w:space="0" w:color="auto"/>
      </w:divBdr>
    </w:div>
    <w:div w:id="1215460102">
      <w:bodyDiv w:val="1"/>
      <w:marLeft w:val="0"/>
      <w:marRight w:val="0"/>
      <w:marTop w:val="0"/>
      <w:marBottom w:val="0"/>
      <w:divBdr>
        <w:top w:val="none" w:sz="0" w:space="0" w:color="auto"/>
        <w:left w:val="none" w:sz="0" w:space="0" w:color="auto"/>
        <w:bottom w:val="none" w:sz="0" w:space="0" w:color="auto"/>
        <w:right w:val="none" w:sz="0" w:space="0" w:color="auto"/>
      </w:divBdr>
    </w:div>
    <w:div w:id="1223100468">
      <w:bodyDiv w:val="1"/>
      <w:marLeft w:val="0"/>
      <w:marRight w:val="0"/>
      <w:marTop w:val="0"/>
      <w:marBottom w:val="0"/>
      <w:divBdr>
        <w:top w:val="none" w:sz="0" w:space="0" w:color="auto"/>
        <w:left w:val="none" w:sz="0" w:space="0" w:color="auto"/>
        <w:bottom w:val="none" w:sz="0" w:space="0" w:color="auto"/>
        <w:right w:val="none" w:sz="0" w:space="0" w:color="auto"/>
      </w:divBdr>
    </w:div>
    <w:div w:id="1226528760">
      <w:bodyDiv w:val="1"/>
      <w:marLeft w:val="0"/>
      <w:marRight w:val="0"/>
      <w:marTop w:val="0"/>
      <w:marBottom w:val="0"/>
      <w:divBdr>
        <w:top w:val="none" w:sz="0" w:space="0" w:color="auto"/>
        <w:left w:val="none" w:sz="0" w:space="0" w:color="auto"/>
        <w:bottom w:val="none" w:sz="0" w:space="0" w:color="auto"/>
        <w:right w:val="none" w:sz="0" w:space="0" w:color="auto"/>
      </w:divBdr>
    </w:div>
    <w:div w:id="1233657436">
      <w:bodyDiv w:val="1"/>
      <w:marLeft w:val="0"/>
      <w:marRight w:val="0"/>
      <w:marTop w:val="0"/>
      <w:marBottom w:val="0"/>
      <w:divBdr>
        <w:top w:val="none" w:sz="0" w:space="0" w:color="auto"/>
        <w:left w:val="none" w:sz="0" w:space="0" w:color="auto"/>
        <w:bottom w:val="none" w:sz="0" w:space="0" w:color="auto"/>
        <w:right w:val="none" w:sz="0" w:space="0" w:color="auto"/>
      </w:divBdr>
    </w:div>
    <w:div w:id="1239365225">
      <w:bodyDiv w:val="1"/>
      <w:marLeft w:val="0"/>
      <w:marRight w:val="0"/>
      <w:marTop w:val="0"/>
      <w:marBottom w:val="0"/>
      <w:divBdr>
        <w:top w:val="none" w:sz="0" w:space="0" w:color="auto"/>
        <w:left w:val="none" w:sz="0" w:space="0" w:color="auto"/>
        <w:bottom w:val="none" w:sz="0" w:space="0" w:color="auto"/>
        <w:right w:val="none" w:sz="0" w:space="0" w:color="auto"/>
      </w:divBdr>
    </w:div>
    <w:div w:id="1245919111">
      <w:bodyDiv w:val="1"/>
      <w:marLeft w:val="0"/>
      <w:marRight w:val="0"/>
      <w:marTop w:val="0"/>
      <w:marBottom w:val="0"/>
      <w:divBdr>
        <w:top w:val="none" w:sz="0" w:space="0" w:color="auto"/>
        <w:left w:val="none" w:sz="0" w:space="0" w:color="auto"/>
        <w:bottom w:val="none" w:sz="0" w:space="0" w:color="auto"/>
        <w:right w:val="none" w:sz="0" w:space="0" w:color="auto"/>
      </w:divBdr>
    </w:div>
    <w:div w:id="1248421364">
      <w:bodyDiv w:val="1"/>
      <w:marLeft w:val="0"/>
      <w:marRight w:val="0"/>
      <w:marTop w:val="0"/>
      <w:marBottom w:val="0"/>
      <w:divBdr>
        <w:top w:val="none" w:sz="0" w:space="0" w:color="auto"/>
        <w:left w:val="none" w:sz="0" w:space="0" w:color="auto"/>
        <w:bottom w:val="none" w:sz="0" w:space="0" w:color="auto"/>
        <w:right w:val="none" w:sz="0" w:space="0" w:color="auto"/>
      </w:divBdr>
    </w:div>
    <w:div w:id="1253319631">
      <w:bodyDiv w:val="1"/>
      <w:marLeft w:val="0"/>
      <w:marRight w:val="0"/>
      <w:marTop w:val="0"/>
      <w:marBottom w:val="0"/>
      <w:divBdr>
        <w:top w:val="none" w:sz="0" w:space="0" w:color="auto"/>
        <w:left w:val="none" w:sz="0" w:space="0" w:color="auto"/>
        <w:bottom w:val="none" w:sz="0" w:space="0" w:color="auto"/>
        <w:right w:val="none" w:sz="0" w:space="0" w:color="auto"/>
      </w:divBdr>
    </w:div>
    <w:div w:id="1255045310">
      <w:bodyDiv w:val="1"/>
      <w:marLeft w:val="0"/>
      <w:marRight w:val="0"/>
      <w:marTop w:val="0"/>
      <w:marBottom w:val="0"/>
      <w:divBdr>
        <w:top w:val="none" w:sz="0" w:space="0" w:color="auto"/>
        <w:left w:val="none" w:sz="0" w:space="0" w:color="auto"/>
        <w:bottom w:val="none" w:sz="0" w:space="0" w:color="auto"/>
        <w:right w:val="none" w:sz="0" w:space="0" w:color="auto"/>
      </w:divBdr>
    </w:div>
    <w:div w:id="1256012586">
      <w:bodyDiv w:val="1"/>
      <w:marLeft w:val="0"/>
      <w:marRight w:val="0"/>
      <w:marTop w:val="0"/>
      <w:marBottom w:val="0"/>
      <w:divBdr>
        <w:top w:val="none" w:sz="0" w:space="0" w:color="auto"/>
        <w:left w:val="none" w:sz="0" w:space="0" w:color="auto"/>
        <w:bottom w:val="none" w:sz="0" w:space="0" w:color="auto"/>
        <w:right w:val="none" w:sz="0" w:space="0" w:color="auto"/>
      </w:divBdr>
    </w:div>
    <w:div w:id="1257983447">
      <w:bodyDiv w:val="1"/>
      <w:marLeft w:val="0"/>
      <w:marRight w:val="0"/>
      <w:marTop w:val="0"/>
      <w:marBottom w:val="0"/>
      <w:divBdr>
        <w:top w:val="none" w:sz="0" w:space="0" w:color="auto"/>
        <w:left w:val="none" w:sz="0" w:space="0" w:color="auto"/>
        <w:bottom w:val="none" w:sz="0" w:space="0" w:color="auto"/>
        <w:right w:val="none" w:sz="0" w:space="0" w:color="auto"/>
      </w:divBdr>
    </w:div>
    <w:div w:id="1270047211">
      <w:bodyDiv w:val="1"/>
      <w:marLeft w:val="0"/>
      <w:marRight w:val="0"/>
      <w:marTop w:val="0"/>
      <w:marBottom w:val="0"/>
      <w:divBdr>
        <w:top w:val="none" w:sz="0" w:space="0" w:color="auto"/>
        <w:left w:val="none" w:sz="0" w:space="0" w:color="auto"/>
        <w:bottom w:val="none" w:sz="0" w:space="0" w:color="auto"/>
        <w:right w:val="none" w:sz="0" w:space="0" w:color="auto"/>
      </w:divBdr>
    </w:div>
    <w:div w:id="1276405257">
      <w:bodyDiv w:val="1"/>
      <w:marLeft w:val="0"/>
      <w:marRight w:val="0"/>
      <w:marTop w:val="0"/>
      <w:marBottom w:val="0"/>
      <w:divBdr>
        <w:top w:val="none" w:sz="0" w:space="0" w:color="auto"/>
        <w:left w:val="none" w:sz="0" w:space="0" w:color="auto"/>
        <w:bottom w:val="none" w:sz="0" w:space="0" w:color="auto"/>
        <w:right w:val="none" w:sz="0" w:space="0" w:color="auto"/>
      </w:divBdr>
    </w:div>
    <w:div w:id="1288051604">
      <w:bodyDiv w:val="1"/>
      <w:marLeft w:val="0"/>
      <w:marRight w:val="0"/>
      <w:marTop w:val="0"/>
      <w:marBottom w:val="0"/>
      <w:divBdr>
        <w:top w:val="none" w:sz="0" w:space="0" w:color="auto"/>
        <w:left w:val="none" w:sz="0" w:space="0" w:color="auto"/>
        <w:bottom w:val="none" w:sz="0" w:space="0" w:color="auto"/>
        <w:right w:val="none" w:sz="0" w:space="0" w:color="auto"/>
      </w:divBdr>
    </w:div>
    <w:div w:id="1289358443">
      <w:bodyDiv w:val="1"/>
      <w:marLeft w:val="0"/>
      <w:marRight w:val="0"/>
      <w:marTop w:val="0"/>
      <w:marBottom w:val="0"/>
      <w:divBdr>
        <w:top w:val="none" w:sz="0" w:space="0" w:color="auto"/>
        <w:left w:val="none" w:sz="0" w:space="0" w:color="auto"/>
        <w:bottom w:val="none" w:sz="0" w:space="0" w:color="auto"/>
        <w:right w:val="none" w:sz="0" w:space="0" w:color="auto"/>
      </w:divBdr>
    </w:div>
    <w:div w:id="1296448714">
      <w:bodyDiv w:val="1"/>
      <w:marLeft w:val="0"/>
      <w:marRight w:val="0"/>
      <w:marTop w:val="0"/>
      <w:marBottom w:val="0"/>
      <w:divBdr>
        <w:top w:val="none" w:sz="0" w:space="0" w:color="auto"/>
        <w:left w:val="none" w:sz="0" w:space="0" w:color="auto"/>
        <w:bottom w:val="none" w:sz="0" w:space="0" w:color="auto"/>
        <w:right w:val="none" w:sz="0" w:space="0" w:color="auto"/>
      </w:divBdr>
    </w:div>
    <w:div w:id="1297106671">
      <w:bodyDiv w:val="1"/>
      <w:marLeft w:val="0"/>
      <w:marRight w:val="0"/>
      <w:marTop w:val="0"/>
      <w:marBottom w:val="0"/>
      <w:divBdr>
        <w:top w:val="none" w:sz="0" w:space="0" w:color="auto"/>
        <w:left w:val="none" w:sz="0" w:space="0" w:color="auto"/>
        <w:bottom w:val="none" w:sz="0" w:space="0" w:color="auto"/>
        <w:right w:val="none" w:sz="0" w:space="0" w:color="auto"/>
      </w:divBdr>
    </w:div>
    <w:div w:id="1304851407">
      <w:bodyDiv w:val="1"/>
      <w:marLeft w:val="0"/>
      <w:marRight w:val="0"/>
      <w:marTop w:val="0"/>
      <w:marBottom w:val="0"/>
      <w:divBdr>
        <w:top w:val="none" w:sz="0" w:space="0" w:color="auto"/>
        <w:left w:val="none" w:sz="0" w:space="0" w:color="auto"/>
        <w:bottom w:val="none" w:sz="0" w:space="0" w:color="auto"/>
        <w:right w:val="none" w:sz="0" w:space="0" w:color="auto"/>
      </w:divBdr>
    </w:div>
    <w:div w:id="1337925034">
      <w:bodyDiv w:val="1"/>
      <w:marLeft w:val="0"/>
      <w:marRight w:val="0"/>
      <w:marTop w:val="0"/>
      <w:marBottom w:val="0"/>
      <w:divBdr>
        <w:top w:val="none" w:sz="0" w:space="0" w:color="auto"/>
        <w:left w:val="none" w:sz="0" w:space="0" w:color="auto"/>
        <w:bottom w:val="none" w:sz="0" w:space="0" w:color="auto"/>
        <w:right w:val="none" w:sz="0" w:space="0" w:color="auto"/>
      </w:divBdr>
    </w:div>
    <w:div w:id="1339310401">
      <w:bodyDiv w:val="1"/>
      <w:marLeft w:val="0"/>
      <w:marRight w:val="0"/>
      <w:marTop w:val="0"/>
      <w:marBottom w:val="0"/>
      <w:divBdr>
        <w:top w:val="none" w:sz="0" w:space="0" w:color="auto"/>
        <w:left w:val="none" w:sz="0" w:space="0" w:color="auto"/>
        <w:bottom w:val="none" w:sz="0" w:space="0" w:color="auto"/>
        <w:right w:val="none" w:sz="0" w:space="0" w:color="auto"/>
      </w:divBdr>
    </w:div>
    <w:div w:id="1352533755">
      <w:bodyDiv w:val="1"/>
      <w:marLeft w:val="0"/>
      <w:marRight w:val="0"/>
      <w:marTop w:val="0"/>
      <w:marBottom w:val="0"/>
      <w:divBdr>
        <w:top w:val="none" w:sz="0" w:space="0" w:color="auto"/>
        <w:left w:val="none" w:sz="0" w:space="0" w:color="auto"/>
        <w:bottom w:val="none" w:sz="0" w:space="0" w:color="auto"/>
        <w:right w:val="none" w:sz="0" w:space="0" w:color="auto"/>
      </w:divBdr>
    </w:div>
    <w:div w:id="1359743844">
      <w:bodyDiv w:val="1"/>
      <w:marLeft w:val="0"/>
      <w:marRight w:val="0"/>
      <w:marTop w:val="0"/>
      <w:marBottom w:val="0"/>
      <w:divBdr>
        <w:top w:val="none" w:sz="0" w:space="0" w:color="auto"/>
        <w:left w:val="none" w:sz="0" w:space="0" w:color="auto"/>
        <w:bottom w:val="none" w:sz="0" w:space="0" w:color="auto"/>
        <w:right w:val="none" w:sz="0" w:space="0" w:color="auto"/>
      </w:divBdr>
    </w:div>
    <w:div w:id="1373652514">
      <w:bodyDiv w:val="1"/>
      <w:marLeft w:val="0"/>
      <w:marRight w:val="0"/>
      <w:marTop w:val="0"/>
      <w:marBottom w:val="0"/>
      <w:divBdr>
        <w:top w:val="none" w:sz="0" w:space="0" w:color="auto"/>
        <w:left w:val="none" w:sz="0" w:space="0" w:color="auto"/>
        <w:bottom w:val="none" w:sz="0" w:space="0" w:color="auto"/>
        <w:right w:val="none" w:sz="0" w:space="0" w:color="auto"/>
      </w:divBdr>
    </w:div>
    <w:div w:id="1385715818">
      <w:bodyDiv w:val="1"/>
      <w:marLeft w:val="0"/>
      <w:marRight w:val="0"/>
      <w:marTop w:val="0"/>
      <w:marBottom w:val="0"/>
      <w:divBdr>
        <w:top w:val="none" w:sz="0" w:space="0" w:color="auto"/>
        <w:left w:val="none" w:sz="0" w:space="0" w:color="auto"/>
        <w:bottom w:val="none" w:sz="0" w:space="0" w:color="auto"/>
        <w:right w:val="none" w:sz="0" w:space="0" w:color="auto"/>
      </w:divBdr>
    </w:div>
    <w:div w:id="1386486297">
      <w:bodyDiv w:val="1"/>
      <w:marLeft w:val="0"/>
      <w:marRight w:val="0"/>
      <w:marTop w:val="0"/>
      <w:marBottom w:val="0"/>
      <w:divBdr>
        <w:top w:val="none" w:sz="0" w:space="0" w:color="auto"/>
        <w:left w:val="none" w:sz="0" w:space="0" w:color="auto"/>
        <w:bottom w:val="none" w:sz="0" w:space="0" w:color="auto"/>
        <w:right w:val="none" w:sz="0" w:space="0" w:color="auto"/>
      </w:divBdr>
    </w:div>
    <w:div w:id="1389067061">
      <w:bodyDiv w:val="1"/>
      <w:marLeft w:val="0"/>
      <w:marRight w:val="0"/>
      <w:marTop w:val="0"/>
      <w:marBottom w:val="0"/>
      <w:divBdr>
        <w:top w:val="none" w:sz="0" w:space="0" w:color="auto"/>
        <w:left w:val="none" w:sz="0" w:space="0" w:color="auto"/>
        <w:bottom w:val="none" w:sz="0" w:space="0" w:color="auto"/>
        <w:right w:val="none" w:sz="0" w:space="0" w:color="auto"/>
      </w:divBdr>
    </w:div>
    <w:div w:id="1392731291">
      <w:bodyDiv w:val="1"/>
      <w:marLeft w:val="0"/>
      <w:marRight w:val="0"/>
      <w:marTop w:val="0"/>
      <w:marBottom w:val="0"/>
      <w:divBdr>
        <w:top w:val="none" w:sz="0" w:space="0" w:color="auto"/>
        <w:left w:val="none" w:sz="0" w:space="0" w:color="auto"/>
        <w:bottom w:val="none" w:sz="0" w:space="0" w:color="auto"/>
        <w:right w:val="none" w:sz="0" w:space="0" w:color="auto"/>
      </w:divBdr>
    </w:div>
    <w:div w:id="1423449749">
      <w:bodyDiv w:val="1"/>
      <w:marLeft w:val="0"/>
      <w:marRight w:val="0"/>
      <w:marTop w:val="0"/>
      <w:marBottom w:val="0"/>
      <w:divBdr>
        <w:top w:val="none" w:sz="0" w:space="0" w:color="auto"/>
        <w:left w:val="none" w:sz="0" w:space="0" w:color="auto"/>
        <w:bottom w:val="none" w:sz="0" w:space="0" w:color="auto"/>
        <w:right w:val="none" w:sz="0" w:space="0" w:color="auto"/>
      </w:divBdr>
    </w:div>
    <w:div w:id="1425375109">
      <w:bodyDiv w:val="1"/>
      <w:marLeft w:val="0"/>
      <w:marRight w:val="0"/>
      <w:marTop w:val="0"/>
      <w:marBottom w:val="0"/>
      <w:divBdr>
        <w:top w:val="none" w:sz="0" w:space="0" w:color="auto"/>
        <w:left w:val="none" w:sz="0" w:space="0" w:color="auto"/>
        <w:bottom w:val="none" w:sz="0" w:space="0" w:color="auto"/>
        <w:right w:val="none" w:sz="0" w:space="0" w:color="auto"/>
      </w:divBdr>
    </w:div>
    <w:div w:id="1433819893">
      <w:bodyDiv w:val="1"/>
      <w:marLeft w:val="0"/>
      <w:marRight w:val="0"/>
      <w:marTop w:val="0"/>
      <w:marBottom w:val="0"/>
      <w:divBdr>
        <w:top w:val="none" w:sz="0" w:space="0" w:color="auto"/>
        <w:left w:val="none" w:sz="0" w:space="0" w:color="auto"/>
        <w:bottom w:val="none" w:sz="0" w:space="0" w:color="auto"/>
        <w:right w:val="none" w:sz="0" w:space="0" w:color="auto"/>
      </w:divBdr>
    </w:div>
    <w:div w:id="1479491664">
      <w:bodyDiv w:val="1"/>
      <w:marLeft w:val="0"/>
      <w:marRight w:val="0"/>
      <w:marTop w:val="0"/>
      <w:marBottom w:val="0"/>
      <w:divBdr>
        <w:top w:val="none" w:sz="0" w:space="0" w:color="auto"/>
        <w:left w:val="none" w:sz="0" w:space="0" w:color="auto"/>
        <w:bottom w:val="none" w:sz="0" w:space="0" w:color="auto"/>
        <w:right w:val="none" w:sz="0" w:space="0" w:color="auto"/>
      </w:divBdr>
    </w:div>
    <w:div w:id="1482960089">
      <w:bodyDiv w:val="1"/>
      <w:marLeft w:val="0"/>
      <w:marRight w:val="0"/>
      <w:marTop w:val="0"/>
      <w:marBottom w:val="0"/>
      <w:divBdr>
        <w:top w:val="none" w:sz="0" w:space="0" w:color="auto"/>
        <w:left w:val="none" w:sz="0" w:space="0" w:color="auto"/>
        <w:bottom w:val="none" w:sz="0" w:space="0" w:color="auto"/>
        <w:right w:val="none" w:sz="0" w:space="0" w:color="auto"/>
      </w:divBdr>
    </w:div>
    <w:div w:id="1500120474">
      <w:bodyDiv w:val="1"/>
      <w:marLeft w:val="0"/>
      <w:marRight w:val="0"/>
      <w:marTop w:val="0"/>
      <w:marBottom w:val="0"/>
      <w:divBdr>
        <w:top w:val="none" w:sz="0" w:space="0" w:color="auto"/>
        <w:left w:val="none" w:sz="0" w:space="0" w:color="auto"/>
        <w:bottom w:val="none" w:sz="0" w:space="0" w:color="auto"/>
        <w:right w:val="none" w:sz="0" w:space="0" w:color="auto"/>
      </w:divBdr>
    </w:div>
    <w:div w:id="1508860089">
      <w:bodyDiv w:val="1"/>
      <w:marLeft w:val="0"/>
      <w:marRight w:val="0"/>
      <w:marTop w:val="0"/>
      <w:marBottom w:val="0"/>
      <w:divBdr>
        <w:top w:val="none" w:sz="0" w:space="0" w:color="auto"/>
        <w:left w:val="none" w:sz="0" w:space="0" w:color="auto"/>
        <w:bottom w:val="none" w:sz="0" w:space="0" w:color="auto"/>
        <w:right w:val="none" w:sz="0" w:space="0" w:color="auto"/>
      </w:divBdr>
    </w:div>
    <w:div w:id="1515880234">
      <w:bodyDiv w:val="1"/>
      <w:marLeft w:val="0"/>
      <w:marRight w:val="0"/>
      <w:marTop w:val="0"/>
      <w:marBottom w:val="0"/>
      <w:divBdr>
        <w:top w:val="none" w:sz="0" w:space="0" w:color="auto"/>
        <w:left w:val="none" w:sz="0" w:space="0" w:color="auto"/>
        <w:bottom w:val="none" w:sz="0" w:space="0" w:color="auto"/>
        <w:right w:val="none" w:sz="0" w:space="0" w:color="auto"/>
      </w:divBdr>
    </w:div>
    <w:div w:id="1529446299">
      <w:bodyDiv w:val="1"/>
      <w:marLeft w:val="0"/>
      <w:marRight w:val="0"/>
      <w:marTop w:val="0"/>
      <w:marBottom w:val="0"/>
      <w:divBdr>
        <w:top w:val="none" w:sz="0" w:space="0" w:color="auto"/>
        <w:left w:val="none" w:sz="0" w:space="0" w:color="auto"/>
        <w:bottom w:val="none" w:sz="0" w:space="0" w:color="auto"/>
        <w:right w:val="none" w:sz="0" w:space="0" w:color="auto"/>
      </w:divBdr>
    </w:div>
    <w:div w:id="1535539684">
      <w:bodyDiv w:val="1"/>
      <w:marLeft w:val="0"/>
      <w:marRight w:val="0"/>
      <w:marTop w:val="0"/>
      <w:marBottom w:val="0"/>
      <w:divBdr>
        <w:top w:val="none" w:sz="0" w:space="0" w:color="auto"/>
        <w:left w:val="none" w:sz="0" w:space="0" w:color="auto"/>
        <w:bottom w:val="none" w:sz="0" w:space="0" w:color="auto"/>
        <w:right w:val="none" w:sz="0" w:space="0" w:color="auto"/>
      </w:divBdr>
    </w:div>
    <w:div w:id="1542010095">
      <w:bodyDiv w:val="1"/>
      <w:marLeft w:val="0"/>
      <w:marRight w:val="0"/>
      <w:marTop w:val="0"/>
      <w:marBottom w:val="0"/>
      <w:divBdr>
        <w:top w:val="none" w:sz="0" w:space="0" w:color="auto"/>
        <w:left w:val="none" w:sz="0" w:space="0" w:color="auto"/>
        <w:bottom w:val="none" w:sz="0" w:space="0" w:color="auto"/>
        <w:right w:val="none" w:sz="0" w:space="0" w:color="auto"/>
      </w:divBdr>
    </w:div>
    <w:div w:id="1543395213">
      <w:bodyDiv w:val="1"/>
      <w:marLeft w:val="0"/>
      <w:marRight w:val="0"/>
      <w:marTop w:val="0"/>
      <w:marBottom w:val="0"/>
      <w:divBdr>
        <w:top w:val="none" w:sz="0" w:space="0" w:color="auto"/>
        <w:left w:val="none" w:sz="0" w:space="0" w:color="auto"/>
        <w:bottom w:val="none" w:sz="0" w:space="0" w:color="auto"/>
        <w:right w:val="none" w:sz="0" w:space="0" w:color="auto"/>
      </w:divBdr>
    </w:div>
    <w:div w:id="1549730835">
      <w:bodyDiv w:val="1"/>
      <w:marLeft w:val="0"/>
      <w:marRight w:val="0"/>
      <w:marTop w:val="0"/>
      <w:marBottom w:val="0"/>
      <w:divBdr>
        <w:top w:val="none" w:sz="0" w:space="0" w:color="auto"/>
        <w:left w:val="none" w:sz="0" w:space="0" w:color="auto"/>
        <w:bottom w:val="none" w:sz="0" w:space="0" w:color="auto"/>
        <w:right w:val="none" w:sz="0" w:space="0" w:color="auto"/>
      </w:divBdr>
    </w:div>
    <w:div w:id="1549999224">
      <w:bodyDiv w:val="1"/>
      <w:marLeft w:val="0"/>
      <w:marRight w:val="0"/>
      <w:marTop w:val="0"/>
      <w:marBottom w:val="0"/>
      <w:divBdr>
        <w:top w:val="none" w:sz="0" w:space="0" w:color="auto"/>
        <w:left w:val="none" w:sz="0" w:space="0" w:color="auto"/>
        <w:bottom w:val="none" w:sz="0" w:space="0" w:color="auto"/>
        <w:right w:val="none" w:sz="0" w:space="0" w:color="auto"/>
      </w:divBdr>
    </w:div>
    <w:div w:id="1562055518">
      <w:bodyDiv w:val="1"/>
      <w:marLeft w:val="0"/>
      <w:marRight w:val="0"/>
      <w:marTop w:val="0"/>
      <w:marBottom w:val="0"/>
      <w:divBdr>
        <w:top w:val="none" w:sz="0" w:space="0" w:color="auto"/>
        <w:left w:val="none" w:sz="0" w:space="0" w:color="auto"/>
        <w:bottom w:val="none" w:sz="0" w:space="0" w:color="auto"/>
        <w:right w:val="none" w:sz="0" w:space="0" w:color="auto"/>
      </w:divBdr>
    </w:div>
    <w:div w:id="1571230638">
      <w:bodyDiv w:val="1"/>
      <w:marLeft w:val="0"/>
      <w:marRight w:val="0"/>
      <w:marTop w:val="0"/>
      <w:marBottom w:val="0"/>
      <w:divBdr>
        <w:top w:val="none" w:sz="0" w:space="0" w:color="auto"/>
        <w:left w:val="none" w:sz="0" w:space="0" w:color="auto"/>
        <w:bottom w:val="none" w:sz="0" w:space="0" w:color="auto"/>
        <w:right w:val="none" w:sz="0" w:space="0" w:color="auto"/>
      </w:divBdr>
    </w:div>
    <w:div w:id="1573150959">
      <w:bodyDiv w:val="1"/>
      <w:marLeft w:val="0"/>
      <w:marRight w:val="0"/>
      <w:marTop w:val="0"/>
      <w:marBottom w:val="0"/>
      <w:divBdr>
        <w:top w:val="none" w:sz="0" w:space="0" w:color="auto"/>
        <w:left w:val="none" w:sz="0" w:space="0" w:color="auto"/>
        <w:bottom w:val="none" w:sz="0" w:space="0" w:color="auto"/>
        <w:right w:val="none" w:sz="0" w:space="0" w:color="auto"/>
      </w:divBdr>
    </w:div>
    <w:div w:id="1578517076">
      <w:bodyDiv w:val="1"/>
      <w:marLeft w:val="0"/>
      <w:marRight w:val="0"/>
      <w:marTop w:val="0"/>
      <w:marBottom w:val="0"/>
      <w:divBdr>
        <w:top w:val="none" w:sz="0" w:space="0" w:color="auto"/>
        <w:left w:val="none" w:sz="0" w:space="0" w:color="auto"/>
        <w:bottom w:val="none" w:sz="0" w:space="0" w:color="auto"/>
        <w:right w:val="none" w:sz="0" w:space="0" w:color="auto"/>
      </w:divBdr>
    </w:div>
    <w:div w:id="1580090883">
      <w:bodyDiv w:val="1"/>
      <w:marLeft w:val="0"/>
      <w:marRight w:val="0"/>
      <w:marTop w:val="0"/>
      <w:marBottom w:val="0"/>
      <w:divBdr>
        <w:top w:val="none" w:sz="0" w:space="0" w:color="auto"/>
        <w:left w:val="none" w:sz="0" w:space="0" w:color="auto"/>
        <w:bottom w:val="none" w:sz="0" w:space="0" w:color="auto"/>
        <w:right w:val="none" w:sz="0" w:space="0" w:color="auto"/>
      </w:divBdr>
    </w:div>
    <w:div w:id="1593972683">
      <w:bodyDiv w:val="1"/>
      <w:marLeft w:val="0"/>
      <w:marRight w:val="0"/>
      <w:marTop w:val="0"/>
      <w:marBottom w:val="0"/>
      <w:divBdr>
        <w:top w:val="none" w:sz="0" w:space="0" w:color="auto"/>
        <w:left w:val="none" w:sz="0" w:space="0" w:color="auto"/>
        <w:bottom w:val="none" w:sz="0" w:space="0" w:color="auto"/>
        <w:right w:val="none" w:sz="0" w:space="0" w:color="auto"/>
      </w:divBdr>
    </w:div>
    <w:div w:id="1594627374">
      <w:bodyDiv w:val="1"/>
      <w:marLeft w:val="0"/>
      <w:marRight w:val="0"/>
      <w:marTop w:val="0"/>
      <w:marBottom w:val="0"/>
      <w:divBdr>
        <w:top w:val="none" w:sz="0" w:space="0" w:color="auto"/>
        <w:left w:val="none" w:sz="0" w:space="0" w:color="auto"/>
        <w:bottom w:val="none" w:sz="0" w:space="0" w:color="auto"/>
        <w:right w:val="none" w:sz="0" w:space="0" w:color="auto"/>
      </w:divBdr>
    </w:div>
    <w:div w:id="1597059370">
      <w:bodyDiv w:val="1"/>
      <w:marLeft w:val="0"/>
      <w:marRight w:val="0"/>
      <w:marTop w:val="0"/>
      <w:marBottom w:val="0"/>
      <w:divBdr>
        <w:top w:val="none" w:sz="0" w:space="0" w:color="auto"/>
        <w:left w:val="none" w:sz="0" w:space="0" w:color="auto"/>
        <w:bottom w:val="none" w:sz="0" w:space="0" w:color="auto"/>
        <w:right w:val="none" w:sz="0" w:space="0" w:color="auto"/>
      </w:divBdr>
    </w:div>
    <w:div w:id="1600336072">
      <w:bodyDiv w:val="1"/>
      <w:marLeft w:val="0"/>
      <w:marRight w:val="0"/>
      <w:marTop w:val="0"/>
      <w:marBottom w:val="0"/>
      <w:divBdr>
        <w:top w:val="none" w:sz="0" w:space="0" w:color="auto"/>
        <w:left w:val="none" w:sz="0" w:space="0" w:color="auto"/>
        <w:bottom w:val="none" w:sz="0" w:space="0" w:color="auto"/>
        <w:right w:val="none" w:sz="0" w:space="0" w:color="auto"/>
      </w:divBdr>
    </w:div>
    <w:div w:id="1604416584">
      <w:bodyDiv w:val="1"/>
      <w:marLeft w:val="0"/>
      <w:marRight w:val="0"/>
      <w:marTop w:val="0"/>
      <w:marBottom w:val="0"/>
      <w:divBdr>
        <w:top w:val="none" w:sz="0" w:space="0" w:color="auto"/>
        <w:left w:val="none" w:sz="0" w:space="0" w:color="auto"/>
        <w:bottom w:val="none" w:sz="0" w:space="0" w:color="auto"/>
        <w:right w:val="none" w:sz="0" w:space="0" w:color="auto"/>
      </w:divBdr>
    </w:div>
    <w:div w:id="1604723937">
      <w:bodyDiv w:val="1"/>
      <w:marLeft w:val="0"/>
      <w:marRight w:val="0"/>
      <w:marTop w:val="0"/>
      <w:marBottom w:val="0"/>
      <w:divBdr>
        <w:top w:val="none" w:sz="0" w:space="0" w:color="auto"/>
        <w:left w:val="none" w:sz="0" w:space="0" w:color="auto"/>
        <w:bottom w:val="none" w:sz="0" w:space="0" w:color="auto"/>
        <w:right w:val="none" w:sz="0" w:space="0" w:color="auto"/>
      </w:divBdr>
    </w:div>
    <w:div w:id="1619533235">
      <w:bodyDiv w:val="1"/>
      <w:marLeft w:val="0"/>
      <w:marRight w:val="0"/>
      <w:marTop w:val="0"/>
      <w:marBottom w:val="0"/>
      <w:divBdr>
        <w:top w:val="none" w:sz="0" w:space="0" w:color="auto"/>
        <w:left w:val="none" w:sz="0" w:space="0" w:color="auto"/>
        <w:bottom w:val="none" w:sz="0" w:space="0" w:color="auto"/>
        <w:right w:val="none" w:sz="0" w:space="0" w:color="auto"/>
      </w:divBdr>
    </w:div>
    <w:div w:id="1648122879">
      <w:bodyDiv w:val="1"/>
      <w:marLeft w:val="0"/>
      <w:marRight w:val="0"/>
      <w:marTop w:val="0"/>
      <w:marBottom w:val="0"/>
      <w:divBdr>
        <w:top w:val="none" w:sz="0" w:space="0" w:color="auto"/>
        <w:left w:val="none" w:sz="0" w:space="0" w:color="auto"/>
        <w:bottom w:val="none" w:sz="0" w:space="0" w:color="auto"/>
        <w:right w:val="none" w:sz="0" w:space="0" w:color="auto"/>
      </w:divBdr>
    </w:div>
    <w:div w:id="1654672835">
      <w:bodyDiv w:val="1"/>
      <w:marLeft w:val="0"/>
      <w:marRight w:val="0"/>
      <w:marTop w:val="0"/>
      <w:marBottom w:val="0"/>
      <w:divBdr>
        <w:top w:val="none" w:sz="0" w:space="0" w:color="auto"/>
        <w:left w:val="none" w:sz="0" w:space="0" w:color="auto"/>
        <w:bottom w:val="none" w:sz="0" w:space="0" w:color="auto"/>
        <w:right w:val="none" w:sz="0" w:space="0" w:color="auto"/>
      </w:divBdr>
    </w:div>
    <w:div w:id="1657608265">
      <w:bodyDiv w:val="1"/>
      <w:marLeft w:val="0"/>
      <w:marRight w:val="0"/>
      <w:marTop w:val="0"/>
      <w:marBottom w:val="0"/>
      <w:divBdr>
        <w:top w:val="none" w:sz="0" w:space="0" w:color="auto"/>
        <w:left w:val="none" w:sz="0" w:space="0" w:color="auto"/>
        <w:bottom w:val="none" w:sz="0" w:space="0" w:color="auto"/>
        <w:right w:val="none" w:sz="0" w:space="0" w:color="auto"/>
      </w:divBdr>
    </w:div>
    <w:div w:id="1664506328">
      <w:bodyDiv w:val="1"/>
      <w:marLeft w:val="0"/>
      <w:marRight w:val="0"/>
      <w:marTop w:val="0"/>
      <w:marBottom w:val="0"/>
      <w:divBdr>
        <w:top w:val="none" w:sz="0" w:space="0" w:color="auto"/>
        <w:left w:val="none" w:sz="0" w:space="0" w:color="auto"/>
        <w:bottom w:val="none" w:sz="0" w:space="0" w:color="auto"/>
        <w:right w:val="none" w:sz="0" w:space="0" w:color="auto"/>
      </w:divBdr>
    </w:div>
    <w:div w:id="1674524347">
      <w:bodyDiv w:val="1"/>
      <w:marLeft w:val="0"/>
      <w:marRight w:val="0"/>
      <w:marTop w:val="0"/>
      <w:marBottom w:val="0"/>
      <w:divBdr>
        <w:top w:val="none" w:sz="0" w:space="0" w:color="auto"/>
        <w:left w:val="none" w:sz="0" w:space="0" w:color="auto"/>
        <w:bottom w:val="none" w:sz="0" w:space="0" w:color="auto"/>
        <w:right w:val="none" w:sz="0" w:space="0" w:color="auto"/>
      </w:divBdr>
    </w:div>
    <w:div w:id="1681618482">
      <w:bodyDiv w:val="1"/>
      <w:marLeft w:val="0"/>
      <w:marRight w:val="0"/>
      <w:marTop w:val="0"/>
      <w:marBottom w:val="0"/>
      <w:divBdr>
        <w:top w:val="none" w:sz="0" w:space="0" w:color="auto"/>
        <w:left w:val="none" w:sz="0" w:space="0" w:color="auto"/>
        <w:bottom w:val="none" w:sz="0" w:space="0" w:color="auto"/>
        <w:right w:val="none" w:sz="0" w:space="0" w:color="auto"/>
      </w:divBdr>
    </w:div>
    <w:div w:id="1685936693">
      <w:bodyDiv w:val="1"/>
      <w:marLeft w:val="0"/>
      <w:marRight w:val="0"/>
      <w:marTop w:val="0"/>
      <w:marBottom w:val="0"/>
      <w:divBdr>
        <w:top w:val="none" w:sz="0" w:space="0" w:color="auto"/>
        <w:left w:val="none" w:sz="0" w:space="0" w:color="auto"/>
        <w:bottom w:val="none" w:sz="0" w:space="0" w:color="auto"/>
        <w:right w:val="none" w:sz="0" w:space="0" w:color="auto"/>
      </w:divBdr>
    </w:div>
    <w:div w:id="1715541642">
      <w:bodyDiv w:val="1"/>
      <w:marLeft w:val="0"/>
      <w:marRight w:val="0"/>
      <w:marTop w:val="0"/>
      <w:marBottom w:val="0"/>
      <w:divBdr>
        <w:top w:val="none" w:sz="0" w:space="0" w:color="auto"/>
        <w:left w:val="none" w:sz="0" w:space="0" w:color="auto"/>
        <w:bottom w:val="none" w:sz="0" w:space="0" w:color="auto"/>
        <w:right w:val="none" w:sz="0" w:space="0" w:color="auto"/>
      </w:divBdr>
    </w:div>
    <w:div w:id="1720785236">
      <w:bodyDiv w:val="1"/>
      <w:marLeft w:val="0"/>
      <w:marRight w:val="0"/>
      <w:marTop w:val="0"/>
      <w:marBottom w:val="0"/>
      <w:divBdr>
        <w:top w:val="none" w:sz="0" w:space="0" w:color="auto"/>
        <w:left w:val="none" w:sz="0" w:space="0" w:color="auto"/>
        <w:bottom w:val="none" w:sz="0" w:space="0" w:color="auto"/>
        <w:right w:val="none" w:sz="0" w:space="0" w:color="auto"/>
      </w:divBdr>
    </w:div>
    <w:div w:id="1721316877">
      <w:bodyDiv w:val="1"/>
      <w:marLeft w:val="0"/>
      <w:marRight w:val="0"/>
      <w:marTop w:val="0"/>
      <w:marBottom w:val="0"/>
      <w:divBdr>
        <w:top w:val="none" w:sz="0" w:space="0" w:color="auto"/>
        <w:left w:val="none" w:sz="0" w:space="0" w:color="auto"/>
        <w:bottom w:val="none" w:sz="0" w:space="0" w:color="auto"/>
        <w:right w:val="none" w:sz="0" w:space="0" w:color="auto"/>
      </w:divBdr>
    </w:div>
    <w:div w:id="1729375905">
      <w:bodyDiv w:val="1"/>
      <w:marLeft w:val="0"/>
      <w:marRight w:val="0"/>
      <w:marTop w:val="0"/>
      <w:marBottom w:val="0"/>
      <w:divBdr>
        <w:top w:val="none" w:sz="0" w:space="0" w:color="auto"/>
        <w:left w:val="none" w:sz="0" w:space="0" w:color="auto"/>
        <w:bottom w:val="none" w:sz="0" w:space="0" w:color="auto"/>
        <w:right w:val="none" w:sz="0" w:space="0" w:color="auto"/>
      </w:divBdr>
    </w:div>
    <w:div w:id="1732070372">
      <w:bodyDiv w:val="1"/>
      <w:marLeft w:val="0"/>
      <w:marRight w:val="0"/>
      <w:marTop w:val="0"/>
      <w:marBottom w:val="0"/>
      <w:divBdr>
        <w:top w:val="none" w:sz="0" w:space="0" w:color="auto"/>
        <w:left w:val="none" w:sz="0" w:space="0" w:color="auto"/>
        <w:bottom w:val="none" w:sz="0" w:space="0" w:color="auto"/>
        <w:right w:val="none" w:sz="0" w:space="0" w:color="auto"/>
      </w:divBdr>
    </w:div>
    <w:div w:id="1734742540">
      <w:bodyDiv w:val="1"/>
      <w:marLeft w:val="0"/>
      <w:marRight w:val="0"/>
      <w:marTop w:val="0"/>
      <w:marBottom w:val="0"/>
      <w:divBdr>
        <w:top w:val="none" w:sz="0" w:space="0" w:color="auto"/>
        <w:left w:val="none" w:sz="0" w:space="0" w:color="auto"/>
        <w:bottom w:val="none" w:sz="0" w:space="0" w:color="auto"/>
        <w:right w:val="none" w:sz="0" w:space="0" w:color="auto"/>
      </w:divBdr>
    </w:div>
    <w:div w:id="1743210055">
      <w:bodyDiv w:val="1"/>
      <w:marLeft w:val="0"/>
      <w:marRight w:val="0"/>
      <w:marTop w:val="0"/>
      <w:marBottom w:val="0"/>
      <w:divBdr>
        <w:top w:val="none" w:sz="0" w:space="0" w:color="auto"/>
        <w:left w:val="none" w:sz="0" w:space="0" w:color="auto"/>
        <w:bottom w:val="none" w:sz="0" w:space="0" w:color="auto"/>
        <w:right w:val="none" w:sz="0" w:space="0" w:color="auto"/>
      </w:divBdr>
    </w:div>
    <w:div w:id="1749886926">
      <w:bodyDiv w:val="1"/>
      <w:marLeft w:val="0"/>
      <w:marRight w:val="0"/>
      <w:marTop w:val="0"/>
      <w:marBottom w:val="0"/>
      <w:divBdr>
        <w:top w:val="none" w:sz="0" w:space="0" w:color="auto"/>
        <w:left w:val="none" w:sz="0" w:space="0" w:color="auto"/>
        <w:bottom w:val="none" w:sz="0" w:space="0" w:color="auto"/>
        <w:right w:val="none" w:sz="0" w:space="0" w:color="auto"/>
      </w:divBdr>
    </w:div>
    <w:div w:id="1772698439">
      <w:bodyDiv w:val="1"/>
      <w:marLeft w:val="0"/>
      <w:marRight w:val="0"/>
      <w:marTop w:val="0"/>
      <w:marBottom w:val="0"/>
      <w:divBdr>
        <w:top w:val="none" w:sz="0" w:space="0" w:color="auto"/>
        <w:left w:val="none" w:sz="0" w:space="0" w:color="auto"/>
        <w:bottom w:val="none" w:sz="0" w:space="0" w:color="auto"/>
        <w:right w:val="none" w:sz="0" w:space="0" w:color="auto"/>
      </w:divBdr>
    </w:div>
    <w:div w:id="1774012135">
      <w:bodyDiv w:val="1"/>
      <w:marLeft w:val="0"/>
      <w:marRight w:val="0"/>
      <w:marTop w:val="0"/>
      <w:marBottom w:val="0"/>
      <w:divBdr>
        <w:top w:val="none" w:sz="0" w:space="0" w:color="auto"/>
        <w:left w:val="none" w:sz="0" w:space="0" w:color="auto"/>
        <w:bottom w:val="none" w:sz="0" w:space="0" w:color="auto"/>
        <w:right w:val="none" w:sz="0" w:space="0" w:color="auto"/>
      </w:divBdr>
    </w:div>
    <w:div w:id="1774281253">
      <w:bodyDiv w:val="1"/>
      <w:marLeft w:val="0"/>
      <w:marRight w:val="0"/>
      <w:marTop w:val="0"/>
      <w:marBottom w:val="0"/>
      <w:divBdr>
        <w:top w:val="none" w:sz="0" w:space="0" w:color="auto"/>
        <w:left w:val="none" w:sz="0" w:space="0" w:color="auto"/>
        <w:bottom w:val="none" w:sz="0" w:space="0" w:color="auto"/>
        <w:right w:val="none" w:sz="0" w:space="0" w:color="auto"/>
      </w:divBdr>
    </w:div>
    <w:div w:id="1797068537">
      <w:bodyDiv w:val="1"/>
      <w:marLeft w:val="0"/>
      <w:marRight w:val="0"/>
      <w:marTop w:val="0"/>
      <w:marBottom w:val="0"/>
      <w:divBdr>
        <w:top w:val="none" w:sz="0" w:space="0" w:color="auto"/>
        <w:left w:val="none" w:sz="0" w:space="0" w:color="auto"/>
        <w:bottom w:val="none" w:sz="0" w:space="0" w:color="auto"/>
        <w:right w:val="none" w:sz="0" w:space="0" w:color="auto"/>
      </w:divBdr>
    </w:div>
    <w:div w:id="1801268125">
      <w:bodyDiv w:val="1"/>
      <w:marLeft w:val="0"/>
      <w:marRight w:val="0"/>
      <w:marTop w:val="0"/>
      <w:marBottom w:val="0"/>
      <w:divBdr>
        <w:top w:val="none" w:sz="0" w:space="0" w:color="auto"/>
        <w:left w:val="none" w:sz="0" w:space="0" w:color="auto"/>
        <w:bottom w:val="none" w:sz="0" w:space="0" w:color="auto"/>
        <w:right w:val="none" w:sz="0" w:space="0" w:color="auto"/>
      </w:divBdr>
    </w:div>
    <w:div w:id="1810319725">
      <w:bodyDiv w:val="1"/>
      <w:marLeft w:val="0"/>
      <w:marRight w:val="0"/>
      <w:marTop w:val="0"/>
      <w:marBottom w:val="0"/>
      <w:divBdr>
        <w:top w:val="none" w:sz="0" w:space="0" w:color="auto"/>
        <w:left w:val="none" w:sz="0" w:space="0" w:color="auto"/>
        <w:bottom w:val="none" w:sz="0" w:space="0" w:color="auto"/>
        <w:right w:val="none" w:sz="0" w:space="0" w:color="auto"/>
      </w:divBdr>
    </w:div>
    <w:div w:id="1822576625">
      <w:bodyDiv w:val="1"/>
      <w:marLeft w:val="0"/>
      <w:marRight w:val="0"/>
      <w:marTop w:val="0"/>
      <w:marBottom w:val="0"/>
      <w:divBdr>
        <w:top w:val="none" w:sz="0" w:space="0" w:color="auto"/>
        <w:left w:val="none" w:sz="0" w:space="0" w:color="auto"/>
        <w:bottom w:val="none" w:sz="0" w:space="0" w:color="auto"/>
        <w:right w:val="none" w:sz="0" w:space="0" w:color="auto"/>
      </w:divBdr>
    </w:div>
    <w:div w:id="1822888246">
      <w:bodyDiv w:val="1"/>
      <w:marLeft w:val="0"/>
      <w:marRight w:val="0"/>
      <w:marTop w:val="0"/>
      <w:marBottom w:val="0"/>
      <w:divBdr>
        <w:top w:val="none" w:sz="0" w:space="0" w:color="auto"/>
        <w:left w:val="none" w:sz="0" w:space="0" w:color="auto"/>
        <w:bottom w:val="none" w:sz="0" w:space="0" w:color="auto"/>
        <w:right w:val="none" w:sz="0" w:space="0" w:color="auto"/>
      </w:divBdr>
    </w:div>
    <w:div w:id="1838302868">
      <w:bodyDiv w:val="1"/>
      <w:marLeft w:val="0"/>
      <w:marRight w:val="0"/>
      <w:marTop w:val="0"/>
      <w:marBottom w:val="0"/>
      <w:divBdr>
        <w:top w:val="none" w:sz="0" w:space="0" w:color="auto"/>
        <w:left w:val="none" w:sz="0" w:space="0" w:color="auto"/>
        <w:bottom w:val="none" w:sz="0" w:space="0" w:color="auto"/>
        <w:right w:val="none" w:sz="0" w:space="0" w:color="auto"/>
      </w:divBdr>
    </w:div>
    <w:div w:id="1838955055">
      <w:bodyDiv w:val="1"/>
      <w:marLeft w:val="0"/>
      <w:marRight w:val="0"/>
      <w:marTop w:val="0"/>
      <w:marBottom w:val="0"/>
      <w:divBdr>
        <w:top w:val="none" w:sz="0" w:space="0" w:color="auto"/>
        <w:left w:val="none" w:sz="0" w:space="0" w:color="auto"/>
        <w:bottom w:val="none" w:sz="0" w:space="0" w:color="auto"/>
        <w:right w:val="none" w:sz="0" w:space="0" w:color="auto"/>
      </w:divBdr>
    </w:div>
    <w:div w:id="1842626430">
      <w:bodyDiv w:val="1"/>
      <w:marLeft w:val="0"/>
      <w:marRight w:val="0"/>
      <w:marTop w:val="0"/>
      <w:marBottom w:val="0"/>
      <w:divBdr>
        <w:top w:val="none" w:sz="0" w:space="0" w:color="auto"/>
        <w:left w:val="none" w:sz="0" w:space="0" w:color="auto"/>
        <w:bottom w:val="none" w:sz="0" w:space="0" w:color="auto"/>
        <w:right w:val="none" w:sz="0" w:space="0" w:color="auto"/>
      </w:divBdr>
    </w:div>
    <w:div w:id="1853689947">
      <w:bodyDiv w:val="1"/>
      <w:marLeft w:val="0"/>
      <w:marRight w:val="0"/>
      <w:marTop w:val="0"/>
      <w:marBottom w:val="0"/>
      <w:divBdr>
        <w:top w:val="none" w:sz="0" w:space="0" w:color="auto"/>
        <w:left w:val="none" w:sz="0" w:space="0" w:color="auto"/>
        <w:bottom w:val="none" w:sz="0" w:space="0" w:color="auto"/>
        <w:right w:val="none" w:sz="0" w:space="0" w:color="auto"/>
      </w:divBdr>
    </w:div>
    <w:div w:id="1857498239">
      <w:bodyDiv w:val="1"/>
      <w:marLeft w:val="0"/>
      <w:marRight w:val="0"/>
      <w:marTop w:val="0"/>
      <w:marBottom w:val="0"/>
      <w:divBdr>
        <w:top w:val="none" w:sz="0" w:space="0" w:color="auto"/>
        <w:left w:val="none" w:sz="0" w:space="0" w:color="auto"/>
        <w:bottom w:val="none" w:sz="0" w:space="0" w:color="auto"/>
        <w:right w:val="none" w:sz="0" w:space="0" w:color="auto"/>
      </w:divBdr>
    </w:div>
    <w:div w:id="1859467919">
      <w:bodyDiv w:val="1"/>
      <w:marLeft w:val="0"/>
      <w:marRight w:val="0"/>
      <w:marTop w:val="0"/>
      <w:marBottom w:val="0"/>
      <w:divBdr>
        <w:top w:val="none" w:sz="0" w:space="0" w:color="auto"/>
        <w:left w:val="none" w:sz="0" w:space="0" w:color="auto"/>
        <w:bottom w:val="none" w:sz="0" w:space="0" w:color="auto"/>
        <w:right w:val="none" w:sz="0" w:space="0" w:color="auto"/>
      </w:divBdr>
    </w:div>
    <w:div w:id="1871413193">
      <w:bodyDiv w:val="1"/>
      <w:marLeft w:val="0"/>
      <w:marRight w:val="0"/>
      <w:marTop w:val="0"/>
      <w:marBottom w:val="0"/>
      <w:divBdr>
        <w:top w:val="none" w:sz="0" w:space="0" w:color="auto"/>
        <w:left w:val="none" w:sz="0" w:space="0" w:color="auto"/>
        <w:bottom w:val="none" w:sz="0" w:space="0" w:color="auto"/>
        <w:right w:val="none" w:sz="0" w:space="0" w:color="auto"/>
      </w:divBdr>
    </w:div>
    <w:div w:id="1890535058">
      <w:bodyDiv w:val="1"/>
      <w:marLeft w:val="0"/>
      <w:marRight w:val="0"/>
      <w:marTop w:val="0"/>
      <w:marBottom w:val="0"/>
      <w:divBdr>
        <w:top w:val="none" w:sz="0" w:space="0" w:color="auto"/>
        <w:left w:val="none" w:sz="0" w:space="0" w:color="auto"/>
        <w:bottom w:val="none" w:sz="0" w:space="0" w:color="auto"/>
        <w:right w:val="none" w:sz="0" w:space="0" w:color="auto"/>
      </w:divBdr>
    </w:div>
    <w:div w:id="1892301056">
      <w:bodyDiv w:val="1"/>
      <w:marLeft w:val="0"/>
      <w:marRight w:val="0"/>
      <w:marTop w:val="0"/>
      <w:marBottom w:val="0"/>
      <w:divBdr>
        <w:top w:val="none" w:sz="0" w:space="0" w:color="auto"/>
        <w:left w:val="none" w:sz="0" w:space="0" w:color="auto"/>
        <w:bottom w:val="none" w:sz="0" w:space="0" w:color="auto"/>
        <w:right w:val="none" w:sz="0" w:space="0" w:color="auto"/>
      </w:divBdr>
    </w:div>
    <w:div w:id="1912109074">
      <w:bodyDiv w:val="1"/>
      <w:marLeft w:val="0"/>
      <w:marRight w:val="0"/>
      <w:marTop w:val="0"/>
      <w:marBottom w:val="0"/>
      <w:divBdr>
        <w:top w:val="none" w:sz="0" w:space="0" w:color="auto"/>
        <w:left w:val="none" w:sz="0" w:space="0" w:color="auto"/>
        <w:bottom w:val="none" w:sz="0" w:space="0" w:color="auto"/>
        <w:right w:val="none" w:sz="0" w:space="0" w:color="auto"/>
      </w:divBdr>
    </w:div>
    <w:div w:id="1913268852">
      <w:bodyDiv w:val="1"/>
      <w:marLeft w:val="0"/>
      <w:marRight w:val="0"/>
      <w:marTop w:val="0"/>
      <w:marBottom w:val="0"/>
      <w:divBdr>
        <w:top w:val="none" w:sz="0" w:space="0" w:color="auto"/>
        <w:left w:val="none" w:sz="0" w:space="0" w:color="auto"/>
        <w:bottom w:val="none" w:sz="0" w:space="0" w:color="auto"/>
        <w:right w:val="none" w:sz="0" w:space="0" w:color="auto"/>
      </w:divBdr>
    </w:div>
    <w:div w:id="1917472905">
      <w:bodyDiv w:val="1"/>
      <w:marLeft w:val="0"/>
      <w:marRight w:val="0"/>
      <w:marTop w:val="0"/>
      <w:marBottom w:val="0"/>
      <w:divBdr>
        <w:top w:val="none" w:sz="0" w:space="0" w:color="auto"/>
        <w:left w:val="none" w:sz="0" w:space="0" w:color="auto"/>
        <w:bottom w:val="none" w:sz="0" w:space="0" w:color="auto"/>
        <w:right w:val="none" w:sz="0" w:space="0" w:color="auto"/>
      </w:divBdr>
    </w:div>
    <w:div w:id="1922830323">
      <w:bodyDiv w:val="1"/>
      <w:marLeft w:val="0"/>
      <w:marRight w:val="0"/>
      <w:marTop w:val="0"/>
      <w:marBottom w:val="0"/>
      <w:divBdr>
        <w:top w:val="none" w:sz="0" w:space="0" w:color="auto"/>
        <w:left w:val="none" w:sz="0" w:space="0" w:color="auto"/>
        <w:bottom w:val="none" w:sz="0" w:space="0" w:color="auto"/>
        <w:right w:val="none" w:sz="0" w:space="0" w:color="auto"/>
      </w:divBdr>
    </w:div>
    <w:div w:id="1932660544">
      <w:bodyDiv w:val="1"/>
      <w:marLeft w:val="0"/>
      <w:marRight w:val="0"/>
      <w:marTop w:val="0"/>
      <w:marBottom w:val="0"/>
      <w:divBdr>
        <w:top w:val="none" w:sz="0" w:space="0" w:color="auto"/>
        <w:left w:val="none" w:sz="0" w:space="0" w:color="auto"/>
        <w:bottom w:val="none" w:sz="0" w:space="0" w:color="auto"/>
        <w:right w:val="none" w:sz="0" w:space="0" w:color="auto"/>
      </w:divBdr>
    </w:div>
    <w:div w:id="1942688010">
      <w:bodyDiv w:val="1"/>
      <w:marLeft w:val="0"/>
      <w:marRight w:val="0"/>
      <w:marTop w:val="0"/>
      <w:marBottom w:val="0"/>
      <w:divBdr>
        <w:top w:val="none" w:sz="0" w:space="0" w:color="auto"/>
        <w:left w:val="none" w:sz="0" w:space="0" w:color="auto"/>
        <w:bottom w:val="none" w:sz="0" w:space="0" w:color="auto"/>
        <w:right w:val="none" w:sz="0" w:space="0" w:color="auto"/>
      </w:divBdr>
    </w:div>
    <w:div w:id="1950309997">
      <w:bodyDiv w:val="1"/>
      <w:marLeft w:val="0"/>
      <w:marRight w:val="0"/>
      <w:marTop w:val="0"/>
      <w:marBottom w:val="0"/>
      <w:divBdr>
        <w:top w:val="none" w:sz="0" w:space="0" w:color="auto"/>
        <w:left w:val="none" w:sz="0" w:space="0" w:color="auto"/>
        <w:bottom w:val="none" w:sz="0" w:space="0" w:color="auto"/>
        <w:right w:val="none" w:sz="0" w:space="0" w:color="auto"/>
      </w:divBdr>
    </w:div>
    <w:div w:id="1953125383">
      <w:bodyDiv w:val="1"/>
      <w:marLeft w:val="0"/>
      <w:marRight w:val="0"/>
      <w:marTop w:val="0"/>
      <w:marBottom w:val="0"/>
      <w:divBdr>
        <w:top w:val="none" w:sz="0" w:space="0" w:color="auto"/>
        <w:left w:val="none" w:sz="0" w:space="0" w:color="auto"/>
        <w:bottom w:val="none" w:sz="0" w:space="0" w:color="auto"/>
        <w:right w:val="none" w:sz="0" w:space="0" w:color="auto"/>
      </w:divBdr>
    </w:div>
    <w:div w:id="1957977346">
      <w:bodyDiv w:val="1"/>
      <w:marLeft w:val="0"/>
      <w:marRight w:val="0"/>
      <w:marTop w:val="0"/>
      <w:marBottom w:val="0"/>
      <w:divBdr>
        <w:top w:val="none" w:sz="0" w:space="0" w:color="auto"/>
        <w:left w:val="none" w:sz="0" w:space="0" w:color="auto"/>
        <w:bottom w:val="none" w:sz="0" w:space="0" w:color="auto"/>
        <w:right w:val="none" w:sz="0" w:space="0" w:color="auto"/>
      </w:divBdr>
    </w:div>
    <w:div w:id="1960263433">
      <w:bodyDiv w:val="1"/>
      <w:marLeft w:val="0"/>
      <w:marRight w:val="0"/>
      <w:marTop w:val="0"/>
      <w:marBottom w:val="0"/>
      <w:divBdr>
        <w:top w:val="none" w:sz="0" w:space="0" w:color="auto"/>
        <w:left w:val="none" w:sz="0" w:space="0" w:color="auto"/>
        <w:bottom w:val="none" w:sz="0" w:space="0" w:color="auto"/>
        <w:right w:val="none" w:sz="0" w:space="0" w:color="auto"/>
      </w:divBdr>
    </w:div>
    <w:div w:id="1961259399">
      <w:bodyDiv w:val="1"/>
      <w:marLeft w:val="0"/>
      <w:marRight w:val="0"/>
      <w:marTop w:val="0"/>
      <w:marBottom w:val="0"/>
      <w:divBdr>
        <w:top w:val="none" w:sz="0" w:space="0" w:color="auto"/>
        <w:left w:val="none" w:sz="0" w:space="0" w:color="auto"/>
        <w:bottom w:val="none" w:sz="0" w:space="0" w:color="auto"/>
        <w:right w:val="none" w:sz="0" w:space="0" w:color="auto"/>
      </w:divBdr>
    </w:div>
    <w:div w:id="1968851211">
      <w:bodyDiv w:val="1"/>
      <w:marLeft w:val="0"/>
      <w:marRight w:val="0"/>
      <w:marTop w:val="0"/>
      <w:marBottom w:val="0"/>
      <w:divBdr>
        <w:top w:val="none" w:sz="0" w:space="0" w:color="auto"/>
        <w:left w:val="none" w:sz="0" w:space="0" w:color="auto"/>
        <w:bottom w:val="none" w:sz="0" w:space="0" w:color="auto"/>
        <w:right w:val="none" w:sz="0" w:space="0" w:color="auto"/>
      </w:divBdr>
    </w:div>
    <w:div w:id="1974820805">
      <w:bodyDiv w:val="1"/>
      <w:marLeft w:val="0"/>
      <w:marRight w:val="0"/>
      <w:marTop w:val="0"/>
      <w:marBottom w:val="0"/>
      <w:divBdr>
        <w:top w:val="none" w:sz="0" w:space="0" w:color="auto"/>
        <w:left w:val="none" w:sz="0" w:space="0" w:color="auto"/>
        <w:bottom w:val="none" w:sz="0" w:space="0" w:color="auto"/>
        <w:right w:val="none" w:sz="0" w:space="0" w:color="auto"/>
      </w:divBdr>
    </w:div>
    <w:div w:id="1983190285">
      <w:bodyDiv w:val="1"/>
      <w:marLeft w:val="0"/>
      <w:marRight w:val="0"/>
      <w:marTop w:val="0"/>
      <w:marBottom w:val="0"/>
      <w:divBdr>
        <w:top w:val="none" w:sz="0" w:space="0" w:color="auto"/>
        <w:left w:val="none" w:sz="0" w:space="0" w:color="auto"/>
        <w:bottom w:val="none" w:sz="0" w:space="0" w:color="auto"/>
        <w:right w:val="none" w:sz="0" w:space="0" w:color="auto"/>
      </w:divBdr>
    </w:div>
    <w:div w:id="1983196928">
      <w:bodyDiv w:val="1"/>
      <w:marLeft w:val="0"/>
      <w:marRight w:val="0"/>
      <w:marTop w:val="0"/>
      <w:marBottom w:val="0"/>
      <w:divBdr>
        <w:top w:val="none" w:sz="0" w:space="0" w:color="auto"/>
        <w:left w:val="none" w:sz="0" w:space="0" w:color="auto"/>
        <w:bottom w:val="none" w:sz="0" w:space="0" w:color="auto"/>
        <w:right w:val="none" w:sz="0" w:space="0" w:color="auto"/>
      </w:divBdr>
    </w:div>
    <w:div w:id="1991058489">
      <w:bodyDiv w:val="1"/>
      <w:marLeft w:val="0"/>
      <w:marRight w:val="0"/>
      <w:marTop w:val="0"/>
      <w:marBottom w:val="0"/>
      <w:divBdr>
        <w:top w:val="none" w:sz="0" w:space="0" w:color="auto"/>
        <w:left w:val="none" w:sz="0" w:space="0" w:color="auto"/>
        <w:bottom w:val="none" w:sz="0" w:space="0" w:color="auto"/>
        <w:right w:val="none" w:sz="0" w:space="0" w:color="auto"/>
      </w:divBdr>
    </w:div>
    <w:div w:id="1991713043">
      <w:bodyDiv w:val="1"/>
      <w:marLeft w:val="0"/>
      <w:marRight w:val="0"/>
      <w:marTop w:val="0"/>
      <w:marBottom w:val="0"/>
      <w:divBdr>
        <w:top w:val="none" w:sz="0" w:space="0" w:color="auto"/>
        <w:left w:val="none" w:sz="0" w:space="0" w:color="auto"/>
        <w:bottom w:val="none" w:sz="0" w:space="0" w:color="auto"/>
        <w:right w:val="none" w:sz="0" w:space="0" w:color="auto"/>
      </w:divBdr>
    </w:div>
    <w:div w:id="2000650005">
      <w:bodyDiv w:val="1"/>
      <w:marLeft w:val="0"/>
      <w:marRight w:val="0"/>
      <w:marTop w:val="0"/>
      <w:marBottom w:val="0"/>
      <w:divBdr>
        <w:top w:val="none" w:sz="0" w:space="0" w:color="auto"/>
        <w:left w:val="none" w:sz="0" w:space="0" w:color="auto"/>
        <w:bottom w:val="none" w:sz="0" w:space="0" w:color="auto"/>
        <w:right w:val="none" w:sz="0" w:space="0" w:color="auto"/>
      </w:divBdr>
    </w:div>
    <w:div w:id="2009867584">
      <w:bodyDiv w:val="1"/>
      <w:marLeft w:val="0"/>
      <w:marRight w:val="0"/>
      <w:marTop w:val="0"/>
      <w:marBottom w:val="0"/>
      <w:divBdr>
        <w:top w:val="none" w:sz="0" w:space="0" w:color="auto"/>
        <w:left w:val="none" w:sz="0" w:space="0" w:color="auto"/>
        <w:bottom w:val="none" w:sz="0" w:space="0" w:color="auto"/>
        <w:right w:val="none" w:sz="0" w:space="0" w:color="auto"/>
      </w:divBdr>
    </w:div>
    <w:div w:id="2010475683">
      <w:bodyDiv w:val="1"/>
      <w:marLeft w:val="0"/>
      <w:marRight w:val="0"/>
      <w:marTop w:val="0"/>
      <w:marBottom w:val="0"/>
      <w:divBdr>
        <w:top w:val="none" w:sz="0" w:space="0" w:color="auto"/>
        <w:left w:val="none" w:sz="0" w:space="0" w:color="auto"/>
        <w:bottom w:val="none" w:sz="0" w:space="0" w:color="auto"/>
        <w:right w:val="none" w:sz="0" w:space="0" w:color="auto"/>
      </w:divBdr>
    </w:div>
    <w:div w:id="2011058744">
      <w:bodyDiv w:val="1"/>
      <w:marLeft w:val="0"/>
      <w:marRight w:val="0"/>
      <w:marTop w:val="0"/>
      <w:marBottom w:val="0"/>
      <w:divBdr>
        <w:top w:val="none" w:sz="0" w:space="0" w:color="auto"/>
        <w:left w:val="none" w:sz="0" w:space="0" w:color="auto"/>
        <w:bottom w:val="none" w:sz="0" w:space="0" w:color="auto"/>
        <w:right w:val="none" w:sz="0" w:space="0" w:color="auto"/>
      </w:divBdr>
    </w:div>
    <w:div w:id="2012446353">
      <w:bodyDiv w:val="1"/>
      <w:marLeft w:val="0"/>
      <w:marRight w:val="0"/>
      <w:marTop w:val="0"/>
      <w:marBottom w:val="0"/>
      <w:divBdr>
        <w:top w:val="none" w:sz="0" w:space="0" w:color="auto"/>
        <w:left w:val="none" w:sz="0" w:space="0" w:color="auto"/>
        <w:bottom w:val="none" w:sz="0" w:space="0" w:color="auto"/>
        <w:right w:val="none" w:sz="0" w:space="0" w:color="auto"/>
      </w:divBdr>
    </w:div>
    <w:div w:id="2018847572">
      <w:bodyDiv w:val="1"/>
      <w:marLeft w:val="0"/>
      <w:marRight w:val="0"/>
      <w:marTop w:val="0"/>
      <w:marBottom w:val="0"/>
      <w:divBdr>
        <w:top w:val="none" w:sz="0" w:space="0" w:color="auto"/>
        <w:left w:val="none" w:sz="0" w:space="0" w:color="auto"/>
        <w:bottom w:val="none" w:sz="0" w:space="0" w:color="auto"/>
        <w:right w:val="none" w:sz="0" w:space="0" w:color="auto"/>
      </w:divBdr>
    </w:div>
    <w:div w:id="2036341596">
      <w:bodyDiv w:val="1"/>
      <w:marLeft w:val="0"/>
      <w:marRight w:val="0"/>
      <w:marTop w:val="0"/>
      <w:marBottom w:val="0"/>
      <w:divBdr>
        <w:top w:val="none" w:sz="0" w:space="0" w:color="auto"/>
        <w:left w:val="none" w:sz="0" w:space="0" w:color="auto"/>
        <w:bottom w:val="none" w:sz="0" w:space="0" w:color="auto"/>
        <w:right w:val="none" w:sz="0" w:space="0" w:color="auto"/>
      </w:divBdr>
    </w:div>
    <w:div w:id="2038120060">
      <w:bodyDiv w:val="1"/>
      <w:marLeft w:val="0"/>
      <w:marRight w:val="0"/>
      <w:marTop w:val="0"/>
      <w:marBottom w:val="0"/>
      <w:divBdr>
        <w:top w:val="none" w:sz="0" w:space="0" w:color="auto"/>
        <w:left w:val="none" w:sz="0" w:space="0" w:color="auto"/>
        <w:bottom w:val="none" w:sz="0" w:space="0" w:color="auto"/>
        <w:right w:val="none" w:sz="0" w:space="0" w:color="auto"/>
      </w:divBdr>
    </w:div>
    <w:div w:id="2047172183">
      <w:bodyDiv w:val="1"/>
      <w:marLeft w:val="0"/>
      <w:marRight w:val="0"/>
      <w:marTop w:val="0"/>
      <w:marBottom w:val="0"/>
      <w:divBdr>
        <w:top w:val="none" w:sz="0" w:space="0" w:color="auto"/>
        <w:left w:val="none" w:sz="0" w:space="0" w:color="auto"/>
        <w:bottom w:val="none" w:sz="0" w:space="0" w:color="auto"/>
        <w:right w:val="none" w:sz="0" w:space="0" w:color="auto"/>
      </w:divBdr>
    </w:div>
    <w:div w:id="2052798733">
      <w:bodyDiv w:val="1"/>
      <w:marLeft w:val="0"/>
      <w:marRight w:val="0"/>
      <w:marTop w:val="0"/>
      <w:marBottom w:val="0"/>
      <w:divBdr>
        <w:top w:val="none" w:sz="0" w:space="0" w:color="auto"/>
        <w:left w:val="none" w:sz="0" w:space="0" w:color="auto"/>
        <w:bottom w:val="none" w:sz="0" w:space="0" w:color="auto"/>
        <w:right w:val="none" w:sz="0" w:space="0" w:color="auto"/>
      </w:divBdr>
    </w:div>
    <w:div w:id="2054385093">
      <w:bodyDiv w:val="1"/>
      <w:marLeft w:val="0"/>
      <w:marRight w:val="0"/>
      <w:marTop w:val="0"/>
      <w:marBottom w:val="0"/>
      <w:divBdr>
        <w:top w:val="none" w:sz="0" w:space="0" w:color="auto"/>
        <w:left w:val="none" w:sz="0" w:space="0" w:color="auto"/>
        <w:bottom w:val="none" w:sz="0" w:space="0" w:color="auto"/>
        <w:right w:val="none" w:sz="0" w:space="0" w:color="auto"/>
      </w:divBdr>
    </w:div>
    <w:div w:id="2069495953">
      <w:bodyDiv w:val="1"/>
      <w:marLeft w:val="0"/>
      <w:marRight w:val="0"/>
      <w:marTop w:val="0"/>
      <w:marBottom w:val="0"/>
      <w:divBdr>
        <w:top w:val="none" w:sz="0" w:space="0" w:color="auto"/>
        <w:left w:val="none" w:sz="0" w:space="0" w:color="auto"/>
        <w:bottom w:val="none" w:sz="0" w:space="0" w:color="auto"/>
        <w:right w:val="none" w:sz="0" w:space="0" w:color="auto"/>
      </w:divBdr>
    </w:div>
    <w:div w:id="2070688354">
      <w:bodyDiv w:val="1"/>
      <w:marLeft w:val="0"/>
      <w:marRight w:val="0"/>
      <w:marTop w:val="0"/>
      <w:marBottom w:val="0"/>
      <w:divBdr>
        <w:top w:val="none" w:sz="0" w:space="0" w:color="auto"/>
        <w:left w:val="none" w:sz="0" w:space="0" w:color="auto"/>
        <w:bottom w:val="none" w:sz="0" w:space="0" w:color="auto"/>
        <w:right w:val="none" w:sz="0" w:space="0" w:color="auto"/>
      </w:divBdr>
    </w:div>
    <w:div w:id="2076471427">
      <w:bodyDiv w:val="1"/>
      <w:marLeft w:val="0"/>
      <w:marRight w:val="0"/>
      <w:marTop w:val="0"/>
      <w:marBottom w:val="0"/>
      <w:divBdr>
        <w:top w:val="none" w:sz="0" w:space="0" w:color="auto"/>
        <w:left w:val="none" w:sz="0" w:space="0" w:color="auto"/>
        <w:bottom w:val="none" w:sz="0" w:space="0" w:color="auto"/>
        <w:right w:val="none" w:sz="0" w:space="0" w:color="auto"/>
      </w:divBdr>
    </w:div>
    <w:div w:id="2079159800">
      <w:bodyDiv w:val="1"/>
      <w:marLeft w:val="0"/>
      <w:marRight w:val="0"/>
      <w:marTop w:val="0"/>
      <w:marBottom w:val="0"/>
      <w:divBdr>
        <w:top w:val="none" w:sz="0" w:space="0" w:color="auto"/>
        <w:left w:val="none" w:sz="0" w:space="0" w:color="auto"/>
        <w:bottom w:val="none" w:sz="0" w:space="0" w:color="auto"/>
        <w:right w:val="none" w:sz="0" w:space="0" w:color="auto"/>
      </w:divBdr>
    </w:div>
    <w:div w:id="2086537292">
      <w:bodyDiv w:val="1"/>
      <w:marLeft w:val="0"/>
      <w:marRight w:val="0"/>
      <w:marTop w:val="0"/>
      <w:marBottom w:val="0"/>
      <w:divBdr>
        <w:top w:val="none" w:sz="0" w:space="0" w:color="auto"/>
        <w:left w:val="none" w:sz="0" w:space="0" w:color="auto"/>
        <w:bottom w:val="none" w:sz="0" w:space="0" w:color="auto"/>
        <w:right w:val="none" w:sz="0" w:space="0" w:color="auto"/>
      </w:divBdr>
    </w:div>
    <w:div w:id="2090074599">
      <w:bodyDiv w:val="1"/>
      <w:marLeft w:val="0"/>
      <w:marRight w:val="0"/>
      <w:marTop w:val="0"/>
      <w:marBottom w:val="0"/>
      <w:divBdr>
        <w:top w:val="none" w:sz="0" w:space="0" w:color="auto"/>
        <w:left w:val="none" w:sz="0" w:space="0" w:color="auto"/>
        <w:bottom w:val="none" w:sz="0" w:space="0" w:color="auto"/>
        <w:right w:val="none" w:sz="0" w:space="0" w:color="auto"/>
      </w:divBdr>
    </w:div>
    <w:div w:id="2099206469">
      <w:bodyDiv w:val="1"/>
      <w:marLeft w:val="0"/>
      <w:marRight w:val="0"/>
      <w:marTop w:val="0"/>
      <w:marBottom w:val="0"/>
      <w:divBdr>
        <w:top w:val="none" w:sz="0" w:space="0" w:color="auto"/>
        <w:left w:val="none" w:sz="0" w:space="0" w:color="auto"/>
        <w:bottom w:val="none" w:sz="0" w:space="0" w:color="auto"/>
        <w:right w:val="none" w:sz="0" w:space="0" w:color="auto"/>
      </w:divBdr>
    </w:div>
    <w:div w:id="2099906286">
      <w:bodyDiv w:val="1"/>
      <w:marLeft w:val="0"/>
      <w:marRight w:val="0"/>
      <w:marTop w:val="0"/>
      <w:marBottom w:val="0"/>
      <w:divBdr>
        <w:top w:val="none" w:sz="0" w:space="0" w:color="auto"/>
        <w:left w:val="none" w:sz="0" w:space="0" w:color="auto"/>
        <w:bottom w:val="none" w:sz="0" w:space="0" w:color="auto"/>
        <w:right w:val="none" w:sz="0" w:space="0" w:color="auto"/>
      </w:divBdr>
    </w:div>
    <w:div w:id="2116052027">
      <w:bodyDiv w:val="1"/>
      <w:marLeft w:val="0"/>
      <w:marRight w:val="0"/>
      <w:marTop w:val="0"/>
      <w:marBottom w:val="0"/>
      <w:divBdr>
        <w:top w:val="none" w:sz="0" w:space="0" w:color="auto"/>
        <w:left w:val="none" w:sz="0" w:space="0" w:color="auto"/>
        <w:bottom w:val="none" w:sz="0" w:space="0" w:color="auto"/>
        <w:right w:val="none" w:sz="0" w:space="0" w:color="auto"/>
      </w:divBdr>
    </w:div>
    <w:div w:id="2116096837">
      <w:bodyDiv w:val="1"/>
      <w:marLeft w:val="0"/>
      <w:marRight w:val="0"/>
      <w:marTop w:val="0"/>
      <w:marBottom w:val="0"/>
      <w:divBdr>
        <w:top w:val="none" w:sz="0" w:space="0" w:color="auto"/>
        <w:left w:val="none" w:sz="0" w:space="0" w:color="auto"/>
        <w:bottom w:val="none" w:sz="0" w:space="0" w:color="auto"/>
        <w:right w:val="none" w:sz="0" w:space="0" w:color="auto"/>
      </w:divBdr>
    </w:div>
    <w:div w:id="2124691758">
      <w:bodyDiv w:val="1"/>
      <w:marLeft w:val="0"/>
      <w:marRight w:val="0"/>
      <w:marTop w:val="0"/>
      <w:marBottom w:val="0"/>
      <w:divBdr>
        <w:top w:val="none" w:sz="0" w:space="0" w:color="auto"/>
        <w:left w:val="none" w:sz="0" w:space="0" w:color="auto"/>
        <w:bottom w:val="none" w:sz="0" w:space="0" w:color="auto"/>
        <w:right w:val="none" w:sz="0" w:space="0" w:color="auto"/>
      </w:divBdr>
    </w:div>
    <w:div w:id="2136367062">
      <w:bodyDiv w:val="1"/>
      <w:marLeft w:val="0"/>
      <w:marRight w:val="0"/>
      <w:marTop w:val="0"/>
      <w:marBottom w:val="0"/>
      <w:divBdr>
        <w:top w:val="none" w:sz="0" w:space="0" w:color="auto"/>
        <w:left w:val="none" w:sz="0" w:space="0" w:color="auto"/>
        <w:bottom w:val="none" w:sz="0" w:space="0" w:color="auto"/>
        <w:right w:val="none" w:sz="0" w:space="0" w:color="auto"/>
      </w:divBdr>
    </w:div>
    <w:div w:id="2139378191">
      <w:bodyDiv w:val="1"/>
      <w:marLeft w:val="0"/>
      <w:marRight w:val="0"/>
      <w:marTop w:val="0"/>
      <w:marBottom w:val="0"/>
      <w:divBdr>
        <w:top w:val="none" w:sz="0" w:space="0" w:color="auto"/>
        <w:left w:val="none" w:sz="0" w:space="0" w:color="auto"/>
        <w:bottom w:val="none" w:sz="0" w:space="0" w:color="auto"/>
        <w:right w:val="none" w:sz="0" w:space="0" w:color="auto"/>
      </w:divBdr>
    </w:div>
    <w:div w:id="2142184508">
      <w:bodyDiv w:val="1"/>
      <w:marLeft w:val="0"/>
      <w:marRight w:val="0"/>
      <w:marTop w:val="0"/>
      <w:marBottom w:val="0"/>
      <w:divBdr>
        <w:top w:val="none" w:sz="0" w:space="0" w:color="auto"/>
        <w:left w:val="none" w:sz="0" w:space="0" w:color="auto"/>
        <w:bottom w:val="none" w:sz="0" w:space="0" w:color="auto"/>
        <w:right w:val="none" w:sz="0" w:space="0" w:color="auto"/>
      </w:divBdr>
    </w:div>
    <w:div w:id="214349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7.bin"/><Relationship Id="rId21" Type="http://schemas.openxmlformats.org/officeDocument/2006/relationships/image" Target="media/image7.wmf"/><Relationship Id="rId42" Type="http://schemas.openxmlformats.org/officeDocument/2006/relationships/chart" Target="charts/chart2.xml"/><Relationship Id="rId63" Type="http://schemas.openxmlformats.org/officeDocument/2006/relationships/chart" Target="charts/chart9.xml"/><Relationship Id="rId84" Type="http://schemas.openxmlformats.org/officeDocument/2006/relationships/image" Target="media/image41.emf"/><Relationship Id="rId138" Type="http://schemas.openxmlformats.org/officeDocument/2006/relationships/image" Target="media/image70.wmf"/><Relationship Id="rId159" Type="http://schemas.openxmlformats.org/officeDocument/2006/relationships/image" Target="media/image79.wmf"/><Relationship Id="rId170" Type="http://schemas.openxmlformats.org/officeDocument/2006/relationships/image" Target="media/image84.wmf"/><Relationship Id="rId191" Type="http://schemas.openxmlformats.org/officeDocument/2006/relationships/oleObject" Target="embeddings/oleObject57.bin"/><Relationship Id="rId205" Type="http://schemas.openxmlformats.org/officeDocument/2006/relationships/oleObject" Target="embeddings/oleObject64.bin"/><Relationship Id="rId226" Type="http://schemas.openxmlformats.org/officeDocument/2006/relationships/image" Target="media/image112.wmf"/><Relationship Id="rId247" Type="http://schemas.openxmlformats.org/officeDocument/2006/relationships/oleObject" Target="embeddings/oleObject85.bin"/><Relationship Id="rId107" Type="http://schemas.openxmlformats.org/officeDocument/2006/relationships/image" Target="media/image55.jpeg"/><Relationship Id="rId11" Type="http://schemas.openxmlformats.org/officeDocument/2006/relationships/image" Target="media/image2.wmf"/><Relationship Id="rId32" Type="http://schemas.openxmlformats.org/officeDocument/2006/relationships/footer" Target="footer5.xml"/><Relationship Id="rId53" Type="http://schemas.openxmlformats.org/officeDocument/2006/relationships/image" Target="media/image23.jpeg"/><Relationship Id="rId74" Type="http://schemas.openxmlformats.org/officeDocument/2006/relationships/chart" Target="charts/chart14.xml"/><Relationship Id="rId128" Type="http://schemas.openxmlformats.org/officeDocument/2006/relationships/image" Target="media/image65.wmf"/><Relationship Id="rId149" Type="http://schemas.openxmlformats.org/officeDocument/2006/relationships/oleObject" Target="embeddings/oleObject35.bin"/><Relationship Id="rId5" Type="http://schemas.openxmlformats.org/officeDocument/2006/relationships/settings" Target="settings.xml"/><Relationship Id="rId95" Type="http://schemas.openxmlformats.org/officeDocument/2006/relationships/image" Target="media/image48.jpeg"/><Relationship Id="rId160" Type="http://schemas.openxmlformats.org/officeDocument/2006/relationships/oleObject" Target="embeddings/oleObject41.bin"/><Relationship Id="rId181" Type="http://schemas.openxmlformats.org/officeDocument/2006/relationships/oleObject" Target="embeddings/oleObject52.bin"/><Relationship Id="rId216" Type="http://schemas.openxmlformats.org/officeDocument/2006/relationships/image" Target="media/image107.wmf"/><Relationship Id="rId237" Type="http://schemas.openxmlformats.org/officeDocument/2006/relationships/oleObject" Target="embeddings/oleObject80.bin"/><Relationship Id="rId258" Type="http://schemas.openxmlformats.org/officeDocument/2006/relationships/theme" Target="theme/theme1.xml"/><Relationship Id="rId22" Type="http://schemas.openxmlformats.org/officeDocument/2006/relationships/oleObject" Target="embeddings/oleObject7.bin"/><Relationship Id="rId43" Type="http://schemas.openxmlformats.org/officeDocument/2006/relationships/chart" Target="charts/chart3.xml"/><Relationship Id="rId64" Type="http://schemas.openxmlformats.org/officeDocument/2006/relationships/chart" Target="charts/chart10.xml"/><Relationship Id="rId118" Type="http://schemas.openxmlformats.org/officeDocument/2006/relationships/image" Target="media/image61.wmf"/><Relationship Id="rId139" Type="http://schemas.openxmlformats.org/officeDocument/2006/relationships/oleObject" Target="embeddings/oleObject29.bin"/><Relationship Id="rId85" Type="http://schemas.openxmlformats.org/officeDocument/2006/relationships/image" Target="media/image42.emf"/><Relationship Id="rId150" Type="http://schemas.openxmlformats.org/officeDocument/2006/relationships/image" Target="media/image75.wmf"/><Relationship Id="rId171" Type="http://schemas.openxmlformats.org/officeDocument/2006/relationships/oleObject" Target="embeddings/oleObject47.bin"/><Relationship Id="rId192" Type="http://schemas.openxmlformats.org/officeDocument/2006/relationships/image" Target="media/image95.wmf"/><Relationship Id="rId206" Type="http://schemas.openxmlformats.org/officeDocument/2006/relationships/image" Target="media/image102.wmf"/><Relationship Id="rId227" Type="http://schemas.openxmlformats.org/officeDocument/2006/relationships/oleObject" Target="embeddings/oleObject75.bin"/><Relationship Id="rId248" Type="http://schemas.openxmlformats.org/officeDocument/2006/relationships/image" Target="media/image123.wmf"/><Relationship Id="rId12" Type="http://schemas.openxmlformats.org/officeDocument/2006/relationships/oleObject" Target="embeddings/oleObject2.bin"/><Relationship Id="rId33" Type="http://schemas.openxmlformats.org/officeDocument/2006/relationships/image" Target="media/image10.jpeg"/><Relationship Id="rId108" Type="http://schemas.openxmlformats.org/officeDocument/2006/relationships/image" Target="media/image56.wmf"/><Relationship Id="rId129" Type="http://schemas.openxmlformats.org/officeDocument/2006/relationships/oleObject" Target="embeddings/oleObject24.bin"/><Relationship Id="rId54"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image" Target="media/image35.jpeg"/><Relationship Id="rId91" Type="http://schemas.openxmlformats.org/officeDocument/2006/relationships/chart" Target="charts/chart16.xml"/><Relationship Id="rId96" Type="http://schemas.openxmlformats.org/officeDocument/2006/relationships/chart" Target="charts/chart19.xml"/><Relationship Id="rId140" Type="http://schemas.openxmlformats.org/officeDocument/2006/relationships/image" Target="media/image71.wmf"/><Relationship Id="rId145" Type="http://schemas.openxmlformats.org/officeDocument/2006/relationships/oleObject" Target="embeddings/oleObject32.bin"/><Relationship Id="rId161" Type="http://schemas.openxmlformats.org/officeDocument/2006/relationships/oleObject" Target="embeddings/oleObject42.bin"/><Relationship Id="rId166" Type="http://schemas.openxmlformats.org/officeDocument/2006/relationships/image" Target="media/image82.wmf"/><Relationship Id="rId182" Type="http://schemas.openxmlformats.org/officeDocument/2006/relationships/image" Target="media/image90.wmf"/><Relationship Id="rId187" Type="http://schemas.openxmlformats.org/officeDocument/2006/relationships/oleObject" Target="embeddings/oleObject55.bin"/><Relationship Id="rId217" Type="http://schemas.openxmlformats.org/officeDocument/2006/relationships/oleObject" Target="embeddings/oleObject70.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5.wmf"/><Relationship Id="rId233" Type="http://schemas.openxmlformats.org/officeDocument/2006/relationships/oleObject" Target="embeddings/oleObject78.bin"/><Relationship Id="rId238" Type="http://schemas.openxmlformats.org/officeDocument/2006/relationships/image" Target="media/image118.wmf"/><Relationship Id="rId254" Type="http://schemas.openxmlformats.org/officeDocument/2006/relationships/footer" Target="footer9.xml"/><Relationship Id="rId23" Type="http://schemas.openxmlformats.org/officeDocument/2006/relationships/image" Target="media/image8.wmf"/><Relationship Id="rId28" Type="http://schemas.openxmlformats.org/officeDocument/2006/relationships/footer" Target="footer1.xml"/><Relationship Id="rId49" Type="http://schemas.openxmlformats.org/officeDocument/2006/relationships/image" Target="media/image19.emf"/><Relationship Id="rId114" Type="http://schemas.openxmlformats.org/officeDocument/2006/relationships/image" Target="media/image59.wmf"/><Relationship Id="rId119" Type="http://schemas.openxmlformats.org/officeDocument/2006/relationships/oleObject" Target="embeddings/oleObject18.bin"/><Relationship Id="rId44" Type="http://schemas.openxmlformats.org/officeDocument/2006/relationships/chart" Target="charts/chart4.xml"/><Relationship Id="rId60" Type="http://schemas.openxmlformats.org/officeDocument/2006/relationships/chart" Target="charts/chart8.xml"/><Relationship Id="rId65" Type="http://schemas.openxmlformats.org/officeDocument/2006/relationships/chart" Target="charts/chart11.xml"/><Relationship Id="rId81" Type="http://schemas.openxmlformats.org/officeDocument/2006/relationships/image" Target="media/image38.emf"/><Relationship Id="rId86" Type="http://schemas.openxmlformats.org/officeDocument/2006/relationships/image" Target="media/image43.jpeg"/><Relationship Id="rId130" Type="http://schemas.openxmlformats.org/officeDocument/2006/relationships/image" Target="media/image66.wmf"/><Relationship Id="rId135" Type="http://schemas.openxmlformats.org/officeDocument/2006/relationships/oleObject" Target="embeddings/oleObject27.bin"/><Relationship Id="rId151" Type="http://schemas.openxmlformats.org/officeDocument/2006/relationships/oleObject" Target="embeddings/oleObject36.bin"/><Relationship Id="rId156" Type="http://schemas.openxmlformats.org/officeDocument/2006/relationships/image" Target="media/image78.wmf"/><Relationship Id="rId177" Type="http://schemas.openxmlformats.org/officeDocument/2006/relationships/oleObject" Target="embeddings/oleObject50.bin"/><Relationship Id="rId198" Type="http://schemas.openxmlformats.org/officeDocument/2006/relationships/image" Target="media/image98.wmf"/><Relationship Id="rId172" Type="http://schemas.openxmlformats.org/officeDocument/2006/relationships/image" Target="media/image85.wmf"/><Relationship Id="rId193" Type="http://schemas.openxmlformats.org/officeDocument/2006/relationships/oleObject" Target="embeddings/oleObject58.bin"/><Relationship Id="rId202" Type="http://schemas.openxmlformats.org/officeDocument/2006/relationships/image" Target="media/image100.wmf"/><Relationship Id="rId207" Type="http://schemas.openxmlformats.org/officeDocument/2006/relationships/oleObject" Target="embeddings/oleObject65.bin"/><Relationship Id="rId223" Type="http://schemas.openxmlformats.org/officeDocument/2006/relationships/oleObject" Target="embeddings/oleObject73.bin"/><Relationship Id="rId228" Type="http://schemas.openxmlformats.org/officeDocument/2006/relationships/image" Target="media/image113.wmf"/><Relationship Id="rId244" Type="http://schemas.openxmlformats.org/officeDocument/2006/relationships/image" Target="media/image121.wmf"/><Relationship Id="rId249" Type="http://schemas.openxmlformats.org/officeDocument/2006/relationships/oleObject" Target="embeddings/oleObject86.bin"/><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4.emf"/><Relationship Id="rId109" Type="http://schemas.openxmlformats.org/officeDocument/2006/relationships/oleObject" Target="embeddings/oleObject13.bin"/><Relationship Id="rId34" Type="http://schemas.openxmlformats.org/officeDocument/2006/relationships/image" Target="media/image11.jpeg"/><Relationship Id="rId50" Type="http://schemas.openxmlformats.org/officeDocument/2006/relationships/image" Target="media/image20.emf"/><Relationship Id="rId55" Type="http://schemas.openxmlformats.org/officeDocument/2006/relationships/image" Target="media/image25.jpeg"/><Relationship Id="rId76" Type="http://schemas.openxmlformats.org/officeDocument/2006/relationships/footer" Target="footer6.xml"/><Relationship Id="rId97" Type="http://schemas.openxmlformats.org/officeDocument/2006/relationships/chart" Target="charts/chart20.xml"/><Relationship Id="rId104" Type="http://schemas.openxmlformats.org/officeDocument/2006/relationships/image" Target="media/image53.jpeg"/><Relationship Id="rId120" Type="http://schemas.openxmlformats.org/officeDocument/2006/relationships/image" Target="media/image62.wmf"/><Relationship Id="rId125" Type="http://schemas.openxmlformats.org/officeDocument/2006/relationships/oleObject" Target="embeddings/oleObject21.bin"/><Relationship Id="rId141" Type="http://schemas.openxmlformats.org/officeDocument/2006/relationships/oleObject" Target="embeddings/oleObject30.bin"/><Relationship Id="rId146" Type="http://schemas.openxmlformats.org/officeDocument/2006/relationships/oleObject" Target="embeddings/oleObject33.bin"/><Relationship Id="rId167" Type="http://schemas.openxmlformats.org/officeDocument/2006/relationships/oleObject" Target="embeddings/oleObject45.bin"/><Relationship Id="rId188" Type="http://schemas.openxmlformats.org/officeDocument/2006/relationships/image" Target="media/image93.wmf"/><Relationship Id="rId7" Type="http://schemas.openxmlformats.org/officeDocument/2006/relationships/footnotes" Target="footnotes.xml"/><Relationship Id="rId71" Type="http://schemas.openxmlformats.org/officeDocument/2006/relationships/image" Target="media/image33.jpeg"/><Relationship Id="rId92" Type="http://schemas.openxmlformats.org/officeDocument/2006/relationships/chart" Target="charts/chart17.xml"/><Relationship Id="rId162" Type="http://schemas.openxmlformats.org/officeDocument/2006/relationships/image" Target="media/image80.wmf"/><Relationship Id="rId183" Type="http://schemas.openxmlformats.org/officeDocument/2006/relationships/oleObject" Target="embeddings/oleObject53.bin"/><Relationship Id="rId213" Type="http://schemas.openxmlformats.org/officeDocument/2006/relationships/oleObject" Target="embeddings/oleObject68.bin"/><Relationship Id="rId218" Type="http://schemas.openxmlformats.org/officeDocument/2006/relationships/image" Target="media/image108.wmf"/><Relationship Id="rId234" Type="http://schemas.openxmlformats.org/officeDocument/2006/relationships/image" Target="media/image116.wmf"/><Relationship Id="rId239" Type="http://schemas.openxmlformats.org/officeDocument/2006/relationships/oleObject" Target="embeddings/oleObject81.bin"/><Relationship Id="rId2" Type="http://schemas.openxmlformats.org/officeDocument/2006/relationships/numbering" Target="numbering.xml"/><Relationship Id="rId29" Type="http://schemas.openxmlformats.org/officeDocument/2006/relationships/footer" Target="footer2.xml"/><Relationship Id="rId250" Type="http://schemas.openxmlformats.org/officeDocument/2006/relationships/oleObject" Target="embeddings/oleObject87.bin"/><Relationship Id="rId255" Type="http://schemas.openxmlformats.org/officeDocument/2006/relationships/footer" Target="footer10.xml"/><Relationship Id="rId24" Type="http://schemas.openxmlformats.org/officeDocument/2006/relationships/oleObject" Target="embeddings/oleObject8.bin"/><Relationship Id="rId40" Type="http://schemas.openxmlformats.org/officeDocument/2006/relationships/oleObject" Target="embeddings/oleObject12.bin"/><Relationship Id="rId45" Type="http://schemas.openxmlformats.org/officeDocument/2006/relationships/image" Target="media/image15.jpeg"/><Relationship Id="rId66" Type="http://schemas.openxmlformats.org/officeDocument/2006/relationships/chart" Target="charts/chart12.xml"/><Relationship Id="rId87" Type="http://schemas.openxmlformats.org/officeDocument/2006/relationships/image" Target="media/image44.jpeg"/><Relationship Id="rId110" Type="http://schemas.openxmlformats.org/officeDocument/2006/relationships/image" Target="media/image57.wmf"/><Relationship Id="rId115" Type="http://schemas.openxmlformats.org/officeDocument/2006/relationships/oleObject" Target="embeddings/oleObject16.bin"/><Relationship Id="rId131" Type="http://schemas.openxmlformats.org/officeDocument/2006/relationships/oleObject" Target="embeddings/oleObject25.bin"/><Relationship Id="rId136" Type="http://schemas.openxmlformats.org/officeDocument/2006/relationships/image" Target="media/image69.wmf"/><Relationship Id="rId157" Type="http://schemas.openxmlformats.org/officeDocument/2006/relationships/oleObject" Target="embeddings/oleObject39.bin"/><Relationship Id="rId178" Type="http://schemas.openxmlformats.org/officeDocument/2006/relationships/image" Target="media/image88.wmf"/><Relationship Id="rId61" Type="http://schemas.openxmlformats.org/officeDocument/2006/relationships/image" Target="media/image27.jpeg"/><Relationship Id="rId82" Type="http://schemas.openxmlformats.org/officeDocument/2006/relationships/image" Target="media/image39.emf"/><Relationship Id="rId152" Type="http://schemas.openxmlformats.org/officeDocument/2006/relationships/image" Target="media/image76.wmf"/><Relationship Id="rId173" Type="http://schemas.openxmlformats.org/officeDocument/2006/relationships/oleObject" Target="embeddings/oleObject48.bin"/><Relationship Id="rId194" Type="http://schemas.openxmlformats.org/officeDocument/2006/relationships/image" Target="media/image96.wmf"/><Relationship Id="rId199" Type="http://schemas.openxmlformats.org/officeDocument/2006/relationships/oleObject" Target="embeddings/oleObject61.bin"/><Relationship Id="rId203" Type="http://schemas.openxmlformats.org/officeDocument/2006/relationships/oleObject" Target="embeddings/oleObject63.bin"/><Relationship Id="rId208" Type="http://schemas.openxmlformats.org/officeDocument/2006/relationships/image" Target="media/image103.wmf"/><Relationship Id="rId229" Type="http://schemas.openxmlformats.org/officeDocument/2006/relationships/oleObject" Target="embeddings/oleObject76.bin"/><Relationship Id="rId19" Type="http://schemas.openxmlformats.org/officeDocument/2006/relationships/image" Target="media/image6.wmf"/><Relationship Id="rId224" Type="http://schemas.openxmlformats.org/officeDocument/2006/relationships/image" Target="media/image111.wmf"/><Relationship Id="rId240" Type="http://schemas.openxmlformats.org/officeDocument/2006/relationships/image" Target="media/image119.wmf"/><Relationship Id="rId245" Type="http://schemas.openxmlformats.org/officeDocument/2006/relationships/oleObject" Target="embeddings/oleObject84.bin"/><Relationship Id="rId14" Type="http://schemas.openxmlformats.org/officeDocument/2006/relationships/oleObject" Target="embeddings/oleObject3.bin"/><Relationship Id="rId30" Type="http://schemas.openxmlformats.org/officeDocument/2006/relationships/footer" Target="footer3.xml"/><Relationship Id="rId35" Type="http://schemas.openxmlformats.org/officeDocument/2006/relationships/image" Target="media/image12.emf"/><Relationship Id="rId56" Type="http://schemas.openxmlformats.org/officeDocument/2006/relationships/image" Target="media/image26.jpeg"/><Relationship Id="rId77" Type="http://schemas.openxmlformats.org/officeDocument/2006/relationships/footer" Target="footer7.xml"/><Relationship Id="rId100" Type="http://schemas.openxmlformats.org/officeDocument/2006/relationships/image" Target="media/image49.jpeg"/><Relationship Id="rId105" Type="http://schemas.openxmlformats.org/officeDocument/2006/relationships/image" Target="media/image54.jpeg"/><Relationship Id="rId126" Type="http://schemas.openxmlformats.org/officeDocument/2006/relationships/oleObject" Target="embeddings/oleObject22.bin"/><Relationship Id="rId147" Type="http://schemas.openxmlformats.org/officeDocument/2006/relationships/oleObject" Target="embeddings/oleObject34.bin"/><Relationship Id="rId168" Type="http://schemas.openxmlformats.org/officeDocument/2006/relationships/image" Target="media/image83.wmf"/><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34.jpeg"/><Relationship Id="rId93" Type="http://schemas.openxmlformats.org/officeDocument/2006/relationships/chart" Target="charts/chart18.xml"/><Relationship Id="rId98" Type="http://schemas.openxmlformats.org/officeDocument/2006/relationships/chart" Target="charts/chart21.xml"/><Relationship Id="rId121" Type="http://schemas.openxmlformats.org/officeDocument/2006/relationships/oleObject" Target="embeddings/oleObject19.bin"/><Relationship Id="rId142" Type="http://schemas.openxmlformats.org/officeDocument/2006/relationships/image" Target="media/image72.wmf"/><Relationship Id="rId163" Type="http://schemas.openxmlformats.org/officeDocument/2006/relationships/oleObject" Target="embeddings/oleObject43.bin"/><Relationship Id="rId184" Type="http://schemas.openxmlformats.org/officeDocument/2006/relationships/image" Target="media/image91.wmf"/><Relationship Id="rId189" Type="http://schemas.openxmlformats.org/officeDocument/2006/relationships/oleObject" Target="embeddings/oleObject56.bin"/><Relationship Id="rId219" Type="http://schemas.openxmlformats.org/officeDocument/2006/relationships/oleObject" Target="embeddings/oleObject71.bin"/><Relationship Id="rId3" Type="http://schemas.openxmlformats.org/officeDocument/2006/relationships/styles" Target="styles.xml"/><Relationship Id="rId214" Type="http://schemas.openxmlformats.org/officeDocument/2006/relationships/image" Target="media/image106.wmf"/><Relationship Id="rId230" Type="http://schemas.openxmlformats.org/officeDocument/2006/relationships/image" Target="media/image114.wmf"/><Relationship Id="rId235" Type="http://schemas.openxmlformats.org/officeDocument/2006/relationships/oleObject" Target="embeddings/oleObject79.bin"/><Relationship Id="rId251" Type="http://schemas.openxmlformats.org/officeDocument/2006/relationships/oleObject" Target="embeddings/oleObject88.bin"/><Relationship Id="rId256" Type="http://schemas.openxmlformats.org/officeDocument/2006/relationships/footer" Target="footer11.xml"/><Relationship Id="rId25" Type="http://schemas.openxmlformats.org/officeDocument/2006/relationships/image" Target="media/image9.wmf"/><Relationship Id="rId46" Type="http://schemas.openxmlformats.org/officeDocument/2006/relationships/image" Target="media/image16.jpeg"/><Relationship Id="rId67" Type="http://schemas.openxmlformats.org/officeDocument/2006/relationships/image" Target="media/image29.jpeg"/><Relationship Id="rId116" Type="http://schemas.openxmlformats.org/officeDocument/2006/relationships/image" Target="media/image60.wmf"/><Relationship Id="rId137" Type="http://schemas.openxmlformats.org/officeDocument/2006/relationships/oleObject" Target="embeddings/oleObject28.bin"/><Relationship Id="rId158" Type="http://schemas.openxmlformats.org/officeDocument/2006/relationships/oleObject" Target="embeddings/oleObject40.bin"/><Relationship Id="rId20" Type="http://schemas.openxmlformats.org/officeDocument/2006/relationships/oleObject" Target="embeddings/oleObject6.bin"/><Relationship Id="rId41" Type="http://schemas.openxmlformats.org/officeDocument/2006/relationships/chart" Target="charts/chart1.xml"/><Relationship Id="rId62" Type="http://schemas.openxmlformats.org/officeDocument/2006/relationships/image" Target="media/image28.jpeg"/><Relationship Id="rId83" Type="http://schemas.openxmlformats.org/officeDocument/2006/relationships/image" Target="media/image40.emf"/><Relationship Id="rId88" Type="http://schemas.openxmlformats.org/officeDocument/2006/relationships/image" Target="media/image45.jpeg"/><Relationship Id="rId111" Type="http://schemas.openxmlformats.org/officeDocument/2006/relationships/oleObject" Target="embeddings/oleObject14.bin"/><Relationship Id="rId132" Type="http://schemas.openxmlformats.org/officeDocument/2006/relationships/image" Target="media/image67.wmf"/><Relationship Id="rId153" Type="http://schemas.openxmlformats.org/officeDocument/2006/relationships/oleObject" Target="embeddings/oleObject37.bin"/><Relationship Id="rId174" Type="http://schemas.openxmlformats.org/officeDocument/2006/relationships/image" Target="media/image86.wmf"/><Relationship Id="rId179" Type="http://schemas.openxmlformats.org/officeDocument/2006/relationships/oleObject" Target="embeddings/oleObject51.bin"/><Relationship Id="rId195" Type="http://schemas.openxmlformats.org/officeDocument/2006/relationships/oleObject" Target="embeddings/oleObject59.bin"/><Relationship Id="rId209" Type="http://schemas.openxmlformats.org/officeDocument/2006/relationships/oleObject" Target="embeddings/oleObject66.bin"/><Relationship Id="rId190" Type="http://schemas.openxmlformats.org/officeDocument/2006/relationships/image" Target="media/image94.wmf"/><Relationship Id="rId204" Type="http://schemas.openxmlformats.org/officeDocument/2006/relationships/image" Target="media/image101.wmf"/><Relationship Id="rId220" Type="http://schemas.openxmlformats.org/officeDocument/2006/relationships/image" Target="media/image109.wmf"/><Relationship Id="rId225" Type="http://schemas.openxmlformats.org/officeDocument/2006/relationships/oleObject" Target="embeddings/oleObject74.bin"/><Relationship Id="rId241" Type="http://schemas.openxmlformats.org/officeDocument/2006/relationships/oleObject" Target="embeddings/oleObject82.bin"/><Relationship Id="rId246" Type="http://schemas.openxmlformats.org/officeDocument/2006/relationships/image" Target="media/image122.wmf"/><Relationship Id="rId15" Type="http://schemas.openxmlformats.org/officeDocument/2006/relationships/image" Target="media/image4.wmf"/><Relationship Id="rId36" Type="http://schemas.openxmlformats.org/officeDocument/2006/relationships/oleObject" Target="embeddings/oleObject10.bin"/><Relationship Id="rId57" Type="http://schemas.openxmlformats.org/officeDocument/2006/relationships/chart" Target="charts/chart5.xml"/><Relationship Id="rId106" Type="http://schemas.openxmlformats.org/officeDocument/2006/relationships/chart" Target="charts/chart23.xml"/><Relationship Id="rId127" Type="http://schemas.openxmlformats.org/officeDocument/2006/relationships/oleObject" Target="embeddings/oleObject23.bin"/><Relationship Id="rId10" Type="http://schemas.openxmlformats.org/officeDocument/2006/relationships/oleObject" Target="embeddings/oleObject1.bin"/><Relationship Id="rId31" Type="http://schemas.openxmlformats.org/officeDocument/2006/relationships/footer" Target="footer4.xml"/><Relationship Id="rId52" Type="http://schemas.openxmlformats.org/officeDocument/2006/relationships/image" Target="media/image22.emf"/><Relationship Id="rId73" Type="http://schemas.openxmlformats.org/officeDocument/2006/relationships/chart" Target="charts/chart13.xml"/><Relationship Id="rId78" Type="http://schemas.openxmlformats.org/officeDocument/2006/relationships/footer" Target="footer8.xml"/><Relationship Id="rId94" Type="http://schemas.openxmlformats.org/officeDocument/2006/relationships/image" Target="media/image47.jpeg"/><Relationship Id="rId99" Type="http://schemas.openxmlformats.org/officeDocument/2006/relationships/chart" Target="charts/chart22.xml"/><Relationship Id="rId101" Type="http://schemas.openxmlformats.org/officeDocument/2006/relationships/image" Target="media/image50.jpeg"/><Relationship Id="rId122" Type="http://schemas.openxmlformats.org/officeDocument/2006/relationships/image" Target="media/image63.wmf"/><Relationship Id="rId143" Type="http://schemas.openxmlformats.org/officeDocument/2006/relationships/oleObject" Target="embeddings/oleObject31.bin"/><Relationship Id="rId148" Type="http://schemas.openxmlformats.org/officeDocument/2006/relationships/image" Target="media/image74.wmf"/><Relationship Id="rId164" Type="http://schemas.openxmlformats.org/officeDocument/2006/relationships/image" Target="media/image81.wmf"/><Relationship Id="rId169" Type="http://schemas.openxmlformats.org/officeDocument/2006/relationships/oleObject" Target="embeddings/oleObject46.bin"/><Relationship Id="rId185" Type="http://schemas.openxmlformats.org/officeDocument/2006/relationships/oleObject" Target="embeddings/oleObject54.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89.wmf"/><Relationship Id="rId210" Type="http://schemas.openxmlformats.org/officeDocument/2006/relationships/image" Target="media/image104.wmf"/><Relationship Id="rId215" Type="http://schemas.openxmlformats.org/officeDocument/2006/relationships/oleObject" Target="embeddings/oleObject69.bin"/><Relationship Id="rId236" Type="http://schemas.openxmlformats.org/officeDocument/2006/relationships/image" Target="media/image117.wmf"/><Relationship Id="rId257" Type="http://schemas.openxmlformats.org/officeDocument/2006/relationships/fontTable" Target="fontTable.xml"/><Relationship Id="rId26" Type="http://schemas.openxmlformats.org/officeDocument/2006/relationships/oleObject" Target="embeddings/oleObject9.bin"/><Relationship Id="rId231" Type="http://schemas.openxmlformats.org/officeDocument/2006/relationships/oleObject" Target="embeddings/oleObject77.bin"/><Relationship Id="rId252" Type="http://schemas.openxmlformats.org/officeDocument/2006/relationships/oleObject" Target="embeddings/oleObject89.bin"/><Relationship Id="rId47" Type="http://schemas.openxmlformats.org/officeDocument/2006/relationships/image" Target="media/image17.emf"/><Relationship Id="rId68" Type="http://schemas.openxmlformats.org/officeDocument/2006/relationships/image" Target="media/image30.jpeg"/><Relationship Id="rId89" Type="http://schemas.openxmlformats.org/officeDocument/2006/relationships/image" Target="media/image46.jpeg"/><Relationship Id="rId112" Type="http://schemas.openxmlformats.org/officeDocument/2006/relationships/image" Target="media/image58.wmf"/><Relationship Id="rId133" Type="http://schemas.openxmlformats.org/officeDocument/2006/relationships/oleObject" Target="embeddings/oleObject26.bin"/><Relationship Id="rId154" Type="http://schemas.openxmlformats.org/officeDocument/2006/relationships/image" Target="media/image77.wmf"/><Relationship Id="rId175" Type="http://schemas.openxmlformats.org/officeDocument/2006/relationships/oleObject" Target="embeddings/oleObject49.bin"/><Relationship Id="rId196" Type="http://schemas.openxmlformats.org/officeDocument/2006/relationships/image" Target="media/image97.wmf"/><Relationship Id="rId200" Type="http://schemas.openxmlformats.org/officeDocument/2006/relationships/image" Target="media/image99.wmf"/><Relationship Id="rId16" Type="http://schemas.openxmlformats.org/officeDocument/2006/relationships/oleObject" Target="embeddings/oleObject4.bin"/><Relationship Id="rId221" Type="http://schemas.openxmlformats.org/officeDocument/2006/relationships/oleObject" Target="embeddings/oleObject72.bin"/><Relationship Id="rId242" Type="http://schemas.openxmlformats.org/officeDocument/2006/relationships/image" Target="media/image120.wmf"/><Relationship Id="rId37" Type="http://schemas.openxmlformats.org/officeDocument/2006/relationships/image" Target="media/image13.emf"/><Relationship Id="rId58" Type="http://schemas.openxmlformats.org/officeDocument/2006/relationships/chart" Target="charts/chart6.xml"/><Relationship Id="rId79" Type="http://schemas.openxmlformats.org/officeDocument/2006/relationships/image" Target="media/image36.jpeg"/><Relationship Id="rId102" Type="http://schemas.openxmlformats.org/officeDocument/2006/relationships/image" Target="media/image51.jpeg"/><Relationship Id="rId123" Type="http://schemas.openxmlformats.org/officeDocument/2006/relationships/oleObject" Target="embeddings/oleObject20.bin"/><Relationship Id="rId144" Type="http://schemas.openxmlformats.org/officeDocument/2006/relationships/image" Target="media/image73.wmf"/><Relationship Id="rId90" Type="http://schemas.openxmlformats.org/officeDocument/2006/relationships/chart" Target="charts/chart15.xml"/><Relationship Id="rId165" Type="http://schemas.openxmlformats.org/officeDocument/2006/relationships/oleObject" Target="embeddings/oleObject44.bin"/><Relationship Id="rId186" Type="http://schemas.openxmlformats.org/officeDocument/2006/relationships/image" Target="media/image92.wmf"/><Relationship Id="rId211" Type="http://schemas.openxmlformats.org/officeDocument/2006/relationships/oleObject" Target="embeddings/oleObject67.bin"/><Relationship Id="rId232" Type="http://schemas.openxmlformats.org/officeDocument/2006/relationships/image" Target="media/image115.wmf"/><Relationship Id="rId253" Type="http://schemas.openxmlformats.org/officeDocument/2006/relationships/oleObject" Target="embeddings/oleObject90.bin"/><Relationship Id="rId27" Type="http://schemas.openxmlformats.org/officeDocument/2006/relationships/hyperlink" Target="http://tandfonline.com/doi/abs/10.1080/10556788.2011.597854" TargetMode="External"/><Relationship Id="rId48" Type="http://schemas.openxmlformats.org/officeDocument/2006/relationships/image" Target="media/image18.emf"/><Relationship Id="rId69" Type="http://schemas.openxmlformats.org/officeDocument/2006/relationships/image" Target="media/image31.jpeg"/><Relationship Id="rId113" Type="http://schemas.openxmlformats.org/officeDocument/2006/relationships/oleObject" Target="embeddings/oleObject15.bin"/><Relationship Id="rId134" Type="http://schemas.openxmlformats.org/officeDocument/2006/relationships/image" Target="media/image68.wmf"/><Relationship Id="rId80" Type="http://schemas.openxmlformats.org/officeDocument/2006/relationships/image" Target="media/image37.emf"/><Relationship Id="rId155" Type="http://schemas.openxmlformats.org/officeDocument/2006/relationships/oleObject" Target="embeddings/oleObject38.bin"/><Relationship Id="rId176" Type="http://schemas.openxmlformats.org/officeDocument/2006/relationships/image" Target="media/image87.wmf"/><Relationship Id="rId197" Type="http://schemas.openxmlformats.org/officeDocument/2006/relationships/oleObject" Target="embeddings/oleObject60.bin"/><Relationship Id="rId201" Type="http://schemas.openxmlformats.org/officeDocument/2006/relationships/oleObject" Target="embeddings/oleObject62.bin"/><Relationship Id="rId222" Type="http://schemas.openxmlformats.org/officeDocument/2006/relationships/image" Target="media/image110.wmf"/><Relationship Id="rId243" Type="http://schemas.openxmlformats.org/officeDocument/2006/relationships/oleObject" Target="embeddings/oleObject83.bin"/><Relationship Id="rId17" Type="http://schemas.openxmlformats.org/officeDocument/2006/relationships/image" Target="media/image5.wmf"/><Relationship Id="rId38" Type="http://schemas.openxmlformats.org/officeDocument/2006/relationships/oleObject" Target="embeddings/oleObject11.bin"/><Relationship Id="rId59" Type="http://schemas.openxmlformats.org/officeDocument/2006/relationships/chart" Target="charts/chart7.xml"/><Relationship Id="rId103" Type="http://schemas.openxmlformats.org/officeDocument/2006/relationships/image" Target="media/image52.jpeg"/><Relationship Id="rId124" Type="http://schemas.openxmlformats.org/officeDocument/2006/relationships/image" Target="media/image64.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GoldenADMBJan2012\AIGKC_9904_0510_Soak_Depth_FrequencyBarChar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siddeek\Documents\MAY2014CPT\AssessmentMaterialsUpdatedNNfiles\Dutch8512TagNew4Test14BNNOutFig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siddeek\Documents\MAY2014CPT\AssessmentMaterialsUpdatedNNfiles\Dutch8512TagNew4Test13BNNOutFig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siddeek\Documents\MAY2014CPT\AssessmentMaterialsUpdatedNNfiles\Dutch8512TagNew4Test14BNNOutFigs.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ssiddeek\Documents\MAY2014CPT\AssessmentMaterialsUpdatedNNfiles\Dutch8512TagNew4Test13BNNOutFigs.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ssiddeek\Documents\MAY2014CPT\AssessmentMaterialsUpdatedNNfiles\Dutch8512TagNew4Test14BNNOutFig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siddeek\Documents\MAY2014CPT\AssessmentMaterialsUpdatedNNfiles\Adak8512TagNew4Test15ANNOutFig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siddeek\Documents\MAY2014CPT\AssessmentMaterialsUpdatedNNfiles\Adak8512TagNew4Test8NNOutFig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siddeek\Documents\MAY2014CPT\AssessmentMaterialsUpdatedNNfiles\Adak8512TagNew4Test15ANNOutFig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siddeek\Documents\MAY2014CPT\AssessmentMaterialsUpdatedNNfiles\Adak8512TagNew4Test8NNOutFig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siddeek\Documents\MAY2014CPT\AssessmentMaterialsUpdatedNNfiles\Adak8512TagNew4Test15ANNOutFig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GoldenADMBJan2012\AIGKC_9904_0510_Soak_Depth_FrequencyBarChar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siddeek\Documents\MAY2014CPT\AssessmentMaterialsUpdatedNNfiles\Adak8512TagNew4Test8NNOutFig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siddeek\Documents\MAY2014CPT\AssessmentMaterialsUpdatedNNfiles\Adak8512TagNew4Test15ANNOutFig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siddeek\Documents\MAY2014CPT\AssessmentMaterialsUpdatedNNfiles\Adak8512TagNew4Test8NNOutFigs.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ssiddeek\Documents\MAY2014CPT\AssessmentMaterialsUpdatedNNfiles\Adak8512TagNew4Test15ANNOutFig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GoldenADMBJan2012\AIGKC_9904_0510_Soak_Depth_FrequencyBarChart.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GoldenADMBJan2012\AIGKC_9904_0510_Soak_Depth_FrequencyBarCha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siddeek\Documents\MAY2014CPT\AssessmentMaterialsUpdatedNNfiles\Dutch8512TagNew4Test13BNNOutFig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siddeek\Documents\MAY2014CPT\AssessmentMaterialsUpdatedNNfiles\Dutch8512TagNew4Test14BNNOutFig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siddeek\Documents\MAY2014CPT\AssessmentMaterialsUpdatedNNfiles\Dutch8512TagNew4Test13BNNOutFig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siddeek\Documents\MAY2014CPT\AssessmentMaterialsUpdatedNNfiles\Dutch8512TagNew4Test14BNNOutFig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siddeek\Documents\MAY2014CPT\AssessmentMaterialsUpdatedNNfiles\Dutch8512TagNew4Test13BNNOutFi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44849656950838"/>
          <c:y val="5.9690966048598956E-2"/>
          <c:w val="0.49265331307270832"/>
          <c:h val="0.67546143425620264"/>
        </c:manualLayout>
      </c:layout>
      <c:barChart>
        <c:barDir val="col"/>
        <c:grouping val="clustered"/>
        <c:varyColors val="0"/>
        <c:ser>
          <c:idx val="1"/>
          <c:order val="0"/>
          <c:tx>
            <c:v>1999/00-2004/05</c:v>
          </c:tx>
          <c:spPr>
            <a:solidFill>
              <a:srgbClr val="FF0000"/>
            </a:solidFill>
          </c:spPr>
          <c:invertIfNegative val="0"/>
          <c:cat>
            <c:numRef>
              <c:f>'E_of_174_potSummary-OB99_10'!$W$5:$W$44</c:f>
              <c:numCache>
                <c:formatCode>General</c:formatCode>
                <c:ptCount val="40"/>
                <c:pt idx="0">
                  <c:v>24</c:v>
                </c:pt>
                <c:pt idx="1">
                  <c:v>48</c:v>
                </c:pt>
                <c:pt idx="2">
                  <c:v>72</c:v>
                </c:pt>
                <c:pt idx="3">
                  <c:v>96</c:v>
                </c:pt>
                <c:pt idx="4">
                  <c:v>120</c:v>
                </c:pt>
                <c:pt idx="5">
                  <c:v>144</c:v>
                </c:pt>
                <c:pt idx="6">
                  <c:v>168</c:v>
                </c:pt>
                <c:pt idx="7">
                  <c:v>192</c:v>
                </c:pt>
                <c:pt idx="8">
                  <c:v>216</c:v>
                </c:pt>
                <c:pt idx="9">
                  <c:v>240</c:v>
                </c:pt>
                <c:pt idx="10">
                  <c:v>264</c:v>
                </c:pt>
                <c:pt idx="11">
                  <c:v>288</c:v>
                </c:pt>
                <c:pt idx="12">
                  <c:v>312</c:v>
                </c:pt>
                <c:pt idx="13">
                  <c:v>336</c:v>
                </c:pt>
                <c:pt idx="14">
                  <c:v>360</c:v>
                </c:pt>
                <c:pt idx="15">
                  <c:v>384</c:v>
                </c:pt>
                <c:pt idx="16">
                  <c:v>408</c:v>
                </c:pt>
                <c:pt idx="17">
                  <c:v>432</c:v>
                </c:pt>
                <c:pt idx="18">
                  <c:v>456</c:v>
                </c:pt>
                <c:pt idx="19">
                  <c:v>480</c:v>
                </c:pt>
                <c:pt idx="20">
                  <c:v>504</c:v>
                </c:pt>
                <c:pt idx="21">
                  <c:v>528</c:v>
                </c:pt>
                <c:pt idx="22">
                  <c:v>552</c:v>
                </c:pt>
                <c:pt idx="23">
                  <c:v>576</c:v>
                </c:pt>
                <c:pt idx="24">
                  <c:v>600</c:v>
                </c:pt>
                <c:pt idx="25">
                  <c:v>624</c:v>
                </c:pt>
                <c:pt idx="26">
                  <c:v>648</c:v>
                </c:pt>
                <c:pt idx="27">
                  <c:v>672</c:v>
                </c:pt>
                <c:pt idx="28">
                  <c:v>696</c:v>
                </c:pt>
                <c:pt idx="29">
                  <c:v>720</c:v>
                </c:pt>
                <c:pt idx="30">
                  <c:v>744</c:v>
                </c:pt>
                <c:pt idx="31">
                  <c:v>768</c:v>
                </c:pt>
                <c:pt idx="32">
                  <c:v>792</c:v>
                </c:pt>
                <c:pt idx="33">
                  <c:v>816</c:v>
                </c:pt>
                <c:pt idx="34">
                  <c:v>840</c:v>
                </c:pt>
                <c:pt idx="35">
                  <c:v>864</c:v>
                </c:pt>
                <c:pt idx="36">
                  <c:v>888</c:v>
                </c:pt>
                <c:pt idx="37">
                  <c:v>912</c:v>
                </c:pt>
                <c:pt idx="38">
                  <c:v>936</c:v>
                </c:pt>
                <c:pt idx="39">
                  <c:v>960</c:v>
                </c:pt>
              </c:numCache>
            </c:numRef>
          </c:cat>
          <c:val>
            <c:numRef>
              <c:f>'E_of_174_potSummary-OB99_10'!$Y$5:$Y$44</c:f>
              <c:numCache>
                <c:formatCode>General</c:formatCode>
                <c:ptCount val="40"/>
                <c:pt idx="0">
                  <c:v>0.12271496276235613</c:v>
                </c:pt>
                <c:pt idx="1">
                  <c:v>6.5208192281651813</c:v>
                </c:pt>
                <c:pt idx="2">
                  <c:v>22.765741367637041</c:v>
                </c:pt>
                <c:pt idx="3">
                  <c:v>30.310595802301929</c:v>
                </c:pt>
                <c:pt idx="4">
                  <c:v>16.321090047393366</c:v>
                </c:pt>
                <c:pt idx="5">
                  <c:v>8.6281313473256507</c:v>
                </c:pt>
                <c:pt idx="6">
                  <c:v>6.6139133378469648</c:v>
                </c:pt>
                <c:pt idx="7">
                  <c:v>3.8887948544346651</c:v>
                </c:pt>
                <c:pt idx="8">
                  <c:v>2.3569735951252473</c:v>
                </c:pt>
                <c:pt idx="9">
                  <c:v>1.2313811780636426</c:v>
                </c:pt>
                <c:pt idx="10">
                  <c:v>0.5289438050101557</c:v>
                </c:pt>
                <c:pt idx="11">
                  <c:v>0.32159783344617465</c:v>
                </c:pt>
                <c:pt idx="12">
                  <c:v>0.18195666892349371</c:v>
                </c:pt>
                <c:pt idx="13">
                  <c:v>9.3094109681787732E-2</c:v>
                </c:pt>
                <c:pt idx="14">
                  <c:v>5.0778605280974887E-2</c:v>
                </c:pt>
                <c:pt idx="15">
                  <c:v>1.2694651320243736E-2</c:v>
                </c:pt>
                <c:pt idx="16">
                  <c:v>1.2694651320243736E-2</c:v>
                </c:pt>
                <c:pt idx="17">
                  <c:v>2.1157752200406232E-2</c:v>
                </c:pt>
                <c:pt idx="18">
                  <c:v>1.6926201760324982E-2</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ser>
        <c:ser>
          <c:idx val="2"/>
          <c:order val="1"/>
          <c:tx>
            <c:v>2005/06-2010/11</c:v>
          </c:tx>
          <c:spPr>
            <a:solidFill>
              <a:srgbClr val="0070C0"/>
            </a:solidFill>
          </c:spPr>
          <c:invertIfNegative val="0"/>
          <c:cat>
            <c:numRef>
              <c:f>'E_of_174_potSummary-OB99_10'!$W$5:$W$44</c:f>
              <c:numCache>
                <c:formatCode>General</c:formatCode>
                <c:ptCount val="40"/>
                <c:pt idx="0">
                  <c:v>24</c:v>
                </c:pt>
                <c:pt idx="1">
                  <c:v>48</c:v>
                </c:pt>
                <c:pt idx="2">
                  <c:v>72</c:v>
                </c:pt>
                <c:pt idx="3">
                  <c:v>96</c:v>
                </c:pt>
                <c:pt idx="4">
                  <c:v>120</c:v>
                </c:pt>
                <c:pt idx="5">
                  <c:v>144</c:v>
                </c:pt>
                <c:pt idx="6">
                  <c:v>168</c:v>
                </c:pt>
                <c:pt idx="7">
                  <c:v>192</c:v>
                </c:pt>
                <c:pt idx="8">
                  <c:v>216</c:v>
                </c:pt>
                <c:pt idx="9">
                  <c:v>240</c:v>
                </c:pt>
                <c:pt idx="10">
                  <c:v>264</c:v>
                </c:pt>
                <c:pt idx="11">
                  <c:v>288</c:v>
                </c:pt>
                <c:pt idx="12">
                  <c:v>312</c:v>
                </c:pt>
                <c:pt idx="13">
                  <c:v>336</c:v>
                </c:pt>
                <c:pt idx="14">
                  <c:v>360</c:v>
                </c:pt>
                <c:pt idx="15">
                  <c:v>384</c:v>
                </c:pt>
                <c:pt idx="16">
                  <c:v>408</c:v>
                </c:pt>
                <c:pt idx="17">
                  <c:v>432</c:v>
                </c:pt>
                <c:pt idx="18">
                  <c:v>456</c:v>
                </c:pt>
                <c:pt idx="19">
                  <c:v>480</c:v>
                </c:pt>
                <c:pt idx="20">
                  <c:v>504</c:v>
                </c:pt>
                <c:pt idx="21">
                  <c:v>528</c:v>
                </c:pt>
                <c:pt idx="22">
                  <c:v>552</c:v>
                </c:pt>
                <c:pt idx="23">
                  <c:v>576</c:v>
                </c:pt>
                <c:pt idx="24">
                  <c:v>600</c:v>
                </c:pt>
                <c:pt idx="25">
                  <c:v>624</c:v>
                </c:pt>
                <c:pt idx="26">
                  <c:v>648</c:v>
                </c:pt>
                <c:pt idx="27">
                  <c:v>672</c:v>
                </c:pt>
                <c:pt idx="28">
                  <c:v>696</c:v>
                </c:pt>
                <c:pt idx="29">
                  <c:v>720</c:v>
                </c:pt>
                <c:pt idx="30">
                  <c:v>744</c:v>
                </c:pt>
                <c:pt idx="31">
                  <c:v>768</c:v>
                </c:pt>
                <c:pt idx="32">
                  <c:v>792</c:v>
                </c:pt>
                <c:pt idx="33">
                  <c:v>816</c:v>
                </c:pt>
                <c:pt idx="34">
                  <c:v>840</c:v>
                </c:pt>
                <c:pt idx="35">
                  <c:v>864</c:v>
                </c:pt>
                <c:pt idx="36">
                  <c:v>888</c:v>
                </c:pt>
                <c:pt idx="37">
                  <c:v>912</c:v>
                </c:pt>
                <c:pt idx="38">
                  <c:v>936</c:v>
                </c:pt>
                <c:pt idx="39">
                  <c:v>960</c:v>
                </c:pt>
              </c:numCache>
            </c:numRef>
          </c:cat>
          <c:val>
            <c:numRef>
              <c:f>'E_of_174_potSummary-OB99_10'!$AA$5:$AA$44</c:f>
              <c:numCache>
                <c:formatCode>General</c:formatCode>
                <c:ptCount val="40"/>
                <c:pt idx="0">
                  <c:v>0</c:v>
                </c:pt>
                <c:pt idx="1">
                  <c:v>8.5269665316563728E-2</c:v>
                </c:pt>
                <c:pt idx="2">
                  <c:v>0.51161799189938151</c:v>
                </c:pt>
                <c:pt idx="3">
                  <c:v>2.5154551268386158</c:v>
                </c:pt>
                <c:pt idx="4">
                  <c:v>1.8759326369643998</c:v>
                </c:pt>
                <c:pt idx="5">
                  <c:v>3.8371349392453635</c:v>
                </c:pt>
                <c:pt idx="6">
                  <c:v>3.0270731187380089</c:v>
                </c:pt>
                <c:pt idx="7">
                  <c:v>3.9010871882327862</c:v>
                </c:pt>
                <c:pt idx="8">
                  <c:v>3.1123427840545728</c:v>
                </c:pt>
                <c:pt idx="9">
                  <c:v>6.7576209763376678</c:v>
                </c:pt>
                <c:pt idx="10">
                  <c:v>9.720741846088254</c:v>
                </c:pt>
                <c:pt idx="11">
                  <c:v>6.6723513110211039</c:v>
                </c:pt>
                <c:pt idx="12">
                  <c:v>7.5037305478575851</c:v>
                </c:pt>
                <c:pt idx="13">
                  <c:v>6.0115114048177363</c:v>
                </c:pt>
                <c:pt idx="14">
                  <c:v>7.1839693029204863</c:v>
                </c:pt>
                <c:pt idx="15">
                  <c:v>7.3758260498827495</c:v>
                </c:pt>
                <c:pt idx="16">
                  <c:v>4.7751012577275507</c:v>
                </c:pt>
                <c:pt idx="17">
                  <c:v>3.9010871882327862</c:v>
                </c:pt>
                <c:pt idx="18">
                  <c:v>3.5386911106373966</c:v>
                </c:pt>
                <c:pt idx="19">
                  <c:v>1.7480281389895544</c:v>
                </c:pt>
                <c:pt idx="20">
                  <c:v>2.7499467064591792</c:v>
                </c:pt>
                <c:pt idx="21">
                  <c:v>2.1743764655723794</c:v>
                </c:pt>
                <c:pt idx="22">
                  <c:v>2.7925815391174602</c:v>
                </c:pt>
                <c:pt idx="23">
                  <c:v>1.6414410573438498</c:v>
                </c:pt>
                <c:pt idx="24">
                  <c:v>0.93796631848219991</c:v>
                </c:pt>
                <c:pt idx="25">
                  <c:v>1.4495843103815818</c:v>
                </c:pt>
                <c:pt idx="26">
                  <c:v>0.25580899594969275</c:v>
                </c:pt>
                <c:pt idx="27">
                  <c:v>0.59688765721594539</c:v>
                </c:pt>
                <c:pt idx="28">
                  <c:v>0.72479215519079165</c:v>
                </c:pt>
                <c:pt idx="29">
                  <c:v>0.38371349392453724</c:v>
                </c:pt>
                <c:pt idx="30">
                  <c:v>0.8313792368364975</c:v>
                </c:pt>
                <c:pt idx="31">
                  <c:v>0.1918567469622682</c:v>
                </c:pt>
                <c:pt idx="32">
                  <c:v>8.5269665316563728E-2</c:v>
                </c:pt>
                <c:pt idx="33">
                  <c:v>0.10658708164570455</c:v>
                </c:pt>
                <c:pt idx="34">
                  <c:v>0.17053933063312776</c:v>
                </c:pt>
                <c:pt idx="35">
                  <c:v>0</c:v>
                </c:pt>
                <c:pt idx="36">
                  <c:v>0.1918567469622682</c:v>
                </c:pt>
                <c:pt idx="37">
                  <c:v>0.25580899594969275</c:v>
                </c:pt>
                <c:pt idx="38">
                  <c:v>0.40503091025367732</c:v>
                </c:pt>
                <c:pt idx="39">
                  <c:v>0</c:v>
                </c:pt>
              </c:numCache>
            </c:numRef>
          </c:val>
        </c:ser>
        <c:dLbls>
          <c:showLegendKey val="0"/>
          <c:showVal val="0"/>
          <c:showCatName val="0"/>
          <c:showSerName val="0"/>
          <c:showPercent val="0"/>
          <c:showBubbleSize val="0"/>
        </c:dLbls>
        <c:gapWidth val="150"/>
        <c:axId val="86498304"/>
        <c:axId val="98043008"/>
      </c:barChart>
      <c:catAx>
        <c:axId val="86498304"/>
        <c:scaling>
          <c:orientation val="minMax"/>
        </c:scaling>
        <c:delete val="0"/>
        <c:axPos val="b"/>
        <c:title>
          <c:tx>
            <c:rich>
              <a:bodyPr/>
              <a:lstStyle/>
              <a:p>
                <a:pPr>
                  <a:defRPr/>
                </a:pPr>
                <a:r>
                  <a:rPr lang="en-US"/>
                  <a:t>Soak Time (hours)</a:t>
                </a:r>
              </a:p>
            </c:rich>
          </c:tx>
          <c:overlay val="0"/>
        </c:title>
        <c:numFmt formatCode="General" sourceLinked="1"/>
        <c:majorTickMark val="none"/>
        <c:minorTickMark val="none"/>
        <c:tickLblPos val="nextTo"/>
        <c:spPr>
          <a:noFill/>
          <a:ln w="25400">
            <a:solidFill>
              <a:sysClr val="windowText" lastClr="000000"/>
            </a:solidFill>
          </a:ln>
        </c:spPr>
        <c:txPr>
          <a:bodyPr/>
          <a:lstStyle/>
          <a:p>
            <a:pPr>
              <a:defRPr b="1"/>
            </a:pPr>
            <a:endParaRPr lang="en-US"/>
          </a:p>
        </c:txPr>
        <c:crossAx val="98043008"/>
        <c:crosses val="autoZero"/>
        <c:auto val="1"/>
        <c:lblAlgn val="ctr"/>
        <c:lblOffset val="100"/>
        <c:noMultiLvlLbl val="0"/>
      </c:catAx>
      <c:valAx>
        <c:axId val="98043008"/>
        <c:scaling>
          <c:orientation val="minMax"/>
        </c:scaling>
        <c:delete val="0"/>
        <c:axPos val="l"/>
        <c:title>
          <c:tx>
            <c:rich>
              <a:bodyPr rot="-5400000" vert="horz"/>
              <a:lstStyle/>
              <a:p>
                <a:pPr>
                  <a:defRPr/>
                </a:pPr>
                <a:r>
                  <a:rPr lang="en-US"/>
                  <a:t>Relative Frequency</a:t>
                </a:r>
              </a:p>
            </c:rich>
          </c:tx>
          <c:overlay val="0"/>
        </c:title>
        <c:numFmt formatCode="General" sourceLinked="1"/>
        <c:majorTickMark val="none"/>
        <c:minorTickMark val="none"/>
        <c:tickLblPos val="nextTo"/>
        <c:spPr>
          <a:ln w="25400">
            <a:solidFill>
              <a:schemeClr val="tx1"/>
            </a:solidFill>
          </a:ln>
        </c:spPr>
        <c:txPr>
          <a:bodyPr/>
          <a:lstStyle/>
          <a:p>
            <a:pPr>
              <a:defRPr b="1"/>
            </a:pPr>
            <a:endParaRPr lang="en-US"/>
          </a:p>
        </c:txPr>
        <c:crossAx val="8649830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166829146356705"/>
          <c:y val="6.7357512953367921E-2"/>
          <c:w val="0.76560529933758281"/>
          <c:h val="0.66855349202962955"/>
        </c:manualLayout>
      </c:layout>
      <c:lineChart>
        <c:grouping val="standard"/>
        <c:varyColors val="0"/>
        <c:ser>
          <c:idx val="0"/>
          <c:order val="0"/>
          <c:cat>
            <c:numRef>
              <c:f>Dutch8512Figs!$B$167:$AC$167</c:f>
              <c:numCache>
                <c:formatCode>0</c:formatCode>
                <c:ptCount val="28"/>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numCache>
            </c:numRef>
          </c:cat>
          <c:val>
            <c:numRef>
              <c:f>Dutch8512Figs!$B$169:$AC$169</c:f>
              <c:numCache>
                <c:formatCode>0.00</c:formatCode>
                <c:ptCount val="28"/>
                <c:pt idx="0">
                  <c:v>1.0343599999999999</c:v>
                </c:pt>
                <c:pt idx="1">
                  <c:v>1.1448199999999999</c:v>
                </c:pt>
                <c:pt idx="2">
                  <c:v>3.3971200000000001</c:v>
                </c:pt>
                <c:pt idx="3">
                  <c:v>1.08768</c:v>
                </c:pt>
                <c:pt idx="4">
                  <c:v>1.77641</c:v>
                </c:pt>
                <c:pt idx="5">
                  <c:v>2.6488100000000001</c:v>
                </c:pt>
                <c:pt idx="6">
                  <c:v>2.5988099999999998</c:v>
                </c:pt>
                <c:pt idx="7">
                  <c:v>1.0156400000000001</c:v>
                </c:pt>
                <c:pt idx="8">
                  <c:v>2.0391300000000001</c:v>
                </c:pt>
                <c:pt idx="9">
                  <c:v>1.5466899999999999</c:v>
                </c:pt>
                <c:pt idx="10">
                  <c:v>1.52197</c:v>
                </c:pt>
                <c:pt idx="11">
                  <c:v>1.7153</c:v>
                </c:pt>
                <c:pt idx="12">
                  <c:v>1.5760700000000001</c:v>
                </c:pt>
                <c:pt idx="13">
                  <c:v>1.6110199999999999</c:v>
                </c:pt>
                <c:pt idx="14">
                  <c:v>1.7064299999999999</c:v>
                </c:pt>
                <c:pt idx="15">
                  <c:v>1.3509899999999999</c:v>
                </c:pt>
                <c:pt idx="16">
                  <c:v>2.11</c:v>
                </c:pt>
                <c:pt idx="17">
                  <c:v>1.43249</c:v>
                </c:pt>
                <c:pt idx="18">
                  <c:v>1.14161</c:v>
                </c:pt>
                <c:pt idx="19">
                  <c:v>1.56829</c:v>
                </c:pt>
                <c:pt idx="20">
                  <c:v>1.47946</c:v>
                </c:pt>
                <c:pt idx="21">
                  <c:v>1.4298999999999999</c:v>
                </c:pt>
                <c:pt idx="22">
                  <c:v>1.6113900000000001</c:v>
                </c:pt>
                <c:pt idx="23">
                  <c:v>2.0744899999999999</c:v>
                </c:pt>
                <c:pt idx="24">
                  <c:v>1.4528399999999999</c:v>
                </c:pt>
                <c:pt idx="25">
                  <c:v>0.95496599999999998</c:v>
                </c:pt>
                <c:pt idx="26">
                  <c:v>1.93699</c:v>
                </c:pt>
                <c:pt idx="27">
                  <c:v>1.589</c:v>
                </c:pt>
              </c:numCache>
            </c:numRef>
          </c:val>
          <c:smooth val="0"/>
        </c:ser>
        <c:dLbls>
          <c:showLegendKey val="0"/>
          <c:showVal val="0"/>
          <c:showCatName val="0"/>
          <c:showSerName val="0"/>
          <c:showPercent val="0"/>
          <c:showBubbleSize val="0"/>
        </c:dLbls>
        <c:marker val="1"/>
        <c:smooth val="0"/>
        <c:axId val="98915840"/>
        <c:axId val="98917760"/>
      </c:lineChart>
      <c:catAx>
        <c:axId val="98915840"/>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Year</a:t>
                </a:r>
              </a:p>
            </c:rich>
          </c:tx>
          <c:layout>
            <c:manualLayout>
              <c:xMode val="edge"/>
              <c:yMode val="edge"/>
              <c:x val="0.51461073047688288"/>
              <c:y val="0.90155440760988992"/>
            </c:manualLayout>
          </c:layout>
          <c:overlay val="0"/>
          <c:spPr>
            <a:noFill/>
            <a:ln w="25400">
              <a:noFill/>
            </a:ln>
          </c:spPr>
        </c:title>
        <c:numFmt formatCode="0" sourceLinked="1"/>
        <c:majorTickMark val="out"/>
        <c:minorTickMark val="none"/>
        <c:tickLblPos val="nextTo"/>
        <c:spPr>
          <a:ln w="25400">
            <a:solidFill>
              <a:srgbClr val="000000"/>
            </a:solidFill>
            <a:prstDash val="solid"/>
          </a:ln>
        </c:spPr>
        <c:txPr>
          <a:bodyPr rot="-5400000" vert="horz"/>
          <a:lstStyle/>
          <a:p>
            <a:pPr>
              <a:defRPr sz="1000" b="1" i="0" u="none" strike="noStrike" baseline="0">
                <a:solidFill>
                  <a:srgbClr val="000000"/>
                </a:solidFill>
                <a:latin typeface="Arial"/>
                <a:ea typeface="Arial"/>
                <a:cs typeface="Arial"/>
              </a:defRPr>
            </a:pPr>
            <a:endParaRPr lang="en-US"/>
          </a:p>
        </c:txPr>
        <c:crossAx val="98917760"/>
        <c:crosses val="autoZero"/>
        <c:auto val="1"/>
        <c:lblAlgn val="ctr"/>
        <c:lblOffset val="100"/>
        <c:tickLblSkip val="2"/>
        <c:tickMarkSkip val="1"/>
        <c:noMultiLvlLbl val="0"/>
      </c:catAx>
      <c:valAx>
        <c:axId val="98917760"/>
        <c:scaling>
          <c:orientation val="minMax"/>
          <c:max val="5"/>
          <c:min val="0"/>
        </c:scaling>
        <c:delete val="0"/>
        <c:axPos val="l"/>
        <c:title>
          <c:tx>
            <c:rich>
              <a:bodyPr/>
              <a:lstStyle/>
              <a:p>
                <a:pPr>
                  <a:defRPr sz="1000" b="1" i="0" u="none" strike="noStrike" baseline="0">
                    <a:solidFill>
                      <a:srgbClr val="000000"/>
                    </a:solidFill>
                    <a:latin typeface="Arial"/>
                    <a:ea typeface="Arial"/>
                    <a:cs typeface="Arial"/>
                  </a:defRPr>
                </a:pPr>
                <a:r>
                  <a:rPr lang="en-US"/>
                  <a:t>Racruits to &gt;=101 mm CL (million crabs)</a:t>
                </a:r>
              </a:p>
            </c:rich>
          </c:tx>
          <c:layout>
            <c:manualLayout>
              <c:xMode val="edge"/>
              <c:yMode val="edge"/>
              <c:x val="2.5974025974026042E-2"/>
              <c:y val="9.5855024491365348E-2"/>
            </c:manualLayout>
          </c:layout>
          <c:overlay val="0"/>
          <c:spPr>
            <a:noFill/>
            <a:ln w="25400">
              <a:noFill/>
            </a:ln>
          </c:spPr>
        </c:title>
        <c:numFmt formatCode="0.00" sourceLinked="1"/>
        <c:majorTickMark val="out"/>
        <c:minorTickMark val="none"/>
        <c:tickLblPos val="nextTo"/>
        <c:spPr>
          <a:ln w="25400">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98915840"/>
        <c:crosses val="autoZero"/>
        <c:crossBetween val="between"/>
        <c:majorUnit val="0.5"/>
        <c:minorUnit val="0.25"/>
      </c:valAx>
      <c:spPr>
        <a:noFill/>
        <a:ln w="25400">
          <a:noFill/>
        </a:ln>
      </c:spPr>
    </c:plotArea>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96202531645861"/>
          <c:y val="0.12077351663230597"/>
          <c:w val="0.80759493670886073"/>
          <c:h val="0.53623441384743853"/>
        </c:manualLayout>
      </c:layout>
      <c:lineChart>
        <c:grouping val="standard"/>
        <c:varyColors val="0"/>
        <c:ser>
          <c:idx val="0"/>
          <c:order val="0"/>
          <c:spPr>
            <a:ln w="25400">
              <a:solidFill>
                <a:srgbClr val="000000"/>
              </a:solidFill>
              <a:prstDash val="solid"/>
            </a:ln>
          </c:spPr>
          <c:marker>
            <c:symbol val="circle"/>
            <c:size val="5"/>
            <c:spPr>
              <a:solidFill>
                <a:srgbClr val="000000"/>
              </a:solidFill>
              <a:ln>
                <a:solidFill>
                  <a:srgbClr val="000000"/>
                </a:solidFill>
                <a:prstDash val="solid"/>
              </a:ln>
            </c:spPr>
          </c:marker>
          <c:cat>
            <c:numRef>
              <c:f>Dutch8512Figs!$B$22:$R$22</c:f>
              <c:numCache>
                <c:formatCode>0</c:formatCode>
                <c:ptCount val="17"/>
                <c:pt idx="0">
                  <c:v>103</c:v>
                </c:pt>
                <c:pt idx="1">
                  <c:v>108</c:v>
                </c:pt>
                <c:pt idx="2">
                  <c:v>113</c:v>
                </c:pt>
                <c:pt idx="3">
                  <c:v>118</c:v>
                </c:pt>
                <c:pt idx="4">
                  <c:v>123</c:v>
                </c:pt>
                <c:pt idx="5">
                  <c:v>128</c:v>
                </c:pt>
                <c:pt idx="6">
                  <c:v>133</c:v>
                </c:pt>
                <c:pt idx="7">
                  <c:v>138</c:v>
                </c:pt>
                <c:pt idx="8">
                  <c:v>143</c:v>
                </c:pt>
                <c:pt idx="9">
                  <c:v>148</c:v>
                </c:pt>
                <c:pt idx="10">
                  <c:v>153</c:v>
                </c:pt>
                <c:pt idx="11">
                  <c:v>158</c:v>
                </c:pt>
                <c:pt idx="12">
                  <c:v>163</c:v>
                </c:pt>
                <c:pt idx="13">
                  <c:v>168</c:v>
                </c:pt>
              </c:numCache>
            </c:numRef>
          </c:cat>
          <c:val>
            <c:numRef>
              <c:f>Dutch8512Figs!$A$215:$O$215</c:f>
              <c:numCache>
                <c:formatCode>0.00</c:formatCode>
                <c:ptCount val="15"/>
                <c:pt idx="0">
                  <c:v>0</c:v>
                </c:pt>
                <c:pt idx="1">
                  <c:v>0.16611300000000001</c:v>
                </c:pt>
                <c:pt idx="2">
                  <c:v>0.28088999999999997</c:v>
                </c:pt>
                <c:pt idx="3">
                  <c:v>0.28345999999999999</c:v>
                </c:pt>
                <c:pt idx="4">
                  <c:v>0.17796200000000001</c:v>
                </c:pt>
                <c:pt idx="5">
                  <c:v>7.2100899999999996E-2</c:v>
                </c:pt>
                <c:pt idx="6">
                  <c:v>1.9473899999999999E-2</c:v>
                </c:pt>
                <c:pt idx="7">
                  <c:v>0</c:v>
                </c:pt>
                <c:pt idx="8">
                  <c:v>0</c:v>
                </c:pt>
                <c:pt idx="9">
                  <c:v>0</c:v>
                </c:pt>
                <c:pt idx="10">
                  <c:v>0</c:v>
                </c:pt>
                <c:pt idx="11">
                  <c:v>0</c:v>
                </c:pt>
                <c:pt idx="12">
                  <c:v>0</c:v>
                </c:pt>
                <c:pt idx="13">
                  <c:v>0</c:v>
                </c:pt>
                <c:pt idx="14">
                  <c:v>0</c:v>
                </c:pt>
              </c:numCache>
            </c:numRef>
          </c:val>
          <c:smooth val="1"/>
        </c:ser>
        <c:dLbls>
          <c:showLegendKey val="0"/>
          <c:showVal val="0"/>
          <c:showCatName val="0"/>
          <c:showSerName val="0"/>
          <c:showPercent val="0"/>
          <c:showBubbleSize val="0"/>
        </c:dLbls>
        <c:marker val="1"/>
        <c:smooth val="0"/>
        <c:axId val="98929280"/>
        <c:axId val="98944128"/>
      </c:lineChart>
      <c:catAx>
        <c:axId val="989292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US"/>
                  <a:t>Carapace Length (mm)</a:t>
                </a:r>
              </a:p>
            </c:rich>
          </c:tx>
          <c:layout>
            <c:manualLayout>
              <c:xMode val="edge"/>
              <c:yMode val="edge"/>
              <c:x val="0.39493670886076865"/>
              <c:y val="0.82609095228083285"/>
            </c:manualLayout>
          </c:layout>
          <c:overlay val="0"/>
          <c:spPr>
            <a:noFill/>
            <a:ln w="25400">
              <a:noFill/>
            </a:ln>
          </c:spPr>
        </c:title>
        <c:numFmt formatCode="0" sourceLinked="1"/>
        <c:majorTickMark val="out"/>
        <c:minorTickMark val="none"/>
        <c:tickLblPos val="nextTo"/>
        <c:spPr>
          <a:ln w="25400">
            <a:solidFill>
              <a:srgbClr val="000000"/>
            </a:solidFill>
            <a:prstDash val="solid"/>
          </a:ln>
        </c:spPr>
        <c:txPr>
          <a:bodyPr rot="-2700000" vert="horz"/>
          <a:lstStyle/>
          <a:p>
            <a:pPr>
              <a:defRPr sz="800" b="1" i="0" u="none" strike="noStrike" baseline="0">
                <a:solidFill>
                  <a:srgbClr val="000000"/>
                </a:solidFill>
                <a:latin typeface="Arial"/>
                <a:ea typeface="Arial"/>
                <a:cs typeface="Arial"/>
              </a:defRPr>
            </a:pPr>
            <a:endParaRPr lang="en-US"/>
          </a:p>
        </c:txPr>
        <c:crossAx val="98944128"/>
        <c:crosses val="autoZero"/>
        <c:auto val="1"/>
        <c:lblAlgn val="ctr"/>
        <c:lblOffset val="100"/>
        <c:tickLblSkip val="2"/>
        <c:tickMarkSkip val="1"/>
        <c:noMultiLvlLbl val="0"/>
      </c:catAx>
      <c:valAx>
        <c:axId val="98944128"/>
        <c:scaling>
          <c:orientation val="minMax"/>
          <c:min val="0"/>
        </c:scaling>
        <c:delete val="0"/>
        <c:axPos val="l"/>
        <c:title>
          <c:tx>
            <c:rich>
              <a:bodyPr/>
              <a:lstStyle/>
              <a:p>
                <a:pPr>
                  <a:defRPr sz="800" b="1" i="0" u="none" strike="noStrike" baseline="0">
                    <a:solidFill>
                      <a:srgbClr val="000000"/>
                    </a:solidFill>
                    <a:latin typeface="Arial"/>
                    <a:ea typeface="Arial"/>
                    <a:cs typeface="Arial"/>
                  </a:defRPr>
                </a:pPr>
                <a:r>
                  <a:rPr lang="en-US"/>
                  <a:t>Recruits Distribution</a:t>
                </a:r>
              </a:p>
            </c:rich>
          </c:tx>
          <c:layout>
            <c:manualLayout>
              <c:xMode val="edge"/>
              <c:yMode val="edge"/>
              <c:x val="3.7974713945070612E-2"/>
              <c:y val="0.22980599235184623"/>
            </c:manualLayout>
          </c:layout>
          <c:overlay val="0"/>
          <c:spPr>
            <a:noFill/>
            <a:ln w="25400">
              <a:noFill/>
            </a:ln>
          </c:spPr>
        </c:title>
        <c:numFmt formatCode="0.00" sourceLinked="1"/>
        <c:majorTickMark val="out"/>
        <c:minorTickMark val="none"/>
        <c:tickLblPos val="nextTo"/>
        <c:spPr>
          <a:ln w="25400">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98929280"/>
        <c:crosses val="autoZero"/>
        <c:crossBetween val="between"/>
        <c:minorUnit val="0.05"/>
      </c:valAx>
      <c:spPr>
        <a:noFill/>
        <a:ln w="25400">
          <a:noFill/>
        </a:ln>
      </c:spPr>
    </c:plotArea>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96202531645861"/>
          <c:y val="0.12077351663230597"/>
          <c:w val="0.80759493670886073"/>
          <c:h val="0.53623441384743853"/>
        </c:manualLayout>
      </c:layout>
      <c:lineChart>
        <c:grouping val="standard"/>
        <c:varyColors val="0"/>
        <c:ser>
          <c:idx val="0"/>
          <c:order val="0"/>
          <c:spPr>
            <a:ln w="25400">
              <a:solidFill>
                <a:srgbClr val="000000"/>
              </a:solidFill>
              <a:prstDash val="solid"/>
            </a:ln>
          </c:spPr>
          <c:marker>
            <c:symbol val="circle"/>
            <c:size val="5"/>
            <c:spPr>
              <a:solidFill>
                <a:srgbClr val="000000"/>
              </a:solidFill>
              <a:ln>
                <a:solidFill>
                  <a:srgbClr val="000000"/>
                </a:solidFill>
                <a:prstDash val="solid"/>
              </a:ln>
            </c:spPr>
          </c:marker>
          <c:cat>
            <c:numRef>
              <c:f>Dutch8512Figs!$B$22:$R$22</c:f>
              <c:numCache>
                <c:formatCode>0</c:formatCode>
                <c:ptCount val="17"/>
                <c:pt idx="0">
                  <c:v>103</c:v>
                </c:pt>
                <c:pt idx="1">
                  <c:v>108</c:v>
                </c:pt>
                <c:pt idx="2">
                  <c:v>113</c:v>
                </c:pt>
                <c:pt idx="3">
                  <c:v>118</c:v>
                </c:pt>
                <c:pt idx="4">
                  <c:v>123</c:v>
                </c:pt>
                <c:pt idx="5">
                  <c:v>128</c:v>
                </c:pt>
                <c:pt idx="6">
                  <c:v>133</c:v>
                </c:pt>
                <c:pt idx="7">
                  <c:v>138</c:v>
                </c:pt>
                <c:pt idx="8">
                  <c:v>143</c:v>
                </c:pt>
                <c:pt idx="9">
                  <c:v>148</c:v>
                </c:pt>
                <c:pt idx="10">
                  <c:v>153</c:v>
                </c:pt>
                <c:pt idx="11">
                  <c:v>158</c:v>
                </c:pt>
                <c:pt idx="12">
                  <c:v>163</c:v>
                </c:pt>
                <c:pt idx="13">
                  <c:v>168</c:v>
                </c:pt>
              </c:numCache>
            </c:numRef>
          </c:cat>
          <c:val>
            <c:numRef>
              <c:f>Dutch8512Figs!$A$215:$O$215</c:f>
              <c:numCache>
                <c:formatCode>0.00</c:formatCode>
                <c:ptCount val="15"/>
                <c:pt idx="0">
                  <c:v>0</c:v>
                </c:pt>
                <c:pt idx="1">
                  <c:v>0.171324</c:v>
                </c:pt>
                <c:pt idx="2">
                  <c:v>0.27165299999999998</c:v>
                </c:pt>
                <c:pt idx="3">
                  <c:v>0.27245599999999998</c:v>
                </c:pt>
                <c:pt idx="4">
                  <c:v>0.17940700000000001</c:v>
                </c:pt>
                <c:pt idx="5">
                  <c:v>8.0149300000000007E-2</c:v>
                </c:pt>
                <c:pt idx="6">
                  <c:v>2.5011599999999998E-2</c:v>
                </c:pt>
                <c:pt idx="7">
                  <c:v>0</c:v>
                </c:pt>
                <c:pt idx="8">
                  <c:v>0</c:v>
                </c:pt>
                <c:pt idx="9">
                  <c:v>0</c:v>
                </c:pt>
                <c:pt idx="10">
                  <c:v>0</c:v>
                </c:pt>
                <c:pt idx="11">
                  <c:v>0</c:v>
                </c:pt>
                <c:pt idx="12">
                  <c:v>0</c:v>
                </c:pt>
                <c:pt idx="13">
                  <c:v>0</c:v>
                </c:pt>
                <c:pt idx="14">
                  <c:v>0</c:v>
                </c:pt>
              </c:numCache>
            </c:numRef>
          </c:val>
          <c:smooth val="1"/>
        </c:ser>
        <c:dLbls>
          <c:showLegendKey val="0"/>
          <c:showVal val="0"/>
          <c:showCatName val="0"/>
          <c:showSerName val="0"/>
          <c:showPercent val="0"/>
          <c:showBubbleSize val="0"/>
        </c:dLbls>
        <c:marker val="1"/>
        <c:smooth val="0"/>
        <c:axId val="98984704"/>
        <c:axId val="98987008"/>
      </c:lineChart>
      <c:catAx>
        <c:axId val="9898470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US"/>
                  <a:t>Carapace Length (mm)</a:t>
                </a:r>
              </a:p>
            </c:rich>
          </c:tx>
          <c:layout>
            <c:manualLayout>
              <c:xMode val="edge"/>
              <c:yMode val="edge"/>
              <c:x val="0.39493670886076865"/>
              <c:y val="0.82609095228083285"/>
            </c:manualLayout>
          </c:layout>
          <c:overlay val="0"/>
          <c:spPr>
            <a:noFill/>
            <a:ln w="25400">
              <a:noFill/>
            </a:ln>
          </c:spPr>
        </c:title>
        <c:numFmt formatCode="0" sourceLinked="1"/>
        <c:majorTickMark val="out"/>
        <c:minorTickMark val="none"/>
        <c:tickLblPos val="nextTo"/>
        <c:spPr>
          <a:ln w="25400">
            <a:solidFill>
              <a:srgbClr val="000000"/>
            </a:solidFill>
            <a:prstDash val="solid"/>
          </a:ln>
        </c:spPr>
        <c:txPr>
          <a:bodyPr rot="-2700000" vert="horz"/>
          <a:lstStyle/>
          <a:p>
            <a:pPr>
              <a:defRPr sz="800" b="1" i="0" u="none" strike="noStrike" baseline="0">
                <a:solidFill>
                  <a:srgbClr val="000000"/>
                </a:solidFill>
                <a:latin typeface="Arial"/>
                <a:ea typeface="Arial"/>
                <a:cs typeface="Arial"/>
              </a:defRPr>
            </a:pPr>
            <a:endParaRPr lang="en-US"/>
          </a:p>
        </c:txPr>
        <c:crossAx val="98987008"/>
        <c:crosses val="autoZero"/>
        <c:auto val="1"/>
        <c:lblAlgn val="ctr"/>
        <c:lblOffset val="100"/>
        <c:tickLblSkip val="2"/>
        <c:tickMarkSkip val="1"/>
        <c:noMultiLvlLbl val="0"/>
      </c:catAx>
      <c:valAx>
        <c:axId val="98987008"/>
        <c:scaling>
          <c:orientation val="minMax"/>
          <c:min val="0"/>
        </c:scaling>
        <c:delete val="0"/>
        <c:axPos val="l"/>
        <c:title>
          <c:tx>
            <c:rich>
              <a:bodyPr/>
              <a:lstStyle/>
              <a:p>
                <a:pPr>
                  <a:defRPr sz="800" b="1" i="0" u="none" strike="noStrike" baseline="0">
                    <a:solidFill>
                      <a:srgbClr val="000000"/>
                    </a:solidFill>
                    <a:latin typeface="Arial"/>
                    <a:ea typeface="Arial"/>
                    <a:cs typeface="Arial"/>
                  </a:defRPr>
                </a:pPr>
                <a:r>
                  <a:rPr lang="en-US"/>
                  <a:t>Recruits Distribution</a:t>
                </a:r>
              </a:p>
            </c:rich>
          </c:tx>
          <c:layout>
            <c:manualLayout>
              <c:xMode val="edge"/>
              <c:yMode val="edge"/>
              <c:x val="3.7974713945070612E-2"/>
              <c:y val="0.22980599235184623"/>
            </c:manualLayout>
          </c:layout>
          <c:overlay val="0"/>
          <c:spPr>
            <a:noFill/>
            <a:ln w="25400">
              <a:noFill/>
            </a:ln>
          </c:spPr>
        </c:title>
        <c:numFmt formatCode="0.00" sourceLinked="1"/>
        <c:majorTickMark val="out"/>
        <c:minorTickMark val="none"/>
        <c:tickLblPos val="nextTo"/>
        <c:spPr>
          <a:ln w="25400">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98984704"/>
        <c:crosses val="autoZero"/>
        <c:crossBetween val="between"/>
        <c:minorUnit val="0.05"/>
      </c:valAx>
      <c:spPr>
        <a:noFill/>
        <a:ln w="25400">
          <a:noFill/>
        </a:ln>
      </c:spPr>
    </c:plotArea>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3162729658674"/>
          <c:y val="0.1388888888888889"/>
          <c:w val="0.61448162729659395"/>
          <c:h val="0.65798118985126408"/>
        </c:manualLayout>
      </c:layout>
      <c:lineChart>
        <c:grouping val="standard"/>
        <c:varyColors val="0"/>
        <c:ser>
          <c:idx val="0"/>
          <c:order val="0"/>
          <c:tx>
            <c:strRef>
              <c:f>Retrospective!$C$3</c:f>
              <c:strCache>
                <c:ptCount val="1"/>
                <c:pt idx="0">
                  <c:v>2012</c:v>
                </c:pt>
              </c:strCache>
            </c:strRef>
          </c:tx>
          <c:spPr>
            <a:ln w="19050">
              <a:solidFill>
                <a:schemeClr val="tx1"/>
              </a:solidFill>
            </a:ln>
          </c:spPr>
          <c:marker>
            <c:symbol val="none"/>
          </c:marker>
          <c:cat>
            <c:numRef>
              <c:f>Retrospective!$B$4:$B$31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Retrospective!$C$4:$C$31</c:f>
              <c:numCache>
                <c:formatCode>General</c:formatCode>
                <c:ptCount val="28"/>
                <c:pt idx="0">
                  <c:v>5812.01</c:v>
                </c:pt>
                <c:pt idx="1">
                  <c:v>5045.75</c:v>
                </c:pt>
                <c:pt idx="2">
                  <c:v>4395.1400000000003</c:v>
                </c:pt>
                <c:pt idx="3">
                  <c:v>4107.5</c:v>
                </c:pt>
                <c:pt idx="4">
                  <c:v>3361.42</c:v>
                </c:pt>
                <c:pt idx="5">
                  <c:v>3468.18</c:v>
                </c:pt>
                <c:pt idx="6">
                  <c:v>3120.74</c:v>
                </c:pt>
                <c:pt idx="7">
                  <c:v>3320.03</c:v>
                </c:pt>
                <c:pt idx="8">
                  <c:v>3724.06</c:v>
                </c:pt>
                <c:pt idx="9">
                  <c:v>3359.07</c:v>
                </c:pt>
                <c:pt idx="10">
                  <c:v>2803.53</c:v>
                </c:pt>
                <c:pt idx="11">
                  <c:v>2719.62</c:v>
                </c:pt>
                <c:pt idx="12">
                  <c:v>2726.28</c:v>
                </c:pt>
                <c:pt idx="13">
                  <c:v>2900.36</c:v>
                </c:pt>
                <c:pt idx="14">
                  <c:v>3160.71</c:v>
                </c:pt>
                <c:pt idx="15">
                  <c:v>3362.83</c:v>
                </c:pt>
                <c:pt idx="16">
                  <c:v>3641.67</c:v>
                </c:pt>
                <c:pt idx="17">
                  <c:v>3949.82</c:v>
                </c:pt>
                <c:pt idx="18">
                  <c:v>4457.8</c:v>
                </c:pt>
                <c:pt idx="19">
                  <c:v>4621.78</c:v>
                </c:pt>
                <c:pt idx="20">
                  <c:v>4643.17</c:v>
                </c:pt>
                <c:pt idx="21">
                  <c:v>4756.04</c:v>
                </c:pt>
                <c:pt idx="22">
                  <c:v>4869.1899999999996</c:v>
                </c:pt>
                <c:pt idx="23">
                  <c:v>4983.68</c:v>
                </c:pt>
                <c:pt idx="24">
                  <c:v>5256.99</c:v>
                </c:pt>
                <c:pt idx="25">
                  <c:v>5573.47</c:v>
                </c:pt>
                <c:pt idx="26">
                  <c:v>5545.87</c:v>
                </c:pt>
                <c:pt idx="27">
                  <c:v>5139.46</c:v>
                </c:pt>
              </c:numCache>
            </c:numRef>
          </c:val>
          <c:smooth val="0"/>
        </c:ser>
        <c:ser>
          <c:idx val="1"/>
          <c:order val="1"/>
          <c:tx>
            <c:strRef>
              <c:f>Retrospective!$D$3</c:f>
              <c:strCache>
                <c:ptCount val="1"/>
                <c:pt idx="0">
                  <c:v>2011</c:v>
                </c:pt>
              </c:strCache>
            </c:strRef>
          </c:tx>
          <c:spPr>
            <a:ln w="19050"/>
          </c:spPr>
          <c:marker>
            <c:symbol val="none"/>
          </c:marker>
          <c:cat>
            <c:numRef>
              <c:f>Retrospective!$B$4:$B$31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Retrospective!$D$4:$D$31</c:f>
              <c:numCache>
                <c:formatCode>General</c:formatCode>
                <c:ptCount val="28"/>
                <c:pt idx="0">
                  <c:v>5538.05</c:v>
                </c:pt>
                <c:pt idx="1">
                  <c:v>4950.29</c:v>
                </c:pt>
                <c:pt idx="2">
                  <c:v>4376.96</c:v>
                </c:pt>
                <c:pt idx="3">
                  <c:v>4104.05</c:v>
                </c:pt>
                <c:pt idx="4">
                  <c:v>3345.84</c:v>
                </c:pt>
                <c:pt idx="5">
                  <c:v>3462.55</c:v>
                </c:pt>
                <c:pt idx="6">
                  <c:v>3112.5</c:v>
                </c:pt>
                <c:pt idx="7">
                  <c:v>3316.22</c:v>
                </c:pt>
                <c:pt idx="8">
                  <c:v>3713.17</c:v>
                </c:pt>
                <c:pt idx="9">
                  <c:v>3355.98</c:v>
                </c:pt>
                <c:pt idx="10">
                  <c:v>2790.02</c:v>
                </c:pt>
                <c:pt idx="11">
                  <c:v>2702.32</c:v>
                </c:pt>
                <c:pt idx="12">
                  <c:v>2698.85</c:v>
                </c:pt>
                <c:pt idx="13">
                  <c:v>2863.73</c:v>
                </c:pt>
                <c:pt idx="14">
                  <c:v>3115.04</c:v>
                </c:pt>
                <c:pt idx="15">
                  <c:v>3299.41</c:v>
                </c:pt>
                <c:pt idx="16">
                  <c:v>3554.65</c:v>
                </c:pt>
                <c:pt idx="17">
                  <c:v>3845.98</c:v>
                </c:pt>
                <c:pt idx="18">
                  <c:v>4302.29</c:v>
                </c:pt>
                <c:pt idx="19">
                  <c:v>4437.71</c:v>
                </c:pt>
                <c:pt idx="20">
                  <c:v>4442.3599999999997</c:v>
                </c:pt>
                <c:pt idx="21">
                  <c:v>4528.54</c:v>
                </c:pt>
                <c:pt idx="22">
                  <c:v>4617.2</c:v>
                </c:pt>
                <c:pt idx="23">
                  <c:v>4703.7299999999996</c:v>
                </c:pt>
                <c:pt idx="24">
                  <c:v>4931.99</c:v>
                </c:pt>
                <c:pt idx="25">
                  <c:v>5081.99</c:v>
                </c:pt>
                <c:pt idx="26">
                  <c:v>4995.92</c:v>
                </c:pt>
              </c:numCache>
            </c:numRef>
          </c:val>
          <c:smooth val="0"/>
        </c:ser>
        <c:ser>
          <c:idx val="2"/>
          <c:order val="2"/>
          <c:tx>
            <c:strRef>
              <c:f>Retrospective!$E$3</c:f>
              <c:strCache>
                <c:ptCount val="1"/>
                <c:pt idx="0">
                  <c:v>2010</c:v>
                </c:pt>
              </c:strCache>
            </c:strRef>
          </c:tx>
          <c:spPr>
            <a:ln w="19050">
              <a:solidFill>
                <a:srgbClr val="00B0F0"/>
              </a:solidFill>
            </a:ln>
          </c:spPr>
          <c:marker>
            <c:symbol val="none"/>
          </c:marker>
          <c:cat>
            <c:numRef>
              <c:f>Retrospective!$B$4:$B$31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Retrospective!$E$4:$E$31</c:f>
              <c:numCache>
                <c:formatCode>General</c:formatCode>
                <c:ptCount val="28"/>
                <c:pt idx="0">
                  <c:v>5748.2</c:v>
                </c:pt>
                <c:pt idx="1">
                  <c:v>5010.1000000000004</c:v>
                </c:pt>
                <c:pt idx="2">
                  <c:v>4368.1000000000004</c:v>
                </c:pt>
                <c:pt idx="3">
                  <c:v>4102.13</c:v>
                </c:pt>
                <c:pt idx="4">
                  <c:v>3337.81</c:v>
                </c:pt>
                <c:pt idx="5">
                  <c:v>3459.87</c:v>
                </c:pt>
                <c:pt idx="6">
                  <c:v>3107.02</c:v>
                </c:pt>
                <c:pt idx="7">
                  <c:v>3309.24</c:v>
                </c:pt>
                <c:pt idx="8">
                  <c:v>3695.21</c:v>
                </c:pt>
                <c:pt idx="9">
                  <c:v>3332.92</c:v>
                </c:pt>
                <c:pt idx="10">
                  <c:v>2769.16</c:v>
                </c:pt>
                <c:pt idx="11">
                  <c:v>2687.95</c:v>
                </c:pt>
                <c:pt idx="12">
                  <c:v>2686.93</c:v>
                </c:pt>
                <c:pt idx="13">
                  <c:v>2844.06</c:v>
                </c:pt>
                <c:pt idx="14">
                  <c:v>3088.58</c:v>
                </c:pt>
                <c:pt idx="15">
                  <c:v>3268.69</c:v>
                </c:pt>
                <c:pt idx="16">
                  <c:v>3508.29</c:v>
                </c:pt>
                <c:pt idx="17">
                  <c:v>3784.44</c:v>
                </c:pt>
                <c:pt idx="18">
                  <c:v>4203.93</c:v>
                </c:pt>
                <c:pt idx="19">
                  <c:v>4290.46</c:v>
                </c:pt>
                <c:pt idx="20">
                  <c:v>4242.01</c:v>
                </c:pt>
                <c:pt idx="21">
                  <c:v>4263.7700000000004</c:v>
                </c:pt>
                <c:pt idx="22">
                  <c:v>4250.1499999999996</c:v>
                </c:pt>
                <c:pt idx="23">
                  <c:v>4161.8500000000004</c:v>
                </c:pt>
                <c:pt idx="24">
                  <c:v>4048.28</c:v>
                </c:pt>
                <c:pt idx="25">
                  <c:v>3949.62</c:v>
                </c:pt>
              </c:numCache>
            </c:numRef>
          </c:val>
          <c:smooth val="0"/>
        </c:ser>
        <c:ser>
          <c:idx val="3"/>
          <c:order val="3"/>
          <c:tx>
            <c:strRef>
              <c:f>Retrospective!$F$3</c:f>
              <c:strCache>
                <c:ptCount val="1"/>
                <c:pt idx="0">
                  <c:v>2009</c:v>
                </c:pt>
              </c:strCache>
            </c:strRef>
          </c:tx>
          <c:spPr>
            <a:ln w="19050">
              <a:solidFill>
                <a:srgbClr val="7030A0"/>
              </a:solidFill>
            </a:ln>
          </c:spPr>
          <c:marker>
            <c:symbol val="none"/>
          </c:marker>
          <c:cat>
            <c:numRef>
              <c:f>Retrospective!$B$4:$B$31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Retrospective!$F$4:$F$31</c:f>
              <c:numCache>
                <c:formatCode>General</c:formatCode>
                <c:ptCount val="28"/>
                <c:pt idx="0">
                  <c:v>6044.55</c:v>
                </c:pt>
                <c:pt idx="1">
                  <c:v>4967.58</c:v>
                </c:pt>
                <c:pt idx="2">
                  <c:v>4380.1000000000004</c:v>
                </c:pt>
                <c:pt idx="3">
                  <c:v>4140.4399999999996</c:v>
                </c:pt>
                <c:pt idx="4">
                  <c:v>3357.78</c:v>
                </c:pt>
                <c:pt idx="5">
                  <c:v>3488.23</c:v>
                </c:pt>
                <c:pt idx="6">
                  <c:v>3134.53</c:v>
                </c:pt>
                <c:pt idx="7">
                  <c:v>3344.34</c:v>
                </c:pt>
                <c:pt idx="8">
                  <c:v>3723.43</c:v>
                </c:pt>
                <c:pt idx="9">
                  <c:v>3371.29</c:v>
                </c:pt>
                <c:pt idx="10">
                  <c:v>2793.36</c:v>
                </c:pt>
                <c:pt idx="11">
                  <c:v>2708.12</c:v>
                </c:pt>
                <c:pt idx="12">
                  <c:v>2698.37</c:v>
                </c:pt>
                <c:pt idx="13">
                  <c:v>2850.58</c:v>
                </c:pt>
                <c:pt idx="14">
                  <c:v>3091.04</c:v>
                </c:pt>
                <c:pt idx="15">
                  <c:v>3257.48</c:v>
                </c:pt>
                <c:pt idx="16">
                  <c:v>3480.41</c:v>
                </c:pt>
                <c:pt idx="17">
                  <c:v>3751.94</c:v>
                </c:pt>
                <c:pt idx="18">
                  <c:v>4134.7</c:v>
                </c:pt>
                <c:pt idx="19">
                  <c:v>4218.5200000000004</c:v>
                </c:pt>
                <c:pt idx="20">
                  <c:v>4178.5600000000004</c:v>
                </c:pt>
                <c:pt idx="21">
                  <c:v>4202.49</c:v>
                </c:pt>
                <c:pt idx="22">
                  <c:v>4200.16</c:v>
                </c:pt>
                <c:pt idx="23">
                  <c:v>4221.22</c:v>
                </c:pt>
                <c:pt idx="24">
                  <c:v>4470.24</c:v>
                </c:pt>
              </c:numCache>
            </c:numRef>
          </c:val>
          <c:smooth val="0"/>
        </c:ser>
        <c:ser>
          <c:idx val="4"/>
          <c:order val="4"/>
          <c:tx>
            <c:strRef>
              <c:f>Retrospective!$G$3</c:f>
              <c:strCache>
                <c:ptCount val="1"/>
                <c:pt idx="0">
                  <c:v>2008</c:v>
                </c:pt>
              </c:strCache>
            </c:strRef>
          </c:tx>
          <c:spPr>
            <a:ln w="19050">
              <a:solidFill>
                <a:schemeClr val="accent3"/>
              </a:solidFill>
            </a:ln>
          </c:spPr>
          <c:marker>
            <c:symbol val="none"/>
          </c:marker>
          <c:cat>
            <c:numRef>
              <c:f>Retrospective!$B$4:$B$31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Retrospective!$G$4:$G$31</c:f>
              <c:numCache>
                <c:formatCode>General</c:formatCode>
                <c:ptCount val="28"/>
                <c:pt idx="0">
                  <c:v>5972.75</c:v>
                </c:pt>
                <c:pt idx="1">
                  <c:v>5168.57</c:v>
                </c:pt>
                <c:pt idx="2">
                  <c:v>4509.33</c:v>
                </c:pt>
                <c:pt idx="3">
                  <c:v>4284.62</c:v>
                </c:pt>
                <c:pt idx="4">
                  <c:v>3490.84</c:v>
                </c:pt>
                <c:pt idx="5">
                  <c:v>3612.25</c:v>
                </c:pt>
                <c:pt idx="6">
                  <c:v>3261.08</c:v>
                </c:pt>
                <c:pt idx="7">
                  <c:v>3480.32</c:v>
                </c:pt>
                <c:pt idx="8">
                  <c:v>3854.26</c:v>
                </c:pt>
                <c:pt idx="9">
                  <c:v>3494.09</c:v>
                </c:pt>
                <c:pt idx="10">
                  <c:v>2919.44</c:v>
                </c:pt>
                <c:pt idx="11">
                  <c:v>2847.64</c:v>
                </c:pt>
                <c:pt idx="12">
                  <c:v>2857.33</c:v>
                </c:pt>
                <c:pt idx="13">
                  <c:v>3033.39</c:v>
                </c:pt>
                <c:pt idx="14">
                  <c:v>3301.99</c:v>
                </c:pt>
                <c:pt idx="15">
                  <c:v>3508.82</c:v>
                </c:pt>
                <c:pt idx="16">
                  <c:v>3784.63</c:v>
                </c:pt>
                <c:pt idx="17">
                  <c:v>4121.45</c:v>
                </c:pt>
                <c:pt idx="18">
                  <c:v>4617.1000000000004</c:v>
                </c:pt>
                <c:pt idx="19">
                  <c:v>4805.96</c:v>
                </c:pt>
                <c:pt idx="20">
                  <c:v>4870.34</c:v>
                </c:pt>
                <c:pt idx="21">
                  <c:v>5077.41</c:v>
                </c:pt>
                <c:pt idx="22">
                  <c:v>5462.06</c:v>
                </c:pt>
                <c:pt idx="23">
                  <c:v>6318.92</c:v>
                </c:pt>
              </c:numCache>
            </c:numRef>
          </c:val>
          <c:smooth val="0"/>
        </c:ser>
        <c:dLbls>
          <c:showLegendKey val="0"/>
          <c:showVal val="0"/>
          <c:showCatName val="0"/>
          <c:showSerName val="0"/>
          <c:showPercent val="0"/>
          <c:showBubbleSize val="0"/>
        </c:dLbls>
        <c:marker val="1"/>
        <c:smooth val="0"/>
        <c:axId val="99567872"/>
        <c:axId val="99578240"/>
      </c:lineChart>
      <c:catAx>
        <c:axId val="99567872"/>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spPr>
          <a:ln w="25400">
            <a:solidFill>
              <a:schemeClr val="tx1"/>
            </a:solidFill>
          </a:ln>
        </c:spPr>
        <c:txPr>
          <a:bodyPr/>
          <a:lstStyle/>
          <a:p>
            <a:pPr>
              <a:defRPr b="1">
                <a:latin typeface="Arial" pitchFamily="34" charset="0"/>
                <a:cs typeface="Arial" pitchFamily="34" charset="0"/>
              </a:defRPr>
            </a:pPr>
            <a:endParaRPr lang="en-US"/>
          </a:p>
        </c:txPr>
        <c:crossAx val="99578240"/>
        <c:crosses val="autoZero"/>
        <c:auto val="1"/>
        <c:lblAlgn val="ctr"/>
        <c:lblOffset val="100"/>
        <c:noMultiLvlLbl val="0"/>
      </c:catAx>
      <c:valAx>
        <c:axId val="99578240"/>
        <c:scaling>
          <c:orientation val="minMax"/>
        </c:scaling>
        <c:delete val="0"/>
        <c:axPos val="l"/>
        <c:title>
          <c:tx>
            <c:rich>
              <a:bodyPr rot="-5400000" vert="horz"/>
              <a:lstStyle/>
              <a:p>
                <a:pPr>
                  <a:defRPr/>
                </a:pPr>
                <a:r>
                  <a:rPr lang="en-US"/>
                  <a:t>MMB (t)</a:t>
                </a:r>
              </a:p>
            </c:rich>
          </c:tx>
          <c:overlay val="0"/>
        </c:title>
        <c:numFmt formatCode="General" sourceLinked="1"/>
        <c:majorTickMark val="none"/>
        <c:minorTickMark val="none"/>
        <c:tickLblPos val="nextTo"/>
        <c:spPr>
          <a:ln w="25400">
            <a:solidFill>
              <a:schemeClr val="tx1"/>
            </a:solidFill>
          </a:ln>
        </c:spPr>
        <c:txPr>
          <a:bodyPr/>
          <a:lstStyle/>
          <a:p>
            <a:pPr>
              <a:defRPr b="1">
                <a:latin typeface="Arial" pitchFamily="34" charset="0"/>
                <a:cs typeface="Arial" pitchFamily="34" charset="0"/>
              </a:defRPr>
            </a:pPr>
            <a:endParaRPr lang="en-US"/>
          </a:p>
        </c:txPr>
        <c:crossAx val="99567872"/>
        <c:crosses val="autoZero"/>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3162729658674"/>
          <c:y val="0.1388888888888889"/>
          <c:w val="0.61448162729659395"/>
          <c:h val="0.65798118985126408"/>
        </c:manualLayout>
      </c:layout>
      <c:lineChart>
        <c:grouping val="standard"/>
        <c:varyColors val="0"/>
        <c:ser>
          <c:idx val="0"/>
          <c:order val="0"/>
          <c:tx>
            <c:strRef>
              <c:f>Retrospective!$C$3</c:f>
              <c:strCache>
                <c:ptCount val="1"/>
                <c:pt idx="0">
                  <c:v>2012</c:v>
                </c:pt>
              </c:strCache>
            </c:strRef>
          </c:tx>
          <c:spPr>
            <a:ln w="19050">
              <a:solidFill>
                <a:schemeClr val="tx1"/>
              </a:solidFill>
            </a:ln>
          </c:spPr>
          <c:marker>
            <c:symbol val="none"/>
          </c:marker>
          <c:cat>
            <c:numRef>
              <c:f>Retrospective!$B$4:$B$31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Retrospective!$C$4:$C$31</c:f>
              <c:numCache>
                <c:formatCode>General</c:formatCode>
                <c:ptCount val="28"/>
                <c:pt idx="0">
                  <c:v>5196.1099999999997</c:v>
                </c:pt>
                <c:pt idx="1">
                  <c:v>4588.76</c:v>
                </c:pt>
                <c:pt idx="2">
                  <c:v>3952.9</c:v>
                </c:pt>
                <c:pt idx="3">
                  <c:v>2878.34</c:v>
                </c:pt>
                <c:pt idx="4">
                  <c:v>2616.54</c:v>
                </c:pt>
                <c:pt idx="5">
                  <c:v>2559.9</c:v>
                </c:pt>
                <c:pt idx="6">
                  <c:v>2202.37</c:v>
                </c:pt>
                <c:pt idx="7">
                  <c:v>2293.16</c:v>
                </c:pt>
                <c:pt idx="8">
                  <c:v>3096.54</c:v>
                </c:pt>
                <c:pt idx="9">
                  <c:v>2574.4499999999998</c:v>
                </c:pt>
                <c:pt idx="10">
                  <c:v>2136.0500000000002</c:v>
                </c:pt>
                <c:pt idx="11">
                  <c:v>2084.2399999999998</c:v>
                </c:pt>
                <c:pt idx="12">
                  <c:v>2099.4699999999998</c:v>
                </c:pt>
                <c:pt idx="13">
                  <c:v>2271.1799999999998</c:v>
                </c:pt>
                <c:pt idx="14">
                  <c:v>2496.7399999999998</c:v>
                </c:pt>
                <c:pt idx="15">
                  <c:v>2730.72</c:v>
                </c:pt>
                <c:pt idx="16">
                  <c:v>2986.65</c:v>
                </c:pt>
                <c:pt idx="17">
                  <c:v>3248.76</c:v>
                </c:pt>
                <c:pt idx="18">
                  <c:v>3847.37</c:v>
                </c:pt>
                <c:pt idx="19">
                  <c:v>4113.46</c:v>
                </c:pt>
                <c:pt idx="20">
                  <c:v>4019.84</c:v>
                </c:pt>
                <c:pt idx="21">
                  <c:v>4064.34</c:v>
                </c:pt>
                <c:pt idx="22">
                  <c:v>4138.3500000000004</c:v>
                </c:pt>
                <c:pt idx="23">
                  <c:v>4134.84</c:v>
                </c:pt>
                <c:pt idx="24">
                  <c:v>4270.53</c:v>
                </c:pt>
                <c:pt idx="25">
                  <c:v>4749.78</c:v>
                </c:pt>
                <c:pt idx="26">
                  <c:v>4814.62</c:v>
                </c:pt>
                <c:pt idx="27">
                  <c:v>4432.29</c:v>
                </c:pt>
              </c:numCache>
            </c:numRef>
          </c:val>
          <c:smooth val="0"/>
        </c:ser>
        <c:ser>
          <c:idx val="1"/>
          <c:order val="1"/>
          <c:tx>
            <c:strRef>
              <c:f>Retrospective!$D$3</c:f>
              <c:strCache>
                <c:ptCount val="1"/>
                <c:pt idx="0">
                  <c:v>2011</c:v>
                </c:pt>
              </c:strCache>
            </c:strRef>
          </c:tx>
          <c:spPr>
            <a:ln w="19050"/>
          </c:spPr>
          <c:marker>
            <c:symbol val="none"/>
          </c:marker>
          <c:cat>
            <c:numRef>
              <c:f>Retrospective!$B$4:$B$31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Retrospective!$D$4:$D$31</c:f>
              <c:numCache>
                <c:formatCode>General</c:formatCode>
                <c:ptCount val="28"/>
                <c:pt idx="0">
                  <c:v>5391.19</c:v>
                </c:pt>
                <c:pt idx="1">
                  <c:v>4582.1400000000003</c:v>
                </c:pt>
                <c:pt idx="2">
                  <c:v>3970.09</c:v>
                </c:pt>
                <c:pt idx="3">
                  <c:v>2864.15</c:v>
                </c:pt>
                <c:pt idx="4">
                  <c:v>2625.46</c:v>
                </c:pt>
                <c:pt idx="5">
                  <c:v>2566.1799999999998</c:v>
                </c:pt>
                <c:pt idx="6">
                  <c:v>2195.19</c:v>
                </c:pt>
                <c:pt idx="7">
                  <c:v>2298.11</c:v>
                </c:pt>
                <c:pt idx="8">
                  <c:v>3129.16</c:v>
                </c:pt>
                <c:pt idx="9">
                  <c:v>2594.17</c:v>
                </c:pt>
                <c:pt idx="10">
                  <c:v>2143.5100000000002</c:v>
                </c:pt>
                <c:pt idx="11">
                  <c:v>2094.34</c:v>
                </c:pt>
                <c:pt idx="12">
                  <c:v>2101.2399999999998</c:v>
                </c:pt>
                <c:pt idx="13">
                  <c:v>2274.31</c:v>
                </c:pt>
                <c:pt idx="14">
                  <c:v>2503.7399999999998</c:v>
                </c:pt>
                <c:pt idx="15">
                  <c:v>2730.7</c:v>
                </c:pt>
                <c:pt idx="16">
                  <c:v>2978.93</c:v>
                </c:pt>
                <c:pt idx="17">
                  <c:v>3235.99</c:v>
                </c:pt>
                <c:pt idx="18">
                  <c:v>3797.06</c:v>
                </c:pt>
                <c:pt idx="19">
                  <c:v>4019.37</c:v>
                </c:pt>
                <c:pt idx="20">
                  <c:v>3905.61</c:v>
                </c:pt>
                <c:pt idx="21">
                  <c:v>3922.87</c:v>
                </c:pt>
                <c:pt idx="22">
                  <c:v>3979.06</c:v>
                </c:pt>
                <c:pt idx="23">
                  <c:v>3966.75</c:v>
                </c:pt>
                <c:pt idx="24">
                  <c:v>4068.24</c:v>
                </c:pt>
                <c:pt idx="25">
                  <c:v>4396.54</c:v>
                </c:pt>
                <c:pt idx="26">
                  <c:v>4380.47</c:v>
                </c:pt>
              </c:numCache>
            </c:numRef>
          </c:val>
          <c:smooth val="0"/>
        </c:ser>
        <c:ser>
          <c:idx val="2"/>
          <c:order val="2"/>
          <c:tx>
            <c:strRef>
              <c:f>Retrospective!$E$3</c:f>
              <c:strCache>
                <c:ptCount val="1"/>
                <c:pt idx="0">
                  <c:v>2010</c:v>
                </c:pt>
              </c:strCache>
            </c:strRef>
          </c:tx>
          <c:spPr>
            <a:ln w="19050">
              <a:solidFill>
                <a:srgbClr val="00B0F0"/>
              </a:solidFill>
            </a:ln>
          </c:spPr>
          <c:marker>
            <c:symbol val="none"/>
          </c:marker>
          <c:cat>
            <c:numRef>
              <c:f>Retrospective!$B$4:$B$31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Retrospective!$E$4:$E$31</c:f>
              <c:numCache>
                <c:formatCode>General</c:formatCode>
                <c:ptCount val="28"/>
                <c:pt idx="0">
                  <c:v>5405.44</c:v>
                </c:pt>
                <c:pt idx="1">
                  <c:v>4605.8599999999997</c:v>
                </c:pt>
                <c:pt idx="2">
                  <c:v>3983.62</c:v>
                </c:pt>
                <c:pt idx="3">
                  <c:v>2870.8</c:v>
                </c:pt>
                <c:pt idx="4">
                  <c:v>2631.95</c:v>
                </c:pt>
                <c:pt idx="5">
                  <c:v>2573.87</c:v>
                </c:pt>
                <c:pt idx="6">
                  <c:v>2197.4499999999998</c:v>
                </c:pt>
                <c:pt idx="7">
                  <c:v>2306.35</c:v>
                </c:pt>
                <c:pt idx="8">
                  <c:v>3125.27</c:v>
                </c:pt>
                <c:pt idx="9">
                  <c:v>2571.58</c:v>
                </c:pt>
                <c:pt idx="10">
                  <c:v>2126.54</c:v>
                </c:pt>
                <c:pt idx="11">
                  <c:v>2092.52</c:v>
                </c:pt>
                <c:pt idx="12">
                  <c:v>2112.0500000000002</c:v>
                </c:pt>
                <c:pt idx="13">
                  <c:v>2278.41</c:v>
                </c:pt>
                <c:pt idx="14">
                  <c:v>2492.4899999999998</c:v>
                </c:pt>
                <c:pt idx="15">
                  <c:v>2721.25</c:v>
                </c:pt>
                <c:pt idx="16">
                  <c:v>2964.47</c:v>
                </c:pt>
                <c:pt idx="17">
                  <c:v>3196.6</c:v>
                </c:pt>
                <c:pt idx="18">
                  <c:v>3738.99</c:v>
                </c:pt>
                <c:pt idx="19">
                  <c:v>3907.15</c:v>
                </c:pt>
                <c:pt idx="20">
                  <c:v>3723.95</c:v>
                </c:pt>
                <c:pt idx="21">
                  <c:v>3694.05</c:v>
                </c:pt>
                <c:pt idx="22">
                  <c:v>3692.75</c:v>
                </c:pt>
                <c:pt idx="23">
                  <c:v>3556.76</c:v>
                </c:pt>
                <c:pt idx="24">
                  <c:v>3392.3</c:v>
                </c:pt>
                <c:pt idx="25">
                  <c:v>3234.41</c:v>
                </c:pt>
              </c:numCache>
            </c:numRef>
          </c:val>
          <c:smooth val="0"/>
        </c:ser>
        <c:ser>
          <c:idx val="3"/>
          <c:order val="3"/>
          <c:tx>
            <c:strRef>
              <c:f>Retrospective!$F$3</c:f>
              <c:strCache>
                <c:ptCount val="1"/>
                <c:pt idx="0">
                  <c:v>2009</c:v>
                </c:pt>
              </c:strCache>
            </c:strRef>
          </c:tx>
          <c:spPr>
            <a:ln w="19050">
              <a:solidFill>
                <a:srgbClr val="7030A0"/>
              </a:solidFill>
            </a:ln>
          </c:spPr>
          <c:marker>
            <c:symbol val="none"/>
          </c:marker>
          <c:cat>
            <c:numRef>
              <c:f>Retrospective!$B$4:$B$31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Retrospective!$F$4:$F$31</c:f>
              <c:numCache>
                <c:formatCode>General</c:formatCode>
                <c:ptCount val="28"/>
                <c:pt idx="0">
                  <c:v>5587.07</c:v>
                </c:pt>
                <c:pt idx="1">
                  <c:v>4664.7700000000004</c:v>
                </c:pt>
                <c:pt idx="2">
                  <c:v>4010.32</c:v>
                </c:pt>
                <c:pt idx="3">
                  <c:v>2920.18</c:v>
                </c:pt>
                <c:pt idx="4">
                  <c:v>2668.19</c:v>
                </c:pt>
                <c:pt idx="5">
                  <c:v>2612.2199999999998</c:v>
                </c:pt>
                <c:pt idx="6">
                  <c:v>2233.88</c:v>
                </c:pt>
                <c:pt idx="7">
                  <c:v>2356.52</c:v>
                </c:pt>
                <c:pt idx="8">
                  <c:v>3151.69</c:v>
                </c:pt>
                <c:pt idx="9">
                  <c:v>2605.77</c:v>
                </c:pt>
                <c:pt idx="10">
                  <c:v>2154.11</c:v>
                </c:pt>
                <c:pt idx="11">
                  <c:v>2109.6999999999998</c:v>
                </c:pt>
                <c:pt idx="12">
                  <c:v>2121.84</c:v>
                </c:pt>
                <c:pt idx="13">
                  <c:v>2288.4899999999998</c:v>
                </c:pt>
                <c:pt idx="14">
                  <c:v>2507.1799999999998</c:v>
                </c:pt>
                <c:pt idx="15">
                  <c:v>2729.77</c:v>
                </c:pt>
                <c:pt idx="16">
                  <c:v>2965.02</c:v>
                </c:pt>
                <c:pt idx="17">
                  <c:v>3191.7</c:v>
                </c:pt>
                <c:pt idx="18">
                  <c:v>3695.21</c:v>
                </c:pt>
                <c:pt idx="19">
                  <c:v>3815.21</c:v>
                </c:pt>
                <c:pt idx="20">
                  <c:v>3614.62</c:v>
                </c:pt>
                <c:pt idx="21">
                  <c:v>3572.42</c:v>
                </c:pt>
                <c:pt idx="22">
                  <c:v>3555.48</c:v>
                </c:pt>
                <c:pt idx="23">
                  <c:v>3441.11</c:v>
                </c:pt>
                <c:pt idx="24">
                  <c:v>3459.78</c:v>
                </c:pt>
              </c:numCache>
            </c:numRef>
          </c:val>
          <c:smooth val="0"/>
        </c:ser>
        <c:ser>
          <c:idx val="4"/>
          <c:order val="4"/>
          <c:tx>
            <c:strRef>
              <c:f>Retrospective!$G$3</c:f>
              <c:strCache>
                <c:ptCount val="1"/>
                <c:pt idx="0">
                  <c:v>2008</c:v>
                </c:pt>
              </c:strCache>
            </c:strRef>
          </c:tx>
          <c:spPr>
            <a:ln w="19050">
              <a:solidFill>
                <a:schemeClr val="accent3"/>
              </a:solidFill>
            </a:ln>
          </c:spPr>
          <c:marker>
            <c:symbol val="none"/>
          </c:marker>
          <c:cat>
            <c:numRef>
              <c:f>Retrospective!$B$4:$B$31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Retrospective!$G$4:$G$31</c:f>
              <c:numCache>
                <c:formatCode>General</c:formatCode>
                <c:ptCount val="28"/>
                <c:pt idx="0">
                  <c:v>6104.45</c:v>
                </c:pt>
                <c:pt idx="1">
                  <c:v>4617.3</c:v>
                </c:pt>
                <c:pt idx="2">
                  <c:v>4098.2</c:v>
                </c:pt>
                <c:pt idx="3">
                  <c:v>2990.25</c:v>
                </c:pt>
                <c:pt idx="4">
                  <c:v>2771.69</c:v>
                </c:pt>
                <c:pt idx="5">
                  <c:v>2705.2</c:v>
                </c:pt>
                <c:pt idx="6">
                  <c:v>2312.85</c:v>
                </c:pt>
                <c:pt idx="7">
                  <c:v>2468.12</c:v>
                </c:pt>
                <c:pt idx="8">
                  <c:v>3268.8</c:v>
                </c:pt>
                <c:pt idx="9">
                  <c:v>2709.19</c:v>
                </c:pt>
                <c:pt idx="10">
                  <c:v>2249.96</c:v>
                </c:pt>
                <c:pt idx="11">
                  <c:v>2212.48</c:v>
                </c:pt>
                <c:pt idx="12">
                  <c:v>2229.69</c:v>
                </c:pt>
                <c:pt idx="13">
                  <c:v>2411.3000000000002</c:v>
                </c:pt>
                <c:pt idx="14">
                  <c:v>2645.91</c:v>
                </c:pt>
                <c:pt idx="15">
                  <c:v>2880.98</c:v>
                </c:pt>
                <c:pt idx="16">
                  <c:v>3136.77</c:v>
                </c:pt>
                <c:pt idx="17">
                  <c:v>3389.19</c:v>
                </c:pt>
                <c:pt idx="18">
                  <c:v>3939.71</c:v>
                </c:pt>
                <c:pt idx="19">
                  <c:v>4108.93</c:v>
                </c:pt>
                <c:pt idx="20">
                  <c:v>3950.36</c:v>
                </c:pt>
                <c:pt idx="21">
                  <c:v>3980.81</c:v>
                </c:pt>
                <c:pt idx="22">
                  <c:v>4186.09</c:v>
                </c:pt>
                <c:pt idx="23">
                  <c:v>4729.37</c:v>
                </c:pt>
              </c:numCache>
            </c:numRef>
          </c:val>
          <c:smooth val="0"/>
        </c:ser>
        <c:dLbls>
          <c:showLegendKey val="0"/>
          <c:showVal val="0"/>
          <c:showCatName val="0"/>
          <c:showSerName val="0"/>
          <c:showPercent val="0"/>
          <c:showBubbleSize val="0"/>
        </c:dLbls>
        <c:marker val="1"/>
        <c:smooth val="0"/>
        <c:axId val="99610624"/>
        <c:axId val="99612544"/>
      </c:lineChart>
      <c:catAx>
        <c:axId val="99610624"/>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spPr>
          <a:ln w="25400">
            <a:solidFill>
              <a:schemeClr val="tx1"/>
            </a:solidFill>
          </a:ln>
        </c:spPr>
        <c:txPr>
          <a:bodyPr/>
          <a:lstStyle/>
          <a:p>
            <a:pPr>
              <a:defRPr b="1">
                <a:latin typeface="Arial" pitchFamily="34" charset="0"/>
                <a:cs typeface="Arial" pitchFamily="34" charset="0"/>
              </a:defRPr>
            </a:pPr>
            <a:endParaRPr lang="en-US"/>
          </a:p>
        </c:txPr>
        <c:crossAx val="99612544"/>
        <c:crosses val="autoZero"/>
        <c:auto val="1"/>
        <c:lblAlgn val="ctr"/>
        <c:lblOffset val="100"/>
        <c:noMultiLvlLbl val="0"/>
      </c:catAx>
      <c:valAx>
        <c:axId val="99612544"/>
        <c:scaling>
          <c:orientation val="minMax"/>
        </c:scaling>
        <c:delete val="0"/>
        <c:axPos val="l"/>
        <c:title>
          <c:tx>
            <c:rich>
              <a:bodyPr rot="-5400000" vert="horz"/>
              <a:lstStyle/>
              <a:p>
                <a:pPr>
                  <a:defRPr/>
                </a:pPr>
                <a:r>
                  <a:rPr lang="en-US"/>
                  <a:t>MMB (t)</a:t>
                </a:r>
              </a:p>
            </c:rich>
          </c:tx>
          <c:overlay val="0"/>
        </c:title>
        <c:numFmt formatCode="General" sourceLinked="1"/>
        <c:majorTickMark val="none"/>
        <c:minorTickMark val="none"/>
        <c:tickLblPos val="nextTo"/>
        <c:spPr>
          <a:ln w="25400">
            <a:solidFill>
              <a:schemeClr val="tx1"/>
            </a:solidFill>
          </a:ln>
        </c:spPr>
        <c:txPr>
          <a:bodyPr/>
          <a:lstStyle/>
          <a:p>
            <a:pPr>
              <a:defRPr b="1">
                <a:latin typeface="Arial" pitchFamily="34" charset="0"/>
                <a:cs typeface="Arial" pitchFamily="34" charset="0"/>
              </a:defRPr>
            </a:pPr>
            <a:endParaRPr lang="en-US"/>
          </a:p>
        </c:txPr>
        <c:crossAx val="99610624"/>
        <c:crosses val="autoZero"/>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0740085368864"/>
          <c:y val="4.1222459132906904E-2"/>
          <c:w val="0.75976818942014068"/>
          <c:h val="0.83368869936034162"/>
        </c:manualLayout>
      </c:layout>
      <c:bubbleChart>
        <c:varyColors val="0"/>
        <c:ser>
          <c:idx val="0"/>
          <c:order val="0"/>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RetBubblePlot!$B$33:$B$60</c:f>
              <c:numCache>
                <c:formatCode>General</c:formatCode>
                <c:ptCount val="28"/>
              </c:numCache>
            </c:numRef>
          </c:yVal>
          <c:bubbleSize>
            <c:numRef>
              <c:f>RetBubblePlot!$B$4:$B$31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RetBubblePlot!$C$33:$C$60</c:f>
              <c:numCache>
                <c:formatCode>General</c:formatCode>
                <c:ptCount val="28"/>
              </c:numCache>
            </c:numRef>
          </c:yVal>
          <c:bubbleSize>
            <c:numRef>
              <c:f>RetBubblePlot!$C$4:$C$31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RetBubblePlot!$D$33:$D$60</c:f>
              <c:numCache>
                <c:formatCode>General</c:formatCode>
                <c:ptCount val="28"/>
              </c:numCache>
            </c:numRef>
          </c:yVal>
          <c:bubbleSize>
            <c:numRef>
              <c:f>RetBubblePlot!$D$4:$D$31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RetBubblePlot!$E$33:$E$60</c:f>
              <c:numCache>
                <c:formatCode>General</c:formatCode>
                <c:ptCount val="28"/>
              </c:numCache>
            </c:numRef>
          </c:yVal>
          <c:bubbleSize>
            <c:numRef>
              <c:f>RetBubblePlot!$E$4:$E$31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RetBubblePlot!$F$33:$F$60</c:f>
              <c:numCache>
                <c:formatCode>General</c:formatCode>
                <c:ptCount val="28"/>
              </c:numCache>
            </c:numRef>
          </c:yVal>
          <c:bubbleSize>
            <c:numRef>
              <c:f>RetBubblePlot!$F$4:$F$31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RetBubblePlot!$G$33:$G$60</c:f>
              <c:numCache>
                <c:formatCode>General</c:formatCode>
                <c:ptCount val="28"/>
                <c:pt idx="0">
                  <c:v>128</c:v>
                </c:pt>
                <c:pt idx="1">
                  <c:v>128</c:v>
                </c:pt>
                <c:pt idx="2">
                  <c:v>128</c:v>
                </c:pt>
                <c:pt idx="3">
                  <c:v>128</c:v>
                </c:pt>
                <c:pt idx="4">
                  <c:v>128</c:v>
                </c:pt>
                <c:pt idx="5">
                  <c:v>128</c:v>
                </c:pt>
                <c:pt idx="6">
                  <c:v>128</c:v>
                </c:pt>
                <c:pt idx="7">
                  <c:v>128</c:v>
                </c:pt>
                <c:pt idx="8">
                  <c:v>128</c:v>
                </c:pt>
                <c:pt idx="9">
                  <c:v>128</c:v>
                </c:pt>
                <c:pt idx="10">
                  <c:v>128</c:v>
                </c:pt>
                <c:pt idx="11">
                  <c:v>128</c:v>
                </c:pt>
                <c:pt idx="12">
                  <c:v>128</c:v>
                </c:pt>
                <c:pt idx="13">
                  <c:v>128</c:v>
                </c:pt>
                <c:pt idx="14">
                  <c:v>128</c:v>
                </c:pt>
                <c:pt idx="15">
                  <c:v>128</c:v>
                </c:pt>
                <c:pt idx="16">
                  <c:v>128</c:v>
                </c:pt>
                <c:pt idx="17">
                  <c:v>128</c:v>
                </c:pt>
                <c:pt idx="18">
                  <c:v>128</c:v>
                </c:pt>
                <c:pt idx="19">
                  <c:v>128</c:v>
                </c:pt>
                <c:pt idx="20">
                  <c:v>128</c:v>
                </c:pt>
                <c:pt idx="21">
                  <c:v>128</c:v>
                </c:pt>
                <c:pt idx="22">
                  <c:v>128</c:v>
                </c:pt>
                <c:pt idx="23">
                  <c:v>128</c:v>
                </c:pt>
                <c:pt idx="24">
                  <c:v>128</c:v>
                </c:pt>
                <c:pt idx="25">
                  <c:v>128</c:v>
                </c:pt>
                <c:pt idx="26">
                  <c:v>128</c:v>
                </c:pt>
                <c:pt idx="27">
                  <c:v>128</c:v>
                </c:pt>
              </c:numCache>
            </c:numRef>
          </c:yVal>
          <c:bubbleSize>
            <c:numRef>
              <c:f>RetBubblePlot!$G$4:$G$31</c:f>
              <c:numCache>
                <c:formatCode>0.00E+00</c:formatCode>
                <c:ptCount val="28"/>
                <c:pt idx="0">
                  <c:v>-7.9160400000000006E-2</c:v>
                </c:pt>
                <c:pt idx="1">
                  <c:v>8.6414699999999997E-2</c:v>
                </c:pt>
                <c:pt idx="2">
                  <c:v>1.0746500000000001E-2</c:v>
                </c:pt>
                <c:pt idx="3">
                  <c:v>0.239457</c:v>
                </c:pt>
                <c:pt idx="4">
                  <c:v>4.9127499999999996E-3</c:v>
                </c:pt>
                <c:pt idx="5">
                  <c:v>0.51451100000000005</c:v>
                </c:pt>
                <c:pt idx="6">
                  <c:v>0.25186999999999998</c:v>
                </c:pt>
                <c:pt idx="7">
                  <c:v>-0.120849</c:v>
                </c:pt>
                <c:pt idx="8">
                  <c:v>-0.40790900000000002</c:v>
                </c:pt>
                <c:pt idx="9">
                  <c:v>-0.33556900000000001</c:v>
                </c:pt>
                <c:pt idx="10">
                  <c:v>-0.28795300000000001</c:v>
                </c:pt>
                <c:pt idx="11">
                  <c:v>-0.193355</c:v>
                </c:pt>
                <c:pt idx="12">
                  <c:v>-0.22579399999999999</c:v>
                </c:pt>
                <c:pt idx="13">
                  <c:v>-0.18795000000000001</c:v>
                </c:pt>
                <c:pt idx="14">
                  <c:v>-0.28195399999999998</c:v>
                </c:pt>
                <c:pt idx="15">
                  <c:v>-0.29643599999999998</c:v>
                </c:pt>
                <c:pt idx="16">
                  <c:v>-0.47133199999999997</c:v>
                </c:pt>
                <c:pt idx="17">
                  <c:v>-0.44803300000000001</c:v>
                </c:pt>
                <c:pt idx="18">
                  <c:v>-0.35319699999999998</c:v>
                </c:pt>
                <c:pt idx="19">
                  <c:v>-0.29524699999999998</c:v>
                </c:pt>
                <c:pt idx="20">
                  <c:v>-0.139296</c:v>
                </c:pt>
                <c:pt idx="21">
                  <c:v>-0.143264</c:v>
                </c:pt>
                <c:pt idx="22">
                  <c:v>-8.1891000000000005E-2</c:v>
                </c:pt>
                <c:pt idx="23">
                  <c:v>3.45578E-2</c:v>
                </c:pt>
                <c:pt idx="24">
                  <c:v>-9.0737100000000001E-2</c:v>
                </c:pt>
                <c:pt idx="25">
                  <c:v>-0.10062</c:v>
                </c:pt>
                <c:pt idx="26">
                  <c:v>-6.2547900000000003E-2</c:v>
                </c:pt>
                <c:pt idx="27">
                  <c:v>-9.8315E-2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RetBubblePlot!$H$33:$H$60</c:f>
              <c:numCache>
                <c:formatCode>General</c:formatCode>
                <c:ptCount val="28"/>
                <c:pt idx="0">
                  <c:v>133</c:v>
                </c:pt>
                <c:pt idx="1">
                  <c:v>133</c:v>
                </c:pt>
                <c:pt idx="2">
                  <c:v>133</c:v>
                </c:pt>
                <c:pt idx="3">
                  <c:v>133</c:v>
                </c:pt>
                <c:pt idx="4">
                  <c:v>133</c:v>
                </c:pt>
                <c:pt idx="5">
                  <c:v>133</c:v>
                </c:pt>
                <c:pt idx="6">
                  <c:v>133</c:v>
                </c:pt>
                <c:pt idx="7">
                  <c:v>133</c:v>
                </c:pt>
                <c:pt idx="8">
                  <c:v>133</c:v>
                </c:pt>
                <c:pt idx="9">
                  <c:v>133</c:v>
                </c:pt>
                <c:pt idx="10">
                  <c:v>133</c:v>
                </c:pt>
                <c:pt idx="11">
                  <c:v>133</c:v>
                </c:pt>
                <c:pt idx="12">
                  <c:v>133</c:v>
                </c:pt>
                <c:pt idx="13">
                  <c:v>133</c:v>
                </c:pt>
                <c:pt idx="14">
                  <c:v>133</c:v>
                </c:pt>
                <c:pt idx="15">
                  <c:v>133</c:v>
                </c:pt>
                <c:pt idx="16">
                  <c:v>133</c:v>
                </c:pt>
                <c:pt idx="17">
                  <c:v>133</c:v>
                </c:pt>
                <c:pt idx="18">
                  <c:v>133</c:v>
                </c:pt>
                <c:pt idx="19">
                  <c:v>133</c:v>
                </c:pt>
                <c:pt idx="20">
                  <c:v>133</c:v>
                </c:pt>
                <c:pt idx="21">
                  <c:v>133</c:v>
                </c:pt>
                <c:pt idx="22">
                  <c:v>133</c:v>
                </c:pt>
                <c:pt idx="23">
                  <c:v>133</c:v>
                </c:pt>
                <c:pt idx="24">
                  <c:v>133</c:v>
                </c:pt>
                <c:pt idx="25">
                  <c:v>133</c:v>
                </c:pt>
                <c:pt idx="26">
                  <c:v>133</c:v>
                </c:pt>
                <c:pt idx="27">
                  <c:v>133</c:v>
                </c:pt>
              </c:numCache>
            </c:numRef>
          </c:yVal>
          <c:bubbleSize>
            <c:numRef>
              <c:f>RetBubblePlot!$H$4:$H$31</c:f>
              <c:numCache>
                <c:formatCode>0.00E+00</c:formatCode>
                <c:ptCount val="28"/>
                <c:pt idx="0">
                  <c:v>0.16409499999999999</c:v>
                </c:pt>
                <c:pt idx="1">
                  <c:v>0.33200299999999999</c:v>
                </c:pt>
                <c:pt idx="2">
                  <c:v>8.4960800000000003E-2</c:v>
                </c:pt>
                <c:pt idx="3">
                  <c:v>0.84236200000000006</c:v>
                </c:pt>
                <c:pt idx="4">
                  <c:v>0.31401099999999998</c:v>
                </c:pt>
                <c:pt idx="5">
                  <c:v>1.6179300000000001</c:v>
                </c:pt>
                <c:pt idx="6">
                  <c:v>1.41818</c:v>
                </c:pt>
                <c:pt idx="7">
                  <c:v>0.41023900000000002</c:v>
                </c:pt>
                <c:pt idx="8">
                  <c:v>-1.21031</c:v>
                </c:pt>
                <c:pt idx="9">
                  <c:v>-0.34364699999999998</c:v>
                </c:pt>
                <c:pt idx="10">
                  <c:v>-0.20359099999999999</c:v>
                </c:pt>
                <c:pt idx="11">
                  <c:v>0.62925600000000004</c:v>
                </c:pt>
                <c:pt idx="12">
                  <c:v>0.151502</c:v>
                </c:pt>
                <c:pt idx="13">
                  <c:v>0.278891</c:v>
                </c:pt>
                <c:pt idx="14">
                  <c:v>-0.17658699999999999</c:v>
                </c:pt>
                <c:pt idx="15">
                  <c:v>-5.6215899999999999E-2</c:v>
                </c:pt>
                <c:pt idx="16">
                  <c:v>-0.66924899999999998</c:v>
                </c:pt>
                <c:pt idx="17">
                  <c:v>-1.92926E-2</c:v>
                </c:pt>
                <c:pt idx="18">
                  <c:v>-0.35589599999999999</c:v>
                </c:pt>
                <c:pt idx="19">
                  <c:v>-1.719E-2</c:v>
                </c:pt>
                <c:pt idx="20">
                  <c:v>0.28419800000000001</c:v>
                </c:pt>
                <c:pt idx="21">
                  <c:v>3.3583300000000003E-2</c:v>
                </c:pt>
                <c:pt idx="22">
                  <c:v>6.6539100000000004E-2</c:v>
                </c:pt>
                <c:pt idx="23">
                  <c:v>0.186865</c:v>
                </c:pt>
                <c:pt idx="24">
                  <c:v>-0.12415900000000001</c:v>
                </c:pt>
                <c:pt idx="25">
                  <c:v>-0.158582</c:v>
                </c:pt>
                <c:pt idx="26">
                  <c:v>-4.9787100000000001E-2</c:v>
                </c:pt>
                <c:pt idx="27">
                  <c:v>7.85608E-2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RetBubblePlot!$I$33:$I$60</c:f>
              <c:numCache>
                <c:formatCode>General</c:formatCode>
                <c:ptCount val="28"/>
                <c:pt idx="0">
                  <c:v>138</c:v>
                </c:pt>
                <c:pt idx="1">
                  <c:v>138</c:v>
                </c:pt>
                <c:pt idx="2">
                  <c:v>138</c:v>
                </c:pt>
                <c:pt idx="3">
                  <c:v>138</c:v>
                </c:pt>
                <c:pt idx="4">
                  <c:v>138</c:v>
                </c:pt>
                <c:pt idx="5">
                  <c:v>138</c:v>
                </c:pt>
                <c:pt idx="6">
                  <c:v>138</c:v>
                </c:pt>
                <c:pt idx="7">
                  <c:v>138</c:v>
                </c:pt>
                <c:pt idx="8">
                  <c:v>138</c:v>
                </c:pt>
                <c:pt idx="9">
                  <c:v>138</c:v>
                </c:pt>
                <c:pt idx="10">
                  <c:v>138</c:v>
                </c:pt>
                <c:pt idx="11">
                  <c:v>138</c:v>
                </c:pt>
                <c:pt idx="12">
                  <c:v>138</c:v>
                </c:pt>
                <c:pt idx="13">
                  <c:v>138</c:v>
                </c:pt>
                <c:pt idx="14">
                  <c:v>138</c:v>
                </c:pt>
                <c:pt idx="15">
                  <c:v>138</c:v>
                </c:pt>
                <c:pt idx="16">
                  <c:v>138</c:v>
                </c:pt>
                <c:pt idx="17">
                  <c:v>138</c:v>
                </c:pt>
                <c:pt idx="18">
                  <c:v>138</c:v>
                </c:pt>
                <c:pt idx="19">
                  <c:v>138</c:v>
                </c:pt>
                <c:pt idx="20">
                  <c:v>138</c:v>
                </c:pt>
                <c:pt idx="21">
                  <c:v>138</c:v>
                </c:pt>
                <c:pt idx="22">
                  <c:v>138</c:v>
                </c:pt>
                <c:pt idx="23">
                  <c:v>138</c:v>
                </c:pt>
                <c:pt idx="24">
                  <c:v>138</c:v>
                </c:pt>
                <c:pt idx="25">
                  <c:v>138</c:v>
                </c:pt>
                <c:pt idx="26">
                  <c:v>138</c:v>
                </c:pt>
                <c:pt idx="27">
                  <c:v>138</c:v>
                </c:pt>
              </c:numCache>
            </c:numRef>
          </c:yVal>
          <c:bubbleSize>
            <c:numRef>
              <c:f>RetBubblePlot!$I$4:$I$31</c:f>
              <c:numCache>
                <c:formatCode>0.00E+00</c:formatCode>
                <c:ptCount val="28"/>
                <c:pt idx="0">
                  <c:v>-1.7429799999999999E-2</c:v>
                </c:pt>
                <c:pt idx="1">
                  <c:v>1.67771E-2</c:v>
                </c:pt>
                <c:pt idx="2">
                  <c:v>-0.13631199999999999</c:v>
                </c:pt>
                <c:pt idx="3">
                  <c:v>-0.18603700000000001</c:v>
                </c:pt>
                <c:pt idx="4">
                  <c:v>0.45841900000000002</c:v>
                </c:pt>
                <c:pt idx="5">
                  <c:v>0.684276</c:v>
                </c:pt>
                <c:pt idx="6">
                  <c:v>0.76817800000000003</c:v>
                </c:pt>
                <c:pt idx="7">
                  <c:v>-0.22011700000000001</c:v>
                </c:pt>
                <c:pt idx="8">
                  <c:v>-0.90231499999999998</c:v>
                </c:pt>
                <c:pt idx="9">
                  <c:v>-1.0262</c:v>
                </c:pt>
                <c:pt idx="10">
                  <c:v>-0.76761199999999996</c:v>
                </c:pt>
                <c:pt idx="11">
                  <c:v>2.6851300000000002E-2</c:v>
                </c:pt>
                <c:pt idx="12">
                  <c:v>-0.35992499999999999</c:v>
                </c:pt>
                <c:pt idx="13">
                  <c:v>0.160192</c:v>
                </c:pt>
                <c:pt idx="14">
                  <c:v>-0.32347399999999998</c:v>
                </c:pt>
                <c:pt idx="15">
                  <c:v>-0.41970499999999999</c:v>
                </c:pt>
                <c:pt idx="16">
                  <c:v>-0.90675799999999995</c:v>
                </c:pt>
                <c:pt idx="17">
                  <c:v>-0.384876</c:v>
                </c:pt>
                <c:pt idx="18">
                  <c:v>-0.16530800000000001</c:v>
                </c:pt>
                <c:pt idx="19">
                  <c:v>-2.4313999999999999E-2</c:v>
                </c:pt>
                <c:pt idx="20">
                  <c:v>0.33140700000000001</c:v>
                </c:pt>
                <c:pt idx="21">
                  <c:v>-0.14988199999999999</c:v>
                </c:pt>
                <c:pt idx="22">
                  <c:v>-0.15559100000000001</c:v>
                </c:pt>
                <c:pt idx="23">
                  <c:v>4.8563599999999998E-2</c:v>
                </c:pt>
                <c:pt idx="24">
                  <c:v>-0.32421899999999998</c:v>
                </c:pt>
                <c:pt idx="25">
                  <c:v>-0.19364700000000001</c:v>
                </c:pt>
                <c:pt idx="26">
                  <c:v>-0.16023899999999999</c:v>
                </c:pt>
                <c:pt idx="27">
                  <c:v>9.6192299999999994E-2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RetBubblePlot!$J$33:$J$60</c:f>
              <c:numCache>
                <c:formatCode>General</c:formatCode>
                <c:ptCount val="28"/>
                <c:pt idx="0">
                  <c:v>143</c:v>
                </c:pt>
                <c:pt idx="1">
                  <c:v>143</c:v>
                </c:pt>
                <c:pt idx="2">
                  <c:v>143</c:v>
                </c:pt>
                <c:pt idx="3">
                  <c:v>143</c:v>
                </c:pt>
                <c:pt idx="4">
                  <c:v>143</c:v>
                </c:pt>
                <c:pt idx="5">
                  <c:v>143</c:v>
                </c:pt>
                <c:pt idx="6">
                  <c:v>143</c:v>
                </c:pt>
                <c:pt idx="7">
                  <c:v>143</c:v>
                </c:pt>
                <c:pt idx="8">
                  <c:v>143</c:v>
                </c:pt>
                <c:pt idx="9">
                  <c:v>143</c:v>
                </c:pt>
                <c:pt idx="10">
                  <c:v>143</c:v>
                </c:pt>
                <c:pt idx="11">
                  <c:v>143</c:v>
                </c:pt>
                <c:pt idx="12">
                  <c:v>143</c:v>
                </c:pt>
                <c:pt idx="13">
                  <c:v>143</c:v>
                </c:pt>
                <c:pt idx="14">
                  <c:v>143</c:v>
                </c:pt>
                <c:pt idx="15">
                  <c:v>143</c:v>
                </c:pt>
                <c:pt idx="16">
                  <c:v>143</c:v>
                </c:pt>
                <c:pt idx="17">
                  <c:v>143</c:v>
                </c:pt>
                <c:pt idx="18">
                  <c:v>143</c:v>
                </c:pt>
                <c:pt idx="19">
                  <c:v>143</c:v>
                </c:pt>
                <c:pt idx="20">
                  <c:v>143</c:v>
                </c:pt>
                <c:pt idx="21">
                  <c:v>143</c:v>
                </c:pt>
                <c:pt idx="22">
                  <c:v>143</c:v>
                </c:pt>
                <c:pt idx="23">
                  <c:v>143</c:v>
                </c:pt>
                <c:pt idx="24">
                  <c:v>143</c:v>
                </c:pt>
                <c:pt idx="25">
                  <c:v>143</c:v>
                </c:pt>
                <c:pt idx="26">
                  <c:v>143</c:v>
                </c:pt>
                <c:pt idx="27">
                  <c:v>143</c:v>
                </c:pt>
              </c:numCache>
            </c:numRef>
          </c:yVal>
          <c:bubbleSize>
            <c:numRef>
              <c:f>RetBubblePlot!$J$4:$J$31</c:f>
              <c:numCache>
                <c:formatCode>0.00E+00</c:formatCode>
                <c:ptCount val="28"/>
                <c:pt idx="0">
                  <c:v>-0.102992</c:v>
                </c:pt>
                <c:pt idx="1">
                  <c:v>-0.21169299999999999</c:v>
                </c:pt>
                <c:pt idx="2">
                  <c:v>-0.13375200000000001</c:v>
                </c:pt>
                <c:pt idx="3">
                  <c:v>0.17757400000000001</c:v>
                </c:pt>
                <c:pt idx="4">
                  <c:v>0.43406800000000001</c:v>
                </c:pt>
                <c:pt idx="5">
                  <c:v>-0.97750599999999999</c:v>
                </c:pt>
                <c:pt idx="6">
                  <c:v>-0.23003000000000001</c:v>
                </c:pt>
                <c:pt idx="7">
                  <c:v>-0.42002200000000001</c:v>
                </c:pt>
                <c:pt idx="8">
                  <c:v>0.58994500000000005</c:v>
                </c:pt>
                <c:pt idx="9">
                  <c:v>0.21613499999999999</c:v>
                </c:pt>
                <c:pt idx="10">
                  <c:v>-0.52846400000000004</c:v>
                </c:pt>
                <c:pt idx="11">
                  <c:v>-0.51737</c:v>
                </c:pt>
                <c:pt idx="12">
                  <c:v>-0.24621999999999999</c:v>
                </c:pt>
                <c:pt idx="13">
                  <c:v>0.25152999999999998</c:v>
                </c:pt>
                <c:pt idx="14">
                  <c:v>0.67931799999999998</c:v>
                </c:pt>
                <c:pt idx="15">
                  <c:v>1.40605E-2</c:v>
                </c:pt>
                <c:pt idx="16">
                  <c:v>9.11825E-2</c:v>
                </c:pt>
                <c:pt idx="17">
                  <c:v>0.174377</c:v>
                </c:pt>
                <c:pt idx="18">
                  <c:v>0.336424</c:v>
                </c:pt>
                <c:pt idx="19">
                  <c:v>0.52066999999999997</c:v>
                </c:pt>
                <c:pt idx="20">
                  <c:v>0.19492699999999999</c:v>
                </c:pt>
                <c:pt idx="21">
                  <c:v>0.200956</c:v>
                </c:pt>
                <c:pt idx="22">
                  <c:v>-6.9906200000000002E-2</c:v>
                </c:pt>
                <c:pt idx="23">
                  <c:v>8.68361E-4</c:v>
                </c:pt>
                <c:pt idx="24">
                  <c:v>-6.4883300000000005E-2</c:v>
                </c:pt>
                <c:pt idx="25">
                  <c:v>-7.8203999999999996E-2</c:v>
                </c:pt>
                <c:pt idx="26">
                  <c:v>-0.27062900000000001</c:v>
                </c:pt>
                <c:pt idx="27">
                  <c:v>0.27429399999999998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RetBubblePlot!$K$33:$K$60</c:f>
              <c:numCache>
                <c:formatCode>General</c:formatCode>
                <c:ptCount val="28"/>
                <c:pt idx="0">
                  <c:v>148</c:v>
                </c:pt>
                <c:pt idx="1">
                  <c:v>148</c:v>
                </c:pt>
                <c:pt idx="2">
                  <c:v>148</c:v>
                </c:pt>
                <c:pt idx="3">
                  <c:v>148</c:v>
                </c:pt>
                <c:pt idx="4">
                  <c:v>148</c:v>
                </c:pt>
                <c:pt idx="5">
                  <c:v>148</c:v>
                </c:pt>
                <c:pt idx="6">
                  <c:v>148</c:v>
                </c:pt>
                <c:pt idx="7">
                  <c:v>148</c:v>
                </c:pt>
                <c:pt idx="8">
                  <c:v>148</c:v>
                </c:pt>
                <c:pt idx="9">
                  <c:v>148</c:v>
                </c:pt>
                <c:pt idx="10">
                  <c:v>148</c:v>
                </c:pt>
                <c:pt idx="11">
                  <c:v>148</c:v>
                </c:pt>
                <c:pt idx="12">
                  <c:v>148</c:v>
                </c:pt>
                <c:pt idx="13">
                  <c:v>148</c:v>
                </c:pt>
                <c:pt idx="14">
                  <c:v>148</c:v>
                </c:pt>
                <c:pt idx="15">
                  <c:v>148</c:v>
                </c:pt>
                <c:pt idx="16">
                  <c:v>148</c:v>
                </c:pt>
                <c:pt idx="17">
                  <c:v>148</c:v>
                </c:pt>
                <c:pt idx="18">
                  <c:v>148</c:v>
                </c:pt>
                <c:pt idx="19">
                  <c:v>148</c:v>
                </c:pt>
                <c:pt idx="20">
                  <c:v>148</c:v>
                </c:pt>
                <c:pt idx="21">
                  <c:v>148</c:v>
                </c:pt>
                <c:pt idx="22">
                  <c:v>148</c:v>
                </c:pt>
                <c:pt idx="23">
                  <c:v>148</c:v>
                </c:pt>
                <c:pt idx="24">
                  <c:v>148</c:v>
                </c:pt>
                <c:pt idx="25">
                  <c:v>148</c:v>
                </c:pt>
                <c:pt idx="26">
                  <c:v>148</c:v>
                </c:pt>
                <c:pt idx="27">
                  <c:v>148</c:v>
                </c:pt>
              </c:numCache>
            </c:numRef>
          </c:yVal>
          <c:bubbleSize>
            <c:numRef>
              <c:f>RetBubblePlot!$K$4:$K$31</c:f>
              <c:numCache>
                <c:formatCode>0.00E+00</c:formatCode>
                <c:ptCount val="28"/>
                <c:pt idx="0">
                  <c:v>-0.118932</c:v>
                </c:pt>
                <c:pt idx="1">
                  <c:v>-0.168022</c:v>
                </c:pt>
                <c:pt idx="2">
                  <c:v>-4.1703900000000002E-2</c:v>
                </c:pt>
                <c:pt idx="3">
                  <c:v>-7.5967400000000004E-2</c:v>
                </c:pt>
                <c:pt idx="4">
                  <c:v>-0.68766300000000002</c:v>
                </c:pt>
                <c:pt idx="5">
                  <c:v>-0.92583400000000005</c:v>
                </c:pt>
                <c:pt idx="6">
                  <c:v>-0.60396700000000003</c:v>
                </c:pt>
                <c:pt idx="7">
                  <c:v>4.3712899999999999E-2</c:v>
                </c:pt>
                <c:pt idx="8">
                  <c:v>0.86694700000000002</c:v>
                </c:pt>
                <c:pt idx="9">
                  <c:v>0.33252999999999999</c:v>
                </c:pt>
                <c:pt idx="10">
                  <c:v>2.5337800000000001E-2</c:v>
                </c:pt>
                <c:pt idx="11">
                  <c:v>-0.23479</c:v>
                </c:pt>
                <c:pt idx="12">
                  <c:v>-1.7375100000000001E-2</c:v>
                </c:pt>
                <c:pt idx="13">
                  <c:v>0.200706</c:v>
                </c:pt>
                <c:pt idx="14">
                  <c:v>0.60217200000000004</c:v>
                </c:pt>
                <c:pt idx="15">
                  <c:v>0.28539199999999998</c:v>
                </c:pt>
                <c:pt idx="16">
                  <c:v>0.78405800000000003</c:v>
                </c:pt>
                <c:pt idx="17">
                  <c:v>0.44005100000000003</c:v>
                </c:pt>
                <c:pt idx="18">
                  <c:v>0.29206399999999999</c:v>
                </c:pt>
                <c:pt idx="19">
                  <c:v>0.25037700000000002</c:v>
                </c:pt>
                <c:pt idx="20">
                  <c:v>-0.22222600000000001</c:v>
                </c:pt>
                <c:pt idx="21">
                  <c:v>-0.12944800000000001</c:v>
                </c:pt>
                <c:pt idx="22">
                  <c:v>-2.5396500000000001E-3</c:v>
                </c:pt>
                <c:pt idx="23">
                  <c:v>-2.4405699999999999E-2</c:v>
                </c:pt>
                <c:pt idx="24">
                  <c:v>5.0384499999999999E-2</c:v>
                </c:pt>
                <c:pt idx="25">
                  <c:v>0.111625</c:v>
                </c:pt>
                <c:pt idx="26">
                  <c:v>0.182175</c:v>
                </c:pt>
                <c:pt idx="27">
                  <c:v>0.24773899999999999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RetBubblePlot!$L$33:$L$60</c:f>
              <c:numCache>
                <c:formatCode>General</c:formatCode>
                <c:ptCount val="28"/>
                <c:pt idx="0">
                  <c:v>153</c:v>
                </c:pt>
                <c:pt idx="1">
                  <c:v>153</c:v>
                </c:pt>
                <c:pt idx="2">
                  <c:v>153</c:v>
                </c:pt>
                <c:pt idx="3">
                  <c:v>153</c:v>
                </c:pt>
                <c:pt idx="4">
                  <c:v>153</c:v>
                </c:pt>
                <c:pt idx="5">
                  <c:v>153</c:v>
                </c:pt>
                <c:pt idx="6">
                  <c:v>153</c:v>
                </c:pt>
                <c:pt idx="7">
                  <c:v>153</c:v>
                </c:pt>
                <c:pt idx="8">
                  <c:v>153</c:v>
                </c:pt>
                <c:pt idx="9">
                  <c:v>153</c:v>
                </c:pt>
                <c:pt idx="10">
                  <c:v>153</c:v>
                </c:pt>
                <c:pt idx="11">
                  <c:v>153</c:v>
                </c:pt>
                <c:pt idx="12">
                  <c:v>153</c:v>
                </c:pt>
                <c:pt idx="13">
                  <c:v>153</c:v>
                </c:pt>
                <c:pt idx="14">
                  <c:v>153</c:v>
                </c:pt>
                <c:pt idx="15">
                  <c:v>153</c:v>
                </c:pt>
                <c:pt idx="16">
                  <c:v>153</c:v>
                </c:pt>
                <c:pt idx="17">
                  <c:v>153</c:v>
                </c:pt>
                <c:pt idx="18">
                  <c:v>153</c:v>
                </c:pt>
                <c:pt idx="19">
                  <c:v>153</c:v>
                </c:pt>
                <c:pt idx="20">
                  <c:v>153</c:v>
                </c:pt>
                <c:pt idx="21">
                  <c:v>153</c:v>
                </c:pt>
                <c:pt idx="22">
                  <c:v>153</c:v>
                </c:pt>
                <c:pt idx="23">
                  <c:v>153</c:v>
                </c:pt>
                <c:pt idx="24">
                  <c:v>153</c:v>
                </c:pt>
                <c:pt idx="25">
                  <c:v>153</c:v>
                </c:pt>
                <c:pt idx="26">
                  <c:v>153</c:v>
                </c:pt>
                <c:pt idx="27">
                  <c:v>153</c:v>
                </c:pt>
              </c:numCache>
            </c:numRef>
          </c:yVal>
          <c:bubbleSize>
            <c:numRef>
              <c:f>RetBubblePlot!$L$4:$L$31</c:f>
              <c:numCache>
                <c:formatCode>0.00E+00</c:formatCode>
                <c:ptCount val="28"/>
                <c:pt idx="0">
                  <c:v>-0.101257</c:v>
                </c:pt>
                <c:pt idx="1">
                  <c:v>2.9242500000000001E-2</c:v>
                </c:pt>
                <c:pt idx="2">
                  <c:v>0.12171999999999999</c:v>
                </c:pt>
                <c:pt idx="3">
                  <c:v>-0.34789999999999999</c:v>
                </c:pt>
                <c:pt idx="4">
                  <c:v>-0.51810999999999996</c:v>
                </c:pt>
                <c:pt idx="5">
                  <c:v>-0.39677299999999999</c:v>
                </c:pt>
                <c:pt idx="6">
                  <c:v>-0.79347199999999996</c:v>
                </c:pt>
                <c:pt idx="7">
                  <c:v>4.6376500000000001E-2</c:v>
                </c:pt>
                <c:pt idx="8">
                  <c:v>0.32250200000000001</c:v>
                </c:pt>
                <c:pt idx="9">
                  <c:v>0.21556500000000001</c:v>
                </c:pt>
                <c:pt idx="10">
                  <c:v>0.42544700000000002</c:v>
                </c:pt>
                <c:pt idx="11">
                  <c:v>-0.25327300000000003</c:v>
                </c:pt>
                <c:pt idx="12">
                  <c:v>-3.5753600000000003E-2</c:v>
                </c:pt>
                <c:pt idx="13">
                  <c:v>-0.13183700000000001</c:v>
                </c:pt>
                <c:pt idx="14">
                  <c:v>-7.7728400000000003E-2</c:v>
                </c:pt>
                <c:pt idx="15">
                  <c:v>0.26713999999999999</c:v>
                </c:pt>
                <c:pt idx="16">
                  <c:v>0.706229</c:v>
                </c:pt>
                <c:pt idx="17">
                  <c:v>0.37857800000000003</c:v>
                </c:pt>
                <c:pt idx="18">
                  <c:v>5.4571000000000001E-2</c:v>
                </c:pt>
                <c:pt idx="19">
                  <c:v>-0.258021</c:v>
                </c:pt>
                <c:pt idx="20">
                  <c:v>-0.19731699999999999</c:v>
                </c:pt>
                <c:pt idx="21">
                  <c:v>-2.4023699999999999E-2</c:v>
                </c:pt>
                <c:pt idx="22">
                  <c:v>-6.1372000000000003E-2</c:v>
                </c:pt>
                <c:pt idx="23">
                  <c:v>0.165771</c:v>
                </c:pt>
                <c:pt idx="24">
                  <c:v>6.4871600000000001E-2</c:v>
                </c:pt>
                <c:pt idx="25">
                  <c:v>-9.4645300000000002E-2</c:v>
                </c:pt>
                <c:pt idx="26">
                  <c:v>-6.51307E-2</c:v>
                </c:pt>
                <c:pt idx="27">
                  <c:v>7.7524399999999993E-2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RetBubblePlot!$M$33:$M$60</c:f>
              <c:numCache>
                <c:formatCode>General</c:formatCode>
                <c:ptCount val="28"/>
                <c:pt idx="0">
                  <c:v>158</c:v>
                </c:pt>
                <c:pt idx="1">
                  <c:v>158</c:v>
                </c:pt>
                <c:pt idx="2">
                  <c:v>158</c:v>
                </c:pt>
                <c:pt idx="3">
                  <c:v>158</c:v>
                </c:pt>
                <c:pt idx="4">
                  <c:v>158</c:v>
                </c:pt>
                <c:pt idx="5">
                  <c:v>158</c:v>
                </c:pt>
                <c:pt idx="6">
                  <c:v>158</c:v>
                </c:pt>
                <c:pt idx="7">
                  <c:v>158</c:v>
                </c:pt>
                <c:pt idx="8">
                  <c:v>158</c:v>
                </c:pt>
                <c:pt idx="9">
                  <c:v>158</c:v>
                </c:pt>
                <c:pt idx="10">
                  <c:v>158</c:v>
                </c:pt>
                <c:pt idx="11">
                  <c:v>158</c:v>
                </c:pt>
                <c:pt idx="12">
                  <c:v>158</c:v>
                </c:pt>
                <c:pt idx="13">
                  <c:v>158</c:v>
                </c:pt>
                <c:pt idx="14">
                  <c:v>158</c:v>
                </c:pt>
                <c:pt idx="15">
                  <c:v>158</c:v>
                </c:pt>
                <c:pt idx="16">
                  <c:v>158</c:v>
                </c:pt>
                <c:pt idx="17">
                  <c:v>158</c:v>
                </c:pt>
                <c:pt idx="18">
                  <c:v>158</c:v>
                </c:pt>
                <c:pt idx="19">
                  <c:v>158</c:v>
                </c:pt>
                <c:pt idx="20">
                  <c:v>158</c:v>
                </c:pt>
                <c:pt idx="21">
                  <c:v>158</c:v>
                </c:pt>
                <c:pt idx="22">
                  <c:v>158</c:v>
                </c:pt>
                <c:pt idx="23">
                  <c:v>158</c:v>
                </c:pt>
                <c:pt idx="24">
                  <c:v>158</c:v>
                </c:pt>
                <c:pt idx="25">
                  <c:v>158</c:v>
                </c:pt>
                <c:pt idx="26">
                  <c:v>158</c:v>
                </c:pt>
                <c:pt idx="27">
                  <c:v>158</c:v>
                </c:pt>
              </c:numCache>
            </c:numRef>
          </c:yVal>
          <c:bubbleSize>
            <c:numRef>
              <c:f>RetBubblePlot!$M$4:$M$31</c:f>
              <c:numCache>
                <c:formatCode>0.00E+00</c:formatCode>
                <c:ptCount val="28"/>
                <c:pt idx="0">
                  <c:v>-0.130466</c:v>
                </c:pt>
                <c:pt idx="1">
                  <c:v>-7.1585999999999997E-2</c:v>
                </c:pt>
                <c:pt idx="2">
                  <c:v>4.4817099999999999E-2</c:v>
                </c:pt>
                <c:pt idx="3">
                  <c:v>-3.5493799999999999E-2</c:v>
                </c:pt>
                <c:pt idx="4">
                  <c:v>-0.133965</c:v>
                </c:pt>
                <c:pt idx="5">
                  <c:v>-2.47894E-2</c:v>
                </c:pt>
                <c:pt idx="6">
                  <c:v>-0.55625500000000005</c:v>
                </c:pt>
                <c:pt idx="7">
                  <c:v>4.7827000000000001E-2</c:v>
                </c:pt>
                <c:pt idx="8">
                  <c:v>-0.31358399999999997</c:v>
                </c:pt>
                <c:pt idx="9">
                  <c:v>0.129327</c:v>
                </c:pt>
                <c:pt idx="10">
                  <c:v>0.486925</c:v>
                </c:pt>
                <c:pt idx="11">
                  <c:v>-3.6720200000000001E-2</c:v>
                </c:pt>
                <c:pt idx="12">
                  <c:v>-0.15589600000000001</c:v>
                </c:pt>
                <c:pt idx="13">
                  <c:v>-0.374695</c:v>
                </c:pt>
                <c:pt idx="14">
                  <c:v>-0.39928200000000003</c:v>
                </c:pt>
                <c:pt idx="15">
                  <c:v>-0.20296500000000001</c:v>
                </c:pt>
                <c:pt idx="16">
                  <c:v>9.8584299999999996E-3</c:v>
                </c:pt>
                <c:pt idx="17">
                  <c:v>-0.19281300000000001</c:v>
                </c:pt>
                <c:pt idx="18">
                  <c:v>-0.26801700000000001</c:v>
                </c:pt>
                <c:pt idx="19">
                  <c:v>-0.50332699999999997</c:v>
                </c:pt>
                <c:pt idx="20">
                  <c:v>-0.41322399999999998</c:v>
                </c:pt>
                <c:pt idx="21">
                  <c:v>-0.35460000000000003</c:v>
                </c:pt>
                <c:pt idx="22">
                  <c:v>-0.120743</c:v>
                </c:pt>
                <c:pt idx="23">
                  <c:v>-0.36152699999999999</c:v>
                </c:pt>
                <c:pt idx="24">
                  <c:v>-0.12252300000000001</c:v>
                </c:pt>
                <c:pt idx="25">
                  <c:v>1.7861999999999999E-2</c:v>
                </c:pt>
                <c:pt idx="26">
                  <c:v>-2.52719E-2</c:v>
                </c:pt>
                <c:pt idx="27">
                  <c:v>-0.26446999999999998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RetBubblePlot!$N$33:$N$60</c:f>
              <c:numCache>
                <c:formatCode>General</c:formatCode>
                <c:ptCount val="28"/>
                <c:pt idx="0">
                  <c:v>163</c:v>
                </c:pt>
                <c:pt idx="1">
                  <c:v>163</c:v>
                </c:pt>
                <c:pt idx="2">
                  <c:v>163</c:v>
                </c:pt>
                <c:pt idx="3">
                  <c:v>163</c:v>
                </c:pt>
                <c:pt idx="4">
                  <c:v>163</c:v>
                </c:pt>
                <c:pt idx="5">
                  <c:v>163</c:v>
                </c:pt>
                <c:pt idx="6">
                  <c:v>163</c:v>
                </c:pt>
                <c:pt idx="7">
                  <c:v>163</c:v>
                </c:pt>
                <c:pt idx="8">
                  <c:v>163</c:v>
                </c:pt>
                <c:pt idx="9">
                  <c:v>163</c:v>
                </c:pt>
                <c:pt idx="10">
                  <c:v>163</c:v>
                </c:pt>
                <c:pt idx="11">
                  <c:v>163</c:v>
                </c:pt>
                <c:pt idx="12">
                  <c:v>163</c:v>
                </c:pt>
                <c:pt idx="13">
                  <c:v>163</c:v>
                </c:pt>
                <c:pt idx="14">
                  <c:v>163</c:v>
                </c:pt>
                <c:pt idx="15">
                  <c:v>163</c:v>
                </c:pt>
                <c:pt idx="16">
                  <c:v>163</c:v>
                </c:pt>
                <c:pt idx="17">
                  <c:v>163</c:v>
                </c:pt>
                <c:pt idx="18">
                  <c:v>163</c:v>
                </c:pt>
                <c:pt idx="19">
                  <c:v>163</c:v>
                </c:pt>
                <c:pt idx="20">
                  <c:v>163</c:v>
                </c:pt>
                <c:pt idx="21">
                  <c:v>163</c:v>
                </c:pt>
                <c:pt idx="22">
                  <c:v>163</c:v>
                </c:pt>
                <c:pt idx="23">
                  <c:v>163</c:v>
                </c:pt>
                <c:pt idx="24">
                  <c:v>163</c:v>
                </c:pt>
                <c:pt idx="25">
                  <c:v>163</c:v>
                </c:pt>
                <c:pt idx="26">
                  <c:v>163</c:v>
                </c:pt>
                <c:pt idx="27">
                  <c:v>163</c:v>
                </c:pt>
              </c:numCache>
            </c:numRef>
          </c:yVal>
          <c:bubbleSize>
            <c:numRef>
              <c:f>RetBubblePlot!$N$4:$N$31</c:f>
              <c:numCache>
                <c:formatCode>0.00E+00</c:formatCode>
                <c:ptCount val="28"/>
                <c:pt idx="0">
                  <c:v>0.81912799999999997</c:v>
                </c:pt>
                <c:pt idx="1">
                  <c:v>-9.1810600000000006E-2</c:v>
                </c:pt>
                <c:pt idx="2">
                  <c:v>6.1054499999999998E-2</c:v>
                </c:pt>
                <c:pt idx="3">
                  <c:v>-0.28287600000000002</c:v>
                </c:pt>
                <c:pt idx="4">
                  <c:v>0.15637300000000001</c:v>
                </c:pt>
                <c:pt idx="5">
                  <c:v>4.2000099999999999E-2</c:v>
                </c:pt>
                <c:pt idx="6">
                  <c:v>-0.24521000000000001</c:v>
                </c:pt>
                <c:pt idx="7">
                  <c:v>0.118048</c:v>
                </c:pt>
                <c:pt idx="8">
                  <c:v>-6.6169599999999995E-2</c:v>
                </c:pt>
                <c:pt idx="9">
                  <c:v>0.25534200000000001</c:v>
                </c:pt>
                <c:pt idx="10">
                  <c:v>0.51416899999999999</c:v>
                </c:pt>
                <c:pt idx="11">
                  <c:v>0.421518</c:v>
                </c:pt>
                <c:pt idx="12">
                  <c:v>0.20017399999999999</c:v>
                </c:pt>
                <c:pt idx="13">
                  <c:v>-0.505166</c:v>
                </c:pt>
                <c:pt idx="14">
                  <c:v>-0.37705</c:v>
                </c:pt>
                <c:pt idx="15">
                  <c:v>-9.8150100000000004E-2</c:v>
                </c:pt>
                <c:pt idx="16">
                  <c:v>-5.4714499999999999E-2</c:v>
                </c:pt>
                <c:pt idx="17">
                  <c:v>-0.27235100000000001</c:v>
                </c:pt>
                <c:pt idx="18">
                  <c:v>-5.88488E-2</c:v>
                </c:pt>
                <c:pt idx="19">
                  <c:v>-0.26821099999999998</c:v>
                </c:pt>
                <c:pt idx="20">
                  <c:v>-0.26521299999999998</c:v>
                </c:pt>
                <c:pt idx="21">
                  <c:v>5.0121200000000001E-3</c:v>
                </c:pt>
                <c:pt idx="22">
                  <c:v>3.9059299999999998E-2</c:v>
                </c:pt>
                <c:pt idx="23">
                  <c:v>-1.76778E-2</c:v>
                </c:pt>
                <c:pt idx="24">
                  <c:v>4.0822499999999999E-3</c:v>
                </c:pt>
                <c:pt idx="25">
                  <c:v>9.5098600000000005E-2</c:v>
                </c:pt>
                <c:pt idx="26">
                  <c:v>-0.16216800000000001</c:v>
                </c:pt>
                <c:pt idx="27">
                  <c:v>-0.242922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RetBubblePlot!$O$33:$O$60</c:f>
              <c:numCache>
                <c:formatCode>General</c:formatCode>
                <c:ptCount val="28"/>
                <c:pt idx="0">
                  <c:v>168</c:v>
                </c:pt>
                <c:pt idx="1">
                  <c:v>168</c:v>
                </c:pt>
                <c:pt idx="2">
                  <c:v>168</c:v>
                </c:pt>
                <c:pt idx="3">
                  <c:v>168</c:v>
                </c:pt>
                <c:pt idx="4">
                  <c:v>168</c:v>
                </c:pt>
                <c:pt idx="5">
                  <c:v>168</c:v>
                </c:pt>
                <c:pt idx="6">
                  <c:v>168</c:v>
                </c:pt>
                <c:pt idx="7">
                  <c:v>168</c:v>
                </c:pt>
                <c:pt idx="8">
                  <c:v>168</c:v>
                </c:pt>
                <c:pt idx="9">
                  <c:v>168</c:v>
                </c:pt>
                <c:pt idx="10">
                  <c:v>168</c:v>
                </c:pt>
                <c:pt idx="11">
                  <c:v>168</c:v>
                </c:pt>
                <c:pt idx="12">
                  <c:v>168</c:v>
                </c:pt>
                <c:pt idx="13">
                  <c:v>168</c:v>
                </c:pt>
                <c:pt idx="14">
                  <c:v>168</c:v>
                </c:pt>
                <c:pt idx="15">
                  <c:v>168</c:v>
                </c:pt>
                <c:pt idx="16">
                  <c:v>168</c:v>
                </c:pt>
                <c:pt idx="17">
                  <c:v>168</c:v>
                </c:pt>
                <c:pt idx="18">
                  <c:v>168</c:v>
                </c:pt>
                <c:pt idx="19">
                  <c:v>168</c:v>
                </c:pt>
                <c:pt idx="20">
                  <c:v>168</c:v>
                </c:pt>
                <c:pt idx="21">
                  <c:v>168</c:v>
                </c:pt>
                <c:pt idx="22">
                  <c:v>168</c:v>
                </c:pt>
                <c:pt idx="23">
                  <c:v>168</c:v>
                </c:pt>
                <c:pt idx="24">
                  <c:v>168</c:v>
                </c:pt>
                <c:pt idx="25">
                  <c:v>168</c:v>
                </c:pt>
                <c:pt idx="26">
                  <c:v>168</c:v>
                </c:pt>
                <c:pt idx="27">
                  <c:v>168</c:v>
                </c:pt>
              </c:numCache>
            </c:numRef>
          </c:yVal>
          <c:bubbleSize>
            <c:numRef>
              <c:f>RetBubblePlot!$O$4:$O$31</c:f>
              <c:numCache>
                <c:formatCode>0.00E+00</c:formatCode>
                <c:ptCount val="28"/>
                <c:pt idx="0">
                  <c:v>-0.26921200000000001</c:v>
                </c:pt>
                <c:pt idx="1">
                  <c:v>0.23699200000000001</c:v>
                </c:pt>
                <c:pt idx="2">
                  <c:v>6.9871799999999998E-2</c:v>
                </c:pt>
                <c:pt idx="3">
                  <c:v>-0.159667</c:v>
                </c:pt>
                <c:pt idx="4">
                  <c:v>-8.9385199999999998E-2</c:v>
                </c:pt>
                <c:pt idx="5">
                  <c:v>6.6482700000000006E-2</c:v>
                </c:pt>
                <c:pt idx="6">
                  <c:v>-0.15459200000000001</c:v>
                </c:pt>
                <c:pt idx="7">
                  <c:v>0.48885499999999998</c:v>
                </c:pt>
                <c:pt idx="8">
                  <c:v>-0.18086199999999999</c:v>
                </c:pt>
                <c:pt idx="9">
                  <c:v>0.46666099999999999</c:v>
                </c:pt>
                <c:pt idx="10">
                  <c:v>0.79444000000000004</c:v>
                </c:pt>
                <c:pt idx="11">
                  <c:v>0.70186899999999997</c:v>
                </c:pt>
                <c:pt idx="12">
                  <c:v>1.05002</c:v>
                </c:pt>
                <c:pt idx="13">
                  <c:v>-0.36149199999999998</c:v>
                </c:pt>
                <c:pt idx="14">
                  <c:v>-0.80247199999999996</c:v>
                </c:pt>
                <c:pt idx="15">
                  <c:v>0.34916799999999998</c:v>
                </c:pt>
                <c:pt idx="16">
                  <c:v>-0.213397</c:v>
                </c:pt>
                <c:pt idx="17">
                  <c:v>-0.49628100000000003</c:v>
                </c:pt>
                <c:pt idx="18">
                  <c:v>-0.127057</c:v>
                </c:pt>
                <c:pt idx="19">
                  <c:v>-0.164157</c:v>
                </c:pt>
                <c:pt idx="20">
                  <c:v>0.35321599999999997</c:v>
                </c:pt>
                <c:pt idx="21">
                  <c:v>0.52152500000000002</c:v>
                </c:pt>
                <c:pt idx="22">
                  <c:v>0.41898800000000003</c:v>
                </c:pt>
                <c:pt idx="23">
                  <c:v>3.05665E-2</c:v>
                </c:pt>
                <c:pt idx="24">
                  <c:v>0.42860900000000002</c:v>
                </c:pt>
                <c:pt idx="25">
                  <c:v>0.22222800000000001</c:v>
                </c:pt>
                <c:pt idx="26">
                  <c:v>0.460976</c:v>
                </c:pt>
                <c:pt idx="27">
                  <c:v>-0.36785800000000002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RetBubblePlot!$P$33:$P$60</c:f>
              <c:numCache>
                <c:formatCode>General</c:formatCode>
                <c:ptCount val="28"/>
              </c:numCache>
            </c:numRef>
          </c:yVal>
          <c:bubbleSize>
            <c:numRef>
              <c:f>RetBubblePlot!$P$4:$P$31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RetBubblePlot!$Q$33:$Q$60</c:f>
              <c:numCache>
                <c:formatCode>General</c:formatCode>
                <c:ptCount val="28"/>
              </c:numCache>
            </c:numRef>
          </c:yVal>
          <c:bubbleSize>
            <c:numRef>
              <c:f>RetBubblePlot!$Q$4:$Q$31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6"/>
          <c:order val="16"/>
          <c:tx>
            <c:v>Series 17</c:v>
          </c:tx>
          <c:spPr>
            <a:solidFill>
              <a:schemeClr val="tx1"/>
            </a:solidFill>
          </c:spPr>
          <c:invertIfNegative val="0"/>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RetBubblePlot!$R$33:$R$60</c:f>
              <c:numCache>
                <c:formatCode>General</c:formatCode>
                <c:ptCount val="28"/>
              </c:numCache>
            </c:numRef>
          </c:yVal>
          <c:bubbleSize>
            <c:numRef>
              <c:f>RetBubblePlot!$R$4:$R$31</c:f>
              <c:numCache>
                <c:formatCode>General</c:formatCode>
                <c:ptCount val="28"/>
              </c:numCache>
            </c:numRef>
          </c:bubbleSize>
          <c:bubble3D val="0"/>
        </c:ser>
        <c:dLbls>
          <c:showLegendKey val="0"/>
          <c:showVal val="0"/>
          <c:showCatName val="0"/>
          <c:showSerName val="0"/>
          <c:showPercent val="0"/>
          <c:showBubbleSize val="0"/>
        </c:dLbls>
        <c:bubbleScale val="20"/>
        <c:showNegBubbles val="1"/>
        <c:axId val="99236864"/>
        <c:axId val="99255424"/>
      </c:bubbleChart>
      <c:valAx>
        <c:axId val="99236864"/>
        <c:scaling>
          <c:orientation val="minMax"/>
          <c:max val="2013"/>
          <c:min val="1984"/>
        </c:scaling>
        <c:delete val="0"/>
        <c:axPos val="b"/>
        <c:title>
          <c:tx>
            <c:rich>
              <a:bodyPr/>
              <a:lstStyle/>
              <a:p>
                <a:pPr>
                  <a:defRPr sz="1200" b="1" i="0" u="none" strike="noStrike" baseline="0">
                    <a:solidFill>
                      <a:srgbClr val="000000"/>
                    </a:solidFill>
                    <a:latin typeface="Arial"/>
                    <a:ea typeface="Arial"/>
                    <a:cs typeface="Arial"/>
                  </a:defRPr>
                </a:pPr>
                <a:r>
                  <a:rPr lang="en-US" b="1"/>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99255424"/>
        <c:crosses val="autoZero"/>
        <c:crossBetween val="midCat"/>
      </c:valAx>
      <c:valAx>
        <c:axId val="99255424"/>
        <c:scaling>
          <c:orientation val="minMax"/>
          <c:max val="173"/>
          <c:min val="123"/>
        </c:scaling>
        <c:delete val="0"/>
        <c:axPos val="l"/>
        <c:title>
          <c:tx>
            <c:rich>
              <a:bodyPr/>
              <a:lstStyle/>
              <a:p>
                <a:pPr>
                  <a:defRPr sz="1200" b="1" i="0" u="none" strike="noStrike" baseline="0">
                    <a:solidFill>
                      <a:srgbClr val="000000"/>
                    </a:solidFill>
                    <a:latin typeface="Arial"/>
                    <a:ea typeface="Arial"/>
                    <a:cs typeface="Arial"/>
                  </a:defRPr>
                </a:pPr>
                <a:r>
                  <a:rPr lang="en-US" b="1"/>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99236864"/>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02601506618501"/>
          <c:y val="4.1222459132906904E-2"/>
          <c:w val="0.75952769017944366"/>
          <c:h val="0.83368869936034162"/>
        </c:manualLayout>
      </c:layout>
      <c:bubbleChart>
        <c:varyColors val="0"/>
        <c:ser>
          <c:idx val="0"/>
          <c:order val="0"/>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RetBubblePlot!$B$33:$B$60</c:f>
              <c:numCache>
                <c:formatCode>General</c:formatCode>
                <c:ptCount val="28"/>
              </c:numCache>
            </c:numRef>
          </c:yVal>
          <c:bubbleSize>
            <c:numRef>
              <c:f>RetBubblePlot!$B$4:$B$31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RetBubblePlot!$C$33:$C$60</c:f>
              <c:numCache>
                <c:formatCode>General</c:formatCode>
                <c:ptCount val="28"/>
              </c:numCache>
            </c:numRef>
          </c:yVal>
          <c:bubbleSize>
            <c:numRef>
              <c:f>RetBubblePlot!$C$4:$C$31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RetBubblePlot!$D$33:$D$60</c:f>
              <c:numCache>
                <c:formatCode>General</c:formatCode>
                <c:ptCount val="28"/>
              </c:numCache>
            </c:numRef>
          </c:yVal>
          <c:bubbleSize>
            <c:numRef>
              <c:f>RetBubblePlot!$D$4:$D$31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RetBubblePlot!$E$33:$E$60</c:f>
              <c:numCache>
                <c:formatCode>General</c:formatCode>
                <c:ptCount val="28"/>
              </c:numCache>
            </c:numRef>
          </c:yVal>
          <c:bubbleSize>
            <c:numRef>
              <c:f>RetBubblePlot!$E$4:$E$31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RetBubblePlot!$F$33:$F$60</c:f>
              <c:numCache>
                <c:formatCode>General</c:formatCode>
                <c:ptCount val="28"/>
              </c:numCache>
            </c:numRef>
          </c:yVal>
          <c:bubbleSize>
            <c:numRef>
              <c:f>RetBubblePlot!$F$4:$F$31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RetBubblePlot!$G$33:$G$60</c:f>
              <c:numCache>
                <c:formatCode>General</c:formatCode>
                <c:ptCount val="28"/>
                <c:pt idx="0">
                  <c:v>128</c:v>
                </c:pt>
                <c:pt idx="1">
                  <c:v>128</c:v>
                </c:pt>
                <c:pt idx="2">
                  <c:v>128</c:v>
                </c:pt>
                <c:pt idx="3">
                  <c:v>128</c:v>
                </c:pt>
                <c:pt idx="4">
                  <c:v>128</c:v>
                </c:pt>
                <c:pt idx="5">
                  <c:v>128</c:v>
                </c:pt>
                <c:pt idx="6">
                  <c:v>128</c:v>
                </c:pt>
                <c:pt idx="7">
                  <c:v>128</c:v>
                </c:pt>
                <c:pt idx="8">
                  <c:v>128</c:v>
                </c:pt>
                <c:pt idx="9">
                  <c:v>128</c:v>
                </c:pt>
                <c:pt idx="10">
                  <c:v>128</c:v>
                </c:pt>
                <c:pt idx="11">
                  <c:v>128</c:v>
                </c:pt>
                <c:pt idx="12">
                  <c:v>128</c:v>
                </c:pt>
                <c:pt idx="13">
                  <c:v>128</c:v>
                </c:pt>
                <c:pt idx="14">
                  <c:v>128</c:v>
                </c:pt>
                <c:pt idx="15">
                  <c:v>128</c:v>
                </c:pt>
                <c:pt idx="16">
                  <c:v>128</c:v>
                </c:pt>
                <c:pt idx="17">
                  <c:v>128</c:v>
                </c:pt>
                <c:pt idx="18">
                  <c:v>128</c:v>
                </c:pt>
                <c:pt idx="19">
                  <c:v>128</c:v>
                </c:pt>
                <c:pt idx="20">
                  <c:v>128</c:v>
                </c:pt>
                <c:pt idx="21">
                  <c:v>128</c:v>
                </c:pt>
                <c:pt idx="22">
                  <c:v>128</c:v>
                </c:pt>
                <c:pt idx="23">
                  <c:v>128</c:v>
                </c:pt>
                <c:pt idx="24">
                  <c:v>128</c:v>
                </c:pt>
                <c:pt idx="25">
                  <c:v>128</c:v>
                </c:pt>
                <c:pt idx="26">
                  <c:v>128</c:v>
                </c:pt>
                <c:pt idx="27">
                  <c:v>128</c:v>
                </c:pt>
              </c:numCache>
            </c:numRef>
          </c:yVal>
          <c:bubbleSize>
            <c:numRef>
              <c:f>RetBubblePlot!$G$4:$G$31</c:f>
              <c:numCache>
                <c:formatCode>0.00E+00</c:formatCode>
                <c:ptCount val="28"/>
                <c:pt idx="0">
                  <c:v>5.5399799999999999E-2</c:v>
                </c:pt>
                <c:pt idx="1">
                  <c:v>0.143815</c:v>
                </c:pt>
                <c:pt idx="2">
                  <c:v>1.74599E-2</c:v>
                </c:pt>
                <c:pt idx="3">
                  <c:v>0.21204400000000001</c:v>
                </c:pt>
                <c:pt idx="4">
                  <c:v>2.8065E-2</c:v>
                </c:pt>
                <c:pt idx="5">
                  <c:v>0.54585600000000001</c:v>
                </c:pt>
                <c:pt idx="6">
                  <c:v>0.26638499999999998</c:v>
                </c:pt>
                <c:pt idx="7">
                  <c:v>-7.7177999999999997E-2</c:v>
                </c:pt>
                <c:pt idx="8">
                  <c:v>-0.375803</c:v>
                </c:pt>
                <c:pt idx="9">
                  <c:v>-0.38771899999999998</c:v>
                </c:pt>
                <c:pt idx="10">
                  <c:v>-0.24179899999999999</c:v>
                </c:pt>
                <c:pt idx="11">
                  <c:v>-0.152255</c:v>
                </c:pt>
                <c:pt idx="12">
                  <c:v>-0.18446000000000001</c:v>
                </c:pt>
                <c:pt idx="13">
                  <c:v>-0.16824600000000001</c:v>
                </c:pt>
                <c:pt idx="14">
                  <c:v>-0.222029</c:v>
                </c:pt>
                <c:pt idx="15">
                  <c:v>-0.26644899999999999</c:v>
                </c:pt>
                <c:pt idx="16">
                  <c:v>-0.42707400000000001</c:v>
                </c:pt>
                <c:pt idx="17">
                  <c:v>-0.408001</c:v>
                </c:pt>
                <c:pt idx="18">
                  <c:v>-0.32125300000000001</c:v>
                </c:pt>
                <c:pt idx="19">
                  <c:v>-0.278285</c:v>
                </c:pt>
                <c:pt idx="20">
                  <c:v>-0.16718</c:v>
                </c:pt>
                <c:pt idx="21">
                  <c:v>-0.144398</c:v>
                </c:pt>
                <c:pt idx="22">
                  <c:v>-8.8998400000000005E-2</c:v>
                </c:pt>
                <c:pt idx="23">
                  <c:v>2.05627E-2</c:v>
                </c:pt>
                <c:pt idx="24">
                  <c:v>-9.57374E-2</c:v>
                </c:pt>
                <c:pt idx="25">
                  <c:v>-0.104398</c:v>
                </c:pt>
                <c:pt idx="26">
                  <c:v>-7.4601100000000004E-2</c:v>
                </c:pt>
                <c:pt idx="27">
                  <c:v>-0.115026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RetBubblePlot!$H$33:$H$60</c:f>
              <c:numCache>
                <c:formatCode>General</c:formatCode>
                <c:ptCount val="28"/>
                <c:pt idx="0">
                  <c:v>133</c:v>
                </c:pt>
                <c:pt idx="1">
                  <c:v>133</c:v>
                </c:pt>
                <c:pt idx="2">
                  <c:v>133</c:v>
                </c:pt>
                <c:pt idx="3">
                  <c:v>133</c:v>
                </c:pt>
                <c:pt idx="4">
                  <c:v>133</c:v>
                </c:pt>
                <c:pt idx="5">
                  <c:v>133</c:v>
                </c:pt>
                <c:pt idx="6">
                  <c:v>133</c:v>
                </c:pt>
                <c:pt idx="7">
                  <c:v>133</c:v>
                </c:pt>
                <c:pt idx="8">
                  <c:v>133</c:v>
                </c:pt>
                <c:pt idx="9">
                  <c:v>133</c:v>
                </c:pt>
                <c:pt idx="10">
                  <c:v>133</c:v>
                </c:pt>
                <c:pt idx="11">
                  <c:v>133</c:v>
                </c:pt>
                <c:pt idx="12">
                  <c:v>133</c:v>
                </c:pt>
                <c:pt idx="13">
                  <c:v>133</c:v>
                </c:pt>
                <c:pt idx="14">
                  <c:v>133</c:v>
                </c:pt>
                <c:pt idx="15">
                  <c:v>133</c:v>
                </c:pt>
                <c:pt idx="16">
                  <c:v>133</c:v>
                </c:pt>
                <c:pt idx="17">
                  <c:v>133</c:v>
                </c:pt>
                <c:pt idx="18">
                  <c:v>133</c:v>
                </c:pt>
                <c:pt idx="19">
                  <c:v>133</c:v>
                </c:pt>
                <c:pt idx="20">
                  <c:v>133</c:v>
                </c:pt>
                <c:pt idx="21">
                  <c:v>133</c:v>
                </c:pt>
                <c:pt idx="22">
                  <c:v>133</c:v>
                </c:pt>
                <c:pt idx="23">
                  <c:v>133</c:v>
                </c:pt>
                <c:pt idx="24">
                  <c:v>133</c:v>
                </c:pt>
                <c:pt idx="25">
                  <c:v>133</c:v>
                </c:pt>
                <c:pt idx="26">
                  <c:v>133</c:v>
                </c:pt>
                <c:pt idx="27">
                  <c:v>133</c:v>
                </c:pt>
              </c:numCache>
            </c:numRef>
          </c:yVal>
          <c:bubbleSize>
            <c:numRef>
              <c:f>RetBubblePlot!$H$4:$H$31</c:f>
              <c:numCache>
                <c:formatCode>0.00E+00</c:formatCode>
                <c:ptCount val="28"/>
                <c:pt idx="0">
                  <c:v>-0.26791700000000002</c:v>
                </c:pt>
                <c:pt idx="1">
                  <c:v>-0.12579799999999999</c:v>
                </c:pt>
                <c:pt idx="2">
                  <c:v>3.9426799999999998E-2</c:v>
                </c:pt>
                <c:pt idx="3">
                  <c:v>0.609954</c:v>
                </c:pt>
                <c:pt idx="4">
                  <c:v>0.31849100000000002</c:v>
                </c:pt>
                <c:pt idx="5">
                  <c:v>1.6231100000000001</c:v>
                </c:pt>
                <c:pt idx="6">
                  <c:v>1.4200299999999999</c:v>
                </c:pt>
                <c:pt idx="7">
                  <c:v>0.40989900000000001</c:v>
                </c:pt>
                <c:pt idx="8">
                  <c:v>-1.2078199999999999</c:v>
                </c:pt>
                <c:pt idx="9">
                  <c:v>-0.60696600000000001</c:v>
                </c:pt>
                <c:pt idx="10">
                  <c:v>-0.148178</c:v>
                </c:pt>
                <c:pt idx="11">
                  <c:v>0.62156100000000003</c:v>
                </c:pt>
                <c:pt idx="12">
                  <c:v>0.21410000000000001</c:v>
                </c:pt>
                <c:pt idx="13">
                  <c:v>0.24537500000000001</c:v>
                </c:pt>
                <c:pt idx="14">
                  <c:v>-8.8519399999999998E-2</c:v>
                </c:pt>
                <c:pt idx="15">
                  <c:v>-9.6409999999999996E-2</c:v>
                </c:pt>
                <c:pt idx="16">
                  <c:v>-0.63823600000000003</c:v>
                </c:pt>
                <c:pt idx="17">
                  <c:v>8.7766900000000002E-3</c:v>
                </c:pt>
                <c:pt idx="18">
                  <c:v>-0.39898800000000001</c:v>
                </c:pt>
                <c:pt idx="19">
                  <c:v>3.0532400000000001E-2</c:v>
                </c:pt>
                <c:pt idx="20">
                  <c:v>0.21785399999999999</c:v>
                </c:pt>
                <c:pt idx="21">
                  <c:v>4.83892E-2</c:v>
                </c:pt>
                <c:pt idx="22">
                  <c:v>0.134163</c:v>
                </c:pt>
                <c:pt idx="23">
                  <c:v>0.11884599999999999</c:v>
                </c:pt>
                <c:pt idx="24">
                  <c:v>-6.5089900000000006E-2</c:v>
                </c:pt>
                <c:pt idx="25">
                  <c:v>-0.15638099999999999</c:v>
                </c:pt>
                <c:pt idx="26">
                  <c:v>-1.68776E-2</c:v>
                </c:pt>
                <c:pt idx="27">
                  <c:v>1.49222E-2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RetBubblePlot!$I$33:$I$60</c:f>
              <c:numCache>
                <c:formatCode>General</c:formatCode>
                <c:ptCount val="28"/>
                <c:pt idx="0">
                  <c:v>138</c:v>
                </c:pt>
                <c:pt idx="1">
                  <c:v>138</c:v>
                </c:pt>
                <c:pt idx="2">
                  <c:v>138</c:v>
                </c:pt>
                <c:pt idx="3">
                  <c:v>138</c:v>
                </c:pt>
                <c:pt idx="4">
                  <c:v>138</c:v>
                </c:pt>
                <c:pt idx="5">
                  <c:v>138</c:v>
                </c:pt>
                <c:pt idx="6">
                  <c:v>138</c:v>
                </c:pt>
                <c:pt idx="7">
                  <c:v>138</c:v>
                </c:pt>
                <c:pt idx="8">
                  <c:v>138</c:v>
                </c:pt>
                <c:pt idx="9">
                  <c:v>138</c:v>
                </c:pt>
                <c:pt idx="10">
                  <c:v>138</c:v>
                </c:pt>
                <c:pt idx="11">
                  <c:v>138</c:v>
                </c:pt>
                <c:pt idx="12">
                  <c:v>138</c:v>
                </c:pt>
                <c:pt idx="13">
                  <c:v>138</c:v>
                </c:pt>
                <c:pt idx="14">
                  <c:v>138</c:v>
                </c:pt>
                <c:pt idx="15">
                  <c:v>138</c:v>
                </c:pt>
                <c:pt idx="16">
                  <c:v>138</c:v>
                </c:pt>
                <c:pt idx="17">
                  <c:v>138</c:v>
                </c:pt>
                <c:pt idx="18">
                  <c:v>138</c:v>
                </c:pt>
                <c:pt idx="19">
                  <c:v>138</c:v>
                </c:pt>
                <c:pt idx="20">
                  <c:v>138</c:v>
                </c:pt>
                <c:pt idx="21">
                  <c:v>138</c:v>
                </c:pt>
                <c:pt idx="22">
                  <c:v>138</c:v>
                </c:pt>
                <c:pt idx="23">
                  <c:v>138</c:v>
                </c:pt>
                <c:pt idx="24">
                  <c:v>138</c:v>
                </c:pt>
                <c:pt idx="25">
                  <c:v>138</c:v>
                </c:pt>
                <c:pt idx="26">
                  <c:v>138</c:v>
                </c:pt>
                <c:pt idx="27">
                  <c:v>138</c:v>
                </c:pt>
              </c:numCache>
            </c:numRef>
          </c:yVal>
          <c:bubbleSize>
            <c:numRef>
              <c:f>RetBubblePlot!$I$4:$I$31</c:f>
              <c:numCache>
                <c:formatCode>0.00E+00</c:formatCode>
                <c:ptCount val="28"/>
                <c:pt idx="0">
                  <c:v>1.15195</c:v>
                </c:pt>
                <c:pt idx="1">
                  <c:v>-0.18059800000000001</c:v>
                </c:pt>
                <c:pt idx="2">
                  <c:v>8.0171500000000007E-2</c:v>
                </c:pt>
                <c:pt idx="3">
                  <c:v>-4.16884E-2</c:v>
                </c:pt>
                <c:pt idx="4">
                  <c:v>0.444102</c:v>
                </c:pt>
                <c:pt idx="5">
                  <c:v>0.80376400000000003</c:v>
                </c:pt>
                <c:pt idx="6">
                  <c:v>0.89586399999999999</c:v>
                </c:pt>
                <c:pt idx="7">
                  <c:v>-0.25310500000000002</c:v>
                </c:pt>
                <c:pt idx="8">
                  <c:v>-1.0203</c:v>
                </c:pt>
                <c:pt idx="9">
                  <c:v>-1.23238</c:v>
                </c:pt>
                <c:pt idx="10">
                  <c:v>-0.78342100000000003</c:v>
                </c:pt>
                <c:pt idx="11">
                  <c:v>2.7532600000000001E-2</c:v>
                </c:pt>
                <c:pt idx="12">
                  <c:v>-0.24474799999999999</c:v>
                </c:pt>
                <c:pt idx="13">
                  <c:v>0.19378999999999999</c:v>
                </c:pt>
                <c:pt idx="14">
                  <c:v>-0.352022</c:v>
                </c:pt>
                <c:pt idx="15">
                  <c:v>-0.437915</c:v>
                </c:pt>
                <c:pt idx="16">
                  <c:v>-0.83510700000000004</c:v>
                </c:pt>
                <c:pt idx="17">
                  <c:v>-0.30946200000000001</c:v>
                </c:pt>
                <c:pt idx="18">
                  <c:v>-0.24538299999999999</c:v>
                </c:pt>
                <c:pt idx="19">
                  <c:v>7.3261199999999999E-2</c:v>
                </c:pt>
                <c:pt idx="20">
                  <c:v>0.29389599999999999</c:v>
                </c:pt>
                <c:pt idx="21">
                  <c:v>-0.216671</c:v>
                </c:pt>
                <c:pt idx="22">
                  <c:v>2.3233799999999999E-2</c:v>
                </c:pt>
                <c:pt idx="23">
                  <c:v>-7.7500899999999998E-2</c:v>
                </c:pt>
                <c:pt idx="24">
                  <c:v>-0.231262</c:v>
                </c:pt>
                <c:pt idx="25">
                  <c:v>-0.21068500000000001</c:v>
                </c:pt>
                <c:pt idx="26">
                  <c:v>-7.6228599999999994E-2</c:v>
                </c:pt>
                <c:pt idx="27">
                  <c:v>-2.0126100000000001E-2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RetBubblePlot!$J$33:$J$60</c:f>
              <c:numCache>
                <c:formatCode>General</c:formatCode>
                <c:ptCount val="28"/>
                <c:pt idx="0">
                  <c:v>143</c:v>
                </c:pt>
                <c:pt idx="1">
                  <c:v>143</c:v>
                </c:pt>
                <c:pt idx="2">
                  <c:v>143</c:v>
                </c:pt>
                <c:pt idx="3">
                  <c:v>143</c:v>
                </c:pt>
                <c:pt idx="4">
                  <c:v>143</c:v>
                </c:pt>
                <c:pt idx="5">
                  <c:v>143</c:v>
                </c:pt>
                <c:pt idx="6">
                  <c:v>143</c:v>
                </c:pt>
                <c:pt idx="7">
                  <c:v>143</c:v>
                </c:pt>
                <c:pt idx="8">
                  <c:v>143</c:v>
                </c:pt>
                <c:pt idx="9">
                  <c:v>143</c:v>
                </c:pt>
                <c:pt idx="10">
                  <c:v>143</c:v>
                </c:pt>
                <c:pt idx="11">
                  <c:v>143</c:v>
                </c:pt>
                <c:pt idx="12">
                  <c:v>143</c:v>
                </c:pt>
                <c:pt idx="13">
                  <c:v>143</c:v>
                </c:pt>
                <c:pt idx="14">
                  <c:v>143</c:v>
                </c:pt>
                <c:pt idx="15">
                  <c:v>143</c:v>
                </c:pt>
                <c:pt idx="16">
                  <c:v>143</c:v>
                </c:pt>
                <c:pt idx="17">
                  <c:v>143</c:v>
                </c:pt>
                <c:pt idx="18">
                  <c:v>143</c:v>
                </c:pt>
                <c:pt idx="19">
                  <c:v>143</c:v>
                </c:pt>
                <c:pt idx="20">
                  <c:v>143</c:v>
                </c:pt>
                <c:pt idx="21">
                  <c:v>143</c:v>
                </c:pt>
                <c:pt idx="22">
                  <c:v>143</c:v>
                </c:pt>
                <c:pt idx="23">
                  <c:v>143</c:v>
                </c:pt>
                <c:pt idx="24">
                  <c:v>143</c:v>
                </c:pt>
                <c:pt idx="25">
                  <c:v>143</c:v>
                </c:pt>
                <c:pt idx="26">
                  <c:v>143</c:v>
                </c:pt>
                <c:pt idx="27">
                  <c:v>143</c:v>
                </c:pt>
              </c:numCache>
            </c:numRef>
          </c:yVal>
          <c:bubbleSize>
            <c:numRef>
              <c:f>RetBubblePlot!$J$4:$J$31</c:f>
              <c:numCache>
                <c:formatCode>0.00E+00</c:formatCode>
                <c:ptCount val="28"/>
                <c:pt idx="0">
                  <c:v>1.38649</c:v>
                </c:pt>
                <c:pt idx="1">
                  <c:v>0.44924500000000001</c:v>
                </c:pt>
                <c:pt idx="2">
                  <c:v>-2.9447299999999999E-2</c:v>
                </c:pt>
                <c:pt idx="3">
                  <c:v>0.21213699999999999</c:v>
                </c:pt>
                <c:pt idx="4">
                  <c:v>0.298288</c:v>
                </c:pt>
                <c:pt idx="5">
                  <c:v>-0.78554199999999996</c:v>
                </c:pt>
                <c:pt idx="6">
                  <c:v>-0.16472899999999999</c:v>
                </c:pt>
                <c:pt idx="7">
                  <c:v>-0.42149599999999998</c:v>
                </c:pt>
                <c:pt idx="8">
                  <c:v>0.45800200000000002</c:v>
                </c:pt>
                <c:pt idx="9">
                  <c:v>0.158415</c:v>
                </c:pt>
                <c:pt idx="10">
                  <c:v>-0.69520199999999999</c:v>
                </c:pt>
                <c:pt idx="11">
                  <c:v>-0.42059999999999997</c:v>
                </c:pt>
                <c:pt idx="12">
                  <c:v>-0.28557700000000003</c:v>
                </c:pt>
                <c:pt idx="13">
                  <c:v>0.32819999999999999</c:v>
                </c:pt>
                <c:pt idx="14">
                  <c:v>0.62913300000000005</c:v>
                </c:pt>
                <c:pt idx="15">
                  <c:v>1.03692E-2</c:v>
                </c:pt>
                <c:pt idx="16">
                  <c:v>-1.65424E-3</c:v>
                </c:pt>
                <c:pt idx="17">
                  <c:v>0.189189</c:v>
                </c:pt>
                <c:pt idx="18">
                  <c:v>0.31091200000000002</c:v>
                </c:pt>
                <c:pt idx="19">
                  <c:v>0.49917600000000001</c:v>
                </c:pt>
                <c:pt idx="20">
                  <c:v>0.26372800000000002</c:v>
                </c:pt>
                <c:pt idx="21">
                  <c:v>8.4974499999999994E-2</c:v>
                </c:pt>
                <c:pt idx="22">
                  <c:v>-9.6408099999999997E-3</c:v>
                </c:pt>
                <c:pt idx="23">
                  <c:v>7.1048100000000003E-2</c:v>
                </c:pt>
                <c:pt idx="24">
                  <c:v>-0.16454299999999999</c:v>
                </c:pt>
                <c:pt idx="25">
                  <c:v>3.1024400000000001E-3</c:v>
                </c:pt>
                <c:pt idx="26">
                  <c:v>-0.28699200000000002</c:v>
                </c:pt>
                <c:pt idx="27">
                  <c:v>0.250641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RetBubblePlot!$K$33:$K$60</c:f>
              <c:numCache>
                <c:formatCode>General</c:formatCode>
                <c:ptCount val="28"/>
                <c:pt idx="0">
                  <c:v>148</c:v>
                </c:pt>
                <c:pt idx="1">
                  <c:v>148</c:v>
                </c:pt>
                <c:pt idx="2">
                  <c:v>148</c:v>
                </c:pt>
                <c:pt idx="3">
                  <c:v>148</c:v>
                </c:pt>
                <c:pt idx="4">
                  <c:v>148</c:v>
                </c:pt>
                <c:pt idx="5">
                  <c:v>148</c:v>
                </c:pt>
                <c:pt idx="6">
                  <c:v>148</c:v>
                </c:pt>
                <c:pt idx="7">
                  <c:v>148</c:v>
                </c:pt>
                <c:pt idx="8">
                  <c:v>148</c:v>
                </c:pt>
                <c:pt idx="9">
                  <c:v>148</c:v>
                </c:pt>
                <c:pt idx="10">
                  <c:v>148</c:v>
                </c:pt>
                <c:pt idx="11">
                  <c:v>148</c:v>
                </c:pt>
                <c:pt idx="12">
                  <c:v>148</c:v>
                </c:pt>
                <c:pt idx="13">
                  <c:v>148</c:v>
                </c:pt>
                <c:pt idx="14">
                  <c:v>148</c:v>
                </c:pt>
                <c:pt idx="15">
                  <c:v>148</c:v>
                </c:pt>
                <c:pt idx="16">
                  <c:v>148</c:v>
                </c:pt>
                <c:pt idx="17">
                  <c:v>148</c:v>
                </c:pt>
                <c:pt idx="18">
                  <c:v>148</c:v>
                </c:pt>
                <c:pt idx="19">
                  <c:v>148</c:v>
                </c:pt>
                <c:pt idx="20">
                  <c:v>148</c:v>
                </c:pt>
                <c:pt idx="21">
                  <c:v>148</c:v>
                </c:pt>
                <c:pt idx="22">
                  <c:v>148</c:v>
                </c:pt>
                <c:pt idx="23">
                  <c:v>148</c:v>
                </c:pt>
                <c:pt idx="24">
                  <c:v>148</c:v>
                </c:pt>
                <c:pt idx="25">
                  <c:v>148</c:v>
                </c:pt>
                <c:pt idx="26">
                  <c:v>148</c:v>
                </c:pt>
                <c:pt idx="27">
                  <c:v>148</c:v>
                </c:pt>
              </c:numCache>
            </c:numRef>
          </c:yVal>
          <c:bubbleSize>
            <c:numRef>
              <c:f>RetBubblePlot!$K$4:$K$31</c:f>
              <c:numCache>
                <c:formatCode>0.00E+00</c:formatCode>
                <c:ptCount val="28"/>
                <c:pt idx="0">
                  <c:v>-4.6661999999999999</c:v>
                </c:pt>
                <c:pt idx="1">
                  <c:v>-0.94331100000000001</c:v>
                </c:pt>
                <c:pt idx="2">
                  <c:v>-0.38554500000000003</c:v>
                </c:pt>
                <c:pt idx="3">
                  <c:v>-0.211314</c:v>
                </c:pt>
                <c:pt idx="4">
                  <c:v>-0.85201800000000005</c:v>
                </c:pt>
                <c:pt idx="5">
                  <c:v>-1.18889</c:v>
                </c:pt>
                <c:pt idx="6">
                  <c:v>-0.67569599999999996</c:v>
                </c:pt>
                <c:pt idx="7">
                  <c:v>-1.7556200000000001E-2</c:v>
                </c:pt>
                <c:pt idx="8">
                  <c:v>0.85968</c:v>
                </c:pt>
                <c:pt idx="9">
                  <c:v>0.37918400000000002</c:v>
                </c:pt>
                <c:pt idx="10">
                  <c:v>-0.27249899999999999</c:v>
                </c:pt>
                <c:pt idx="11">
                  <c:v>-0.171653</c:v>
                </c:pt>
                <c:pt idx="12">
                  <c:v>-0.175735</c:v>
                </c:pt>
                <c:pt idx="13">
                  <c:v>0.19170400000000001</c:v>
                </c:pt>
                <c:pt idx="14">
                  <c:v>0.67011399999999999</c:v>
                </c:pt>
                <c:pt idx="15">
                  <c:v>0.22327</c:v>
                </c:pt>
                <c:pt idx="16">
                  <c:v>0.56067100000000003</c:v>
                </c:pt>
                <c:pt idx="17">
                  <c:v>0.34051100000000001</c:v>
                </c:pt>
                <c:pt idx="18">
                  <c:v>0.34426299999999999</c:v>
                </c:pt>
                <c:pt idx="19">
                  <c:v>0.16830999999999999</c:v>
                </c:pt>
                <c:pt idx="20">
                  <c:v>-5.6668099999999999E-2</c:v>
                </c:pt>
                <c:pt idx="21">
                  <c:v>-9.1511899999999993E-2</c:v>
                </c:pt>
                <c:pt idx="22">
                  <c:v>-7.8235700000000005E-2</c:v>
                </c:pt>
                <c:pt idx="23">
                  <c:v>0.16340299999999999</c:v>
                </c:pt>
                <c:pt idx="24">
                  <c:v>-7.8851099999999993E-2</c:v>
                </c:pt>
                <c:pt idx="25">
                  <c:v>0.19105</c:v>
                </c:pt>
                <c:pt idx="26">
                  <c:v>0.13591500000000001</c:v>
                </c:pt>
                <c:pt idx="27">
                  <c:v>0.29750399999999999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RetBubblePlot!$L$33:$L$60</c:f>
              <c:numCache>
                <c:formatCode>General</c:formatCode>
                <c:ptCount val="28"/>
                <c:pt idx="0">
                  <c:v>153</c:v>
                </c:pt>
                <c:pt idx="1">
                  <c:v>153</c:v>
                </c:pt>
                <c:pt idx="2">
                  <c:v>153</c:v>
                </c:pt>
                <c:pt idx="3">
                  <c:v>153</c:v>
                </c:pt>
                <c:pt idx="4">
                  <c:v>153</c:v>
                </c:pt>
                <c:pt idx="5">
                  <c:v>153</c:v>
                </c:pt>
                <c:pt idx="6">
                  <c:v>153</c:v>
                </c:pt>
                <c:pt idx="7">
                  <c:v>153</c:v>
                </c:pt>
                <c:pt idx="8">
                  <c:v>153</c:v>
                </c:pt>
                <c:pt idx="9">
                  <c:v>153</c:v>
                </c:pt>
                <c:pt idx="10">
                  <c:v>153</c:v>
                </c:pt>
                <c:pt idx="11">
                  <c:v>153</c:v>
                </c:pt>
                <c:pt idx="12">
                  <c:v>153</c:v>
                </c:pt>
                <c:pt idx="13">
                  <c:v>153</c:v>
                </c:pt>
                <c:pt idx="14">
                  <c:v>153</c:v>
                </c:pt>
                <c:pt idx="15">
                  <c:v>153</c:v>
                </c:pt>
                <c:pt idx="16">
                  <c:v>153</c:v>
                </c:pt>
                <c:pt idx="17">
                  <c:v>153</c:v>
                </c:pt>
                <c:pt idx="18">
                  <c:v>153</c:v>
                </c:pt>
                <c:pt idx="19">
                  <c:v>153</c:v>
                </c:pt>
                <c:pt idx="20">
                  <c:v>153</c:v>
                </c:pt>
                <c:pt idx="21">
                  <c:v>153</c:v>
                </c:pt>
                <c:pt idx="22">
                  <c:v>153</c:v>
                </c:pt>
                <c:pt idx="23">
                  <c:v>153</c:v>
                </c:pt>
                <c:pt idx="24">
                  <c:v>153</c:v>
                </c:pt>
                <c:pt idx="25">
                  <c:v>153</c:v>
                </c:pt>
                <c:pt idx="26">
                  <c:v>153</c:v>
                </c:pt>
                <c:pt idx="27">
                  <c:v>153</c:v>
                </c:pt>
              </c:numCache>
            </c:numRef>
          </c:yVal>
          <c:bubbleSize>
            <c:numRef>
              <c:f>RetBubblePlot!$L$4:$L$31</c:f>
              <c:numCache>
                <c:formatCode>0.00E+00</c:formatCode>
                <c:ptCount val="28"/>
                <c:pt idx="0">
                  <c:v>1.2160299999999999</c:v>
                </c:pt>
                <c:pt idx="1">
                  <c:v>0.846858</c:v>
                </c:pt>
                <c:pt idx="2">
                  <c:v>0.12056600000000001</c:v>
                </c:pt>
                <c:pt idx="3">
                  <c:v>6.0491999999999997E-2</c:v>
                </c:pt>
                <c:pt idx="4">
                  <c:v>-0.30132799999999998</c:v>
                </c:pt>
                <c:pt idx="5">
                  <c:v>-0.54298100000000005</c:v>
                </c:pt>
                <c:pt idx="6">
                  <c:v>-0.71870900000000004</c:v>
                </c:pt>
                <c:pt idx="7">
                  <c:v>0.14630899999999999</c:v>
                </c:pt>
                <c:pt idx="8">
                  <c:v>0.49210500000000001</c:v>
                </c:pt>
                <c:pt idx="9">
                  <c:v>0.36079099999999997</c:v>
                </c:pt>
                <c:pt idx="10">
                  <c:v>0.44624900000000001</c:v>
                </c:pt>
                <c:pt idx="11">
                  <c:v>-0.243645</c:v>
                </c:pt>
                <c:pt idx="12">
                  <c:v>3.2122900000000003E-2</c:v>
                </c:pt>
                <c:pt idx="13">
                  <c:v>-0.13317899999999999</c:v>
                </c:pt>
                <c:pt idx="14">
                  <c:v>5.3177000000000002E-2</c:v>
                </c:pt>
                <c:pt idx="15">
                  <c:v>0.33769199999999999</c:v>
                </c:pt>
                <c:pt idx="16">
                  <c:v>0.70080799999999999</c:v>
                </c:pt>
                <c:pt idx="17">
                  <c:v>0.34694399999999997</c:v>
                </c:pt>
                <c:pt idx="18">
                  <c:v>0.182057</c:v>
                </c:pt>
                <c:pt idx="19">
                  <c:v>-0.237932</c:v>
                </c:pt>
                <c:pt idx="20">
                  <c:v>-0.12617500000000001</c:v>
                </c:pt>
                <c:pt idx="21">
                  <c:v>0.112887</c:v>
                </c:pt>
                <c:pt idx="22">
                  <c:v>-0.16692699999999999</c:v>
                </c:pt>
                <c:pt idx="23">
                  <c:v>0.187392</c:v>
                </c:pt>
                <c:pt idx="24">
                  <c:v>6.7232899999999998E-2</c:v>
                </c:pt>
                <c:pt idx="25">
                  <c:v>-0.20055700000000001</c:v>
                </c:pt>
                <c:pt idx="26">
                  <c:v>-8.0046599999999996E-2</c:v>
                </c:pt>
                <c:pt idx="27">
                  <c:v>6.3382300000000003E-2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RetBubblePlot!$M$33:$M$60</c:f>
              <c:numCache>
                <c:formatCode>General</c:formatCode>
                <c:ptCount val="28"/>
                <c:pt idx="0">
                  <c:v>158</c:v>
                </c:pt>
                <c:pt idx="1">
                  <c:v>158</c:v>
                </c:pt>
                <c:pt idx="2">
                  <c:v>158</c:v>
                </c:pt>
                <c:pt idx="3">
                  <c:v>158</c:v>
                </c:pt>
                <c:pt idx="4">
                  <c:v>158</c:v>
                </c:pt>
                <c:pt idx="5">
                  <c:v>158</c:v>
                </c:pt>
                <c:pt idx="6">
                  <c:v>158</c:v>
                </c:pt>
                <c:pt idx="7">
                  <c:v>158</c:v>
                </c:pt>
                <c:pt idx="8">
                  <c:v>158</c:v>
                </c:pt>
                <c:pt idx="9">
                  <c:v>158</c:v>
                </c:pt>
                <c:pt idx="10">
                  <c:v>158</c:v>
                </c:pt>
                <c:pt idx="11">
                  <c:v>158</c:v>
                </c:pt>
                <c:pt idx="12">
                  <c:v>158</c:v>
                </c:pt>
                <c:pt idx="13">
                  <c:v>158</c:v>
                </c:pt>
                <c:pt idx="14">
                  <c:v>158</c:v>
                </c:pt>
                <c:pt idx="15">
                  <c:v>158</c:v>
                </c:pt>
                <c:pt idx="16">
                  <c:v>158</c:v>
                </c:pt>
                <c:pt idx="17">
                  <c:v>158</c:v>
                </c:pt>
                <c:pt idx="18">
                  <c:v>158</c:v>
                </c:pt>
                <c:pt idx="19">
                  <c:v>158</c:v>
                </c:pt>
                <c:pt idx="20">
                  <c:v>158</c:v>
                </c:pt>
                <c:pt idx="21">
                  <c:v>158</c:v>
                </c:pt>
                <c:pt idx="22">
                  <c:v>158</c:v>
                </c:pt>
                <c:pt idx="23">
                  <c:v>158</c:v>
                </c:pt>
                <c:pt idx="24">
                  <c:v>158</c:v>
                </c:pt>
                <c:pt idx="25">
                  <c:v>158</c:v>
                </c:pt>
                <c:pt idx="26">
                  <c:v>158</c:v>
                </c:pt>
                <c:pt idx="27">
                  <c:v>158</c:v>
                </c:pt>
              </c:numCache>
            </c:numRef>
          </c:yVal>
          <c:bubbleSize>
            <c:numRef>
              <c:f>RetBubblePlot!$M$4:$M$31</c:f>
              <c:numCache>
                <c:formatCode>0.00E+00</c:formatCode>
                <c:ptCount val="28"/>
                <c:pt idx="0">
                  <c:v>-0.360481</c:v>
                </c:pt>
                <c:pt idx="1">
                  <c:v>-0.87947299999999995</c:v>
                </c:pt>
                <c:pt idx="2">
                  <c:v>-3.5636500000000002E-2</c:v>
                </c:pt>
                <c:pt idx="3">
                  <c:v>-0.59622799999999998</c:v>
                </c:pt>
                <c:pt idx="4">
                  <c:v>-9.6552399999999997E-2</c:v>
                </c:pt>
                <c:pt idx="5">
                  <c:v>-7.4607999999999994E-2</c:v>
                </c:pt>
                <c:pt idx="6">
                  <c:v>-0.69712600000000002</c:v>
                </c:pt>
                <c:pt idx="7">
                  <c:v>0.120933</c:v>
                </c:pt>
                <c:pt idx="8">
                  <c:v>-0.201652</c:v>
                </c:pt>
                <c:pt idx="9">
                  <c:v>0.28780800000000001</c:v>
                </c:pt>
                <c:pt idx="10">
                  <c:v>0.71016699999999999</c:v>
                </c:pt>
                <c:pt idx="11">
                  <c:v>-0.26742500000000002</c:v>
                </c:pt>
                <c:pt idx="12">
                  <c:v>-6.7722900000000003E-2</c:v>
                </c:pt>
                <c:pt idx="13">
                  <c:v>-0.43810500000000002</c:v>
                </c:pt>
                <c:pt idx="14">
                  <c:v>-0.44345400000000001</c:v>
                </c:pt>
                <c:pt idx="15">
                  <c:v>-8.8032399999999997E-2</c:v>
                </c:pt>
                <c:pt idx="16">
                  <c:v>0.13406899999999999</c:v>
                </c:pt>
                <c:pt idx="17">
                  <c:v>-0.28026000000000001</c:v>
                </c:pt>
                <c:pt idx="18">
                  <c:v>-0.26583000000000001</c:v>
                </c:pt>
                <c:pt idx="19">
                  <c:v>-0.48283399999999999</c:v>
                </c:pt>
                <c:pt idx="20">
                  <c:v>-0.51234900000000005</c:v>
                </c:pt>
                <c:pt idx="21">
                  <c:v>-0.22384899999999999</c:v>
                </c:pt>
                <c:pt idx="22">
                  <c:v>-0.135267</c:v>
                </c:pt>
                <c:pt idx="23">
                  <c:v>-0.44207400000000002</c:v>
                </c:pt>
                <c:pt idx="24">
                  <c:v>-4.28423E-2</c:v>
                </c:pt>
                <c:pt idx="25">
                  <c:v>-9.9282999999999996E-2</c:v>
                </c:pt>
                <c:pt idx="26">
                  <c:v>-5.5119300000000003E-2</c:v>
                </c:pt>
                <c:pt idx="27">
                  <c:v>-0.27432400000000001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RetBubblePlot!$N$33:$N$60</c:f>
              <c:numCache>
                <c:formatCode>General</c:formatCode>
                <c:ptCount val="28"/>
                <c:pt idx="0">
                  <c:v>163</c:v>
                </c:pt>
                <c:pt idx="1">
                  <c:v>163</c:v>
                </c:pt>
                <c:pt idx="2">
                  <c:v>163</c:v>
                </c:pt>
                <c:pt idx="3">
                  <c:v>163</c:v>
                </c:pt>
                <c:pt idx="4">
                  <c:v>163</c:v>
                </c:pt>
                <c:pt idx="5">
                  <c:v>163</c:v>
                </c:pt>
                <c:pt idx="6">
                  <c:v>163</c:v>
                </c:pt>
                <c:pt idx="7">
                  <c:v>163</c:v>
                </c:pt>
                <c:pt idx="8">
                  <c:v>163</c:v>
                </c:pt>
                <c:pt idx="9">
                  <c:v>163</c:v>
                </c:pt>
                <c:pt idx="10">
                  <c:v>163</c:v>
                </c:pt>
                <c:pt idx="11">
                  <c:v>163</c:v>
                </c:pt>
                <c:pt idx="12">
                  <c:v>163</c:v>
                </c:pt>
                <c:pt idx="13">
                  <c:v>163</c:v>
                </c:pt>
                <c:pt idx="14">
                  <c:v>163</c:v>
                </c:pt>
                <c:pt idx="15">
                  <c:v>163</c:v>
                </c:pt>
                <c:pt idx="16">
                  <c:v>163</c:v>
                </c:pt>
                <c:pt idx="17">
                  <c:v>163</c:v>
                </c:pt>
                <c:pt idx="18">
                  <c:v>163</c:v>
                </c:pt>
                <c:pt idx="19">
                  <c:v>163</c:v>
                </c:pt>
                <c:pt idx="20">
                  <c:v>163</c:v>
                </c:pt>
                <c:pt idx="21">
                  <c:v>163</c:v>
                </c:pt>
                <c:pt idx="22">
                  <c:v>163</c:v>
                </c:pt>
                <c:pt idx="23">
                  <c:v>163</c:v>
                </c:pt>
                <c:pt idx="24">
                  <c:v>163</c:v>
                </c:pt>
                <c:pt idx="25">
                  <c:v>163</c:v>
                </c:pt>
                <c:pt idx="26">
                  <c:v>163</c:v>
                </c:pt>
                <c:pt idx="27">
                  <c:v>163</c:v>
                </c:pt>
              </c:numCache>
            </c:numRef>
          </c:yVal>
          <c:bubbleSize>
            <c:numRef>
              <c:f>RetBubblePlot!$N$4:$N$31</c:f>
              <c:numCache>
                <c:formatCode>0.00E+00</c:formatCode>
                <c:ptCount val="28"/>
                <c:pt idx="0">
                  <c:v>0.81912799999999997</c:v>
                </c:pt>
                <c:pt idx="1">
                  <c:v>2.2943299999999998E-3</c:v>
                </c:pt>
                <c:pt idx="2">
                  <c:v>0.107736</c:v>
                </c:pt>
                <c:pt idx="3">
                  <c:v>-0.50671299999999997</c:v>
                </c:pt>
                <c:pt idx="4">
                  <c:v>0.13356699999999999</c:v>
                </c:pt>
                <c:pt idx="5">
                  <c:v>5.8172700000000001E-2</c:v>
                </c:pt>
                <c:pt idx="6">
                  <c:v>-0.42149500000000001</c:v>
                </c:pt>
                <c:pt idx="7">
                  <c:v>0.107763</c:v>
                </c:pt>
                <c:pt idx="8">
                  <c:v>-3.1063800000000002E-3</c:v>
                </c:pt>
                <c:pt idx="9">
                  <c:v>0.41171400000000002</c:v>
                </c:pt>
                <c:pt idx="10">
                  <c:v>0.75715200000000005</c:v>
                </c:pt>
                <c:pt idx="11">
                  <c:v>0.28338600000000003</c:v>
                </c:pt>
                <c:pt idx="12">
                  <c:v>0.15229999999999999</c:v>
                </c:pt>
                <c:pt idx="13">
                  <c:v>-0.51728799999999997</c:v>
                </c:pt>
                <c:pt idx="14">
                  <c:v>-0.489562</c:v>
                </c:pt>
                <c:pt idx="15">
                  <c:v>-5.53962E-2</c:v>
                </c:pt>
                <c:pt idx="16">
                  <c:v>0.12523599999999999</c:v>
                </c:pt>
                <c:pt idx="17">
                  <c:v>-0.28821200000000002</c:v>
                </c:pt>
                <c:pt idx="18">
                  <c:v>-0.12748699999999999</c:v>
                </c:pt>
                <c:pt idx="19">
                  <c:v>-0.28686699999999998</c:v>
                </c:pt>
                <c:pt idx="20">
                  <c:v>-0.37883800000000001</c:v>
                </c:pt>
                <c:pt idx="21">
                  <c:v>2.9574199999999998E-2</c:v>
                </c:pt>
                <c:pt idx="22">
                  <c:v>7.5779299999999994E-2</c:v>
                </c:pt>
                <c:pt idx="23">
                  <c:v>-4.5685499999999997E-2</c:v>
                </c:pt>
                <c:pt idx="24">
                  <c:v>4.70258E-2</c:v>
                </c:pt>
                <c:pt idx="25">
                  <c:v>8.3010799999999996E-2</c:v>
                </c:pt>
                <c:pt idx="26">
                  <c:v>-0.225075</c:v>
                </c:pt>
                <c:pt idx="27">
                  <c:v>-0.22101000000000001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RetBubblePlot!$O$33:$O$60</c:f>
              <c:numCache>
                <c:formatCode>General</c:formatCode>
                <c:ptCount val="28"/>
                <c:pt idx="0">
                  <c:v>168</c:v>
                </c:pt>
                <c:pt idx="1">
                  <c:v>168</c:v>
                </c:pt>
                <c:pt idx="2">
                  <c:v>168</c:v>
                </c:pt>
                <c:pt idx="3">
                  <c:v>168</c:v>
                </c:pt>
                <c:pt idx="4">
                  <c:v>168</c:v>
                </c:pt>
                <c:pt idx="5">
                  <c:v>168</c:v>
                </c:pt>
                <c:pt idx="6">
                  <c:v>168</c:v>
                </c:pt>
                <c:pt idx="7">
                  <c:v>168</c:v>
                </c:pt>
                <c:pt idx="8">
                  <c:v>168</c:v>
                </c:pt>
                <c:pt idx="9">
                  <c:v>168</c:v>
                </c:pt>
                <c:pt idx="10">
                  <c:v>168</c:v>
                </c:pt>
                <c:pt idx="11">
                  <c:v>168</c:v>
                </c:pt>
                <c:pt idx="12">
                  <c:v>168</c:v>
                </c:pt>
                <c:pt idx="13">
                  <c:v>168</c:v>
                </c:pt>
                <c:pt idx="14">
                  <c:v>168</c:v>
                </c:pt>
                <c:pt idx="15">
                  <c:v>168</c:v>
                </c:pt>
                <c:pt idx="16">
                  <c:v>168</c:v>
                </c:pt>
                <c:pt idx="17">
                  <c:v>168</c:v>
                </c:pt>
                <c:pt idx="18">
                  <c:v>168</c:v>
                </c:pt>
                <c:pt idx="19">
                  <c:v>168</c:v>
                </c:pt>
                <c:pt idx="20">
                  <c:v>168</c:v>
                </c:pt>
                <c:pt idx="21">
                  <c:v>168</c:v>
                </c:pt>
                <c:pt idx="22">
                  <c:v>168</c:v>
                </c:pt>
                <c:pt idx="23">
                  <c:v>168</c:v>
                </c:pt>
                <c:pt idx="24">
                  <c:v>168</c:v>
                </c:pt>
                <c:pt idx="25">
                  <c:v>168</c:v>
                </c:pt>
                <c:pt idx="26">
                  <c:v>168</c:v>
                </c:pt>
                <c:pt idx="27">
                  <c:v>168</c:v>
                </c:pt>
              </c:numCache>
            </c:numRef>
          </c:yVal>
          <c:bubbleSize>
            <c:numRef>
              <c:f>RetBubblePlot!$O$4:$O$31</c:f>
              <c:numCache>
                <c:formatCode>0.00E+00</c:formatCode>
                <c:ptCount val="28"/>
                <c:pt idx="0">
                  <c:v>0.95941100000000001</c:v>
                </c:pt>
                <c:pt idx="1">
                  <c:v>0.70354399999999995</c:v>
                </c:pt>
                <c:pt idx="2">
                  <c:v>0.149981</c:v>
                </c:pt>
                <c:pt idx="3">
                  <c:v>0.27892</c:v>
                </c:pt>
                <c:pt idx="4">
                  <c:v>0.115979</c:v>
                </c:pt>
                <c:pt idx="5">
                  <c:v>0.139213</c:v>
                </c:pt>
                <c:pt idx="6">
                  <c:v>-0.217866</c:v>
                </c:pt>
                <c:pt idx="7">
                  <c:v>0.39833400000000002</c:v>
                </c:pt>
                <c:pt idx="8">
                  <c:v>-0.18704599999999999</c:v>
                </c:pt>
                <c:pt idx="9">
                  <c:v>0.54029000000000005</c:v>
                </c:pt>
                <c:pt idx="10">
                  <c:v>1.0148999999999999</c:v>
                </c:pt>
                <c:pt idx="11">
                  <c:v>0.79778700000000002</c:v>
                </c:pt>
                <c:pt idx="12">
                  <c:v>0.94981099999999996</c:v>
                </c:pt>
                <c:pt idx="13">
                  <c:v>-0.46986</c:v>
                </c:pt>
                <c:pt idx="14">
                  <c:v>-0.97811999999999999</c:v>
                </c:pt>
                <c:pt idx="15">
                  <c:v>0.22927800000000001</c:v>
                </c:pt>
                <c:pt idx="16">
                  <c:v>-8.5444099999999995E-2</c:v>
                </c:pt>
                <c:pt idx="17">
                  <c:v>-0.336148</c:v>
                </c:pt>
                <c:pt idx="18">
                  <c:v>-0.132879</c:v>
                </c:pt>
                <c:pt idx="19">
                  <c:v>-0.26907999999999999</c:v>
                </c:pt>
                <c:pt idx="20">
                  <c:v>0.182001</c:v>
                </c:pt>
                <c:pt idx="21">
                  <c:v>0.36325499999999999</c:v>
                </c:pt>
                <c:pt idx="22">
                  <c:v>0.30652600000000002</c:v>
                </c:pt>
                <c:pt idx="23">
                  <c:v>-3.74144E-2</c:v>
                </c:pt>
                <c:pt idx="24">
                  <c:v>0.45998699999999998</c:v>
                </c:pt>
                <c:pt idx="25">
                  <c:v>0.28444799999999998</c:v>
                </c:pt>
                <c:pt idx="26">
                  <c:v>0.52959800000000001</c:v>
                </c:pt>
                <c:pt idx="27">
                  <c:v>-0.240143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RetBubblePlot!$P$33:$P$60</c:f>
              <c:numCache>
                <c:formatCode>General</c:formatCode>
                <c:ptCount val="28"/>
              </c:numCache>
            </c:numRef>
          </c:yVal>
          <c:bubbleSize>
            <c:numRef>
              <c:f>RetBubblePlot!$P$4:$P$31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RetBubblePlot!$Q$33:$Q$60</c:f>
              <c:numCache>
                <c:formatCode>General</c:formatCode>
                <c:ptCount val="28"/>
              </c:numCache>
            </c:numRef>
          </c:yVal>
          <c:bubbleSize>
            <c:numRef>
              <c:f>RetBubblePlot!$Q$4:$Q$31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6"/>
          <c:order val="16"/>
          <c:tx>
            <c:v>Series 17</c:v>
          </c:tx>
          <c:spPr>
            <a:solidFill>
              <a:schemeClr val="tx1"/>
            </a:solidFill>
          </c:spPr>
          <c:invertIfNegative val="0"/>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RetBubblePlot!$R$33:$R$60</c:f>
              <c:numCache>
                <c:formatCode>General</c:formatCode>
                <c:ptCount val="28"/>
              </c:numCache>
            </c:numRef>
          </c:yVal>
          <c:bubbleSize>
            <c:numRef>
              <c:f>RetBubblePlot!$R$4:$R$31</c:f>
              <c:numCache>
                <c:formatCode>General</c:formatCode>
                <c:ptCount val="28"/>
              </c:numCache>
            </c:numRef>
          </c:bubbleSize>
          <c:bubble3D val="0"/>
        </c:ser>
        <c:dLbls>
          <c:showLegendKey val="0"/>
          <c:showVal val="0"/>
          <c:showCatName val="0"/>
          <c:showSerName val="0"/>
          <c:showPercent val="0"/>
          <c:showBubbleSize val="0"/>
        </c:dLbls>
        <c:bubbleScale val="20"/>
        <c:showNegBubbles val="1"/>
        <c:axId val="99621120"/>
        <c:axId val="99635584"/>
      </c:bubbleChart>
      <c:valAx>
        <c:axId val="99621120"/>
        <c:scaling>
          <c:orientation val="minMax"/>
          <c:max val="2013"/>
          <c:min val="1984"/>
        </c:scaling>
        <c:delete val="0"/>
        <c:axPos val="b"/>
        <c:title>
          <c:tx>
            <c:rich>
              <a:bodyPr/>
              <a:lstStyle/>
              <a:p>
                <a:pPr>
                  <a:defRPr sz="1200" b="1" i="0" u="none" strike="noStrike" baseline="0">
                    <a:solidFill>
                      <a:srgbClr val="000000"/>
                    </a:solidFill>
                    <a:latin typeface="Arial"/>
                    <a:ea typeface="Arial"/>
                    <a:cs typeface="Arial"/>
                  </a:defRPr>
                </a:pPr>
                <a:r>
                  <a:rPr lang="en-US" b="1"/>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99635584"/>
        <c:crosses val="autoZero"/>
        <c:crossBetween val="midCat"/>
      </c:valAx>
      <c:valAx>
        <c:axId val="99635584"/>
        <c:scaling>
          <c:orientation val="minMax"/>
          <c:max val="173"/>
          <c:min val="123"/>
        </c:scaling>
        <c:delete val="0"/>
        <c:axPos val="l"/>
        <c:title>
          <c:tx>
            <c:rich>
              <a:bodyPr/>
              <a:lstStyle/>
              <a:p>
                <a:pPr>
                  <a:defRPr sz="1200" b="1" i="0" u="none" strike="noStrike" baseline="0">
                    <a:solidFill>
                      <a:srgbClr val="000000"/>
                    </a:solidFill>
                    <a:latin typeface="Arial"/>
                    <a:ea typeface="Arial"/>
                    <a:cs typeface="Arial"/>
                  </a:defRPr>
                </a:pPr>
                <a:r>
                  <a:rPr lang="en-US" b="1"/>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99621120"/>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95168887852248"/>
          <c:y val="3.8379530916844352E-2"/>
          <c:w val="0.75416475647387793"/>
          <c:h val="0.76262945963134898"/>
        </c:manualLayout>
      </c:layout>
      <c:bubbleChart>
        <c:varyColors val="0"/>
        <c:ser>
          <c:idx val="0"/>
          <c:order val="0"/>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PotTotalBubblePlot!$B$28:$B$50</c:f>
              <c:numCache>
                <c:formatCode>General</c:formatCode>
                <c:ptCount val="23"/>
                <c:pt idx="0">
                  <c:v>103</c:v>
                </c:pt>
                <c:pt idx="1">
                  <c:v>103</c:v>
                </c:pt>
                <c:pt idx="2">
                  <c:v>103</c:v>
                </c:pt>
                <c:pt idx="3">
                  <c:v>103</c:v>
                </c:pt>
                <c:pt idx="4">
                  <c:v>103</c:v>
                </c:pt>
                <c:pt idx="5">
                  <c:v>103</c:v>
                </c:pt>
                <c:pt idx="6">
                  <c:v>103</c:v>
                </c:pt>
                <c:pt idx="7">
                  <c:v>103</c:v>
                </c:pt>
                <c:pt idx="8">
                  <c:v>103</c:v>
                </c:pt>
                <c:pt idx="9">
                  <c:v>103</c:v>
                </c:pt>
                <c:pt idx="10">
                  <c:v>103</c:v>
                </c:pt>
                <c:pt idx="11">
                  <c:v>103</c:v>
                </c:pt>
                <c:pt idx="12">
                  <c:v>103</c:v>
                </c:pt>
                <c:pt idx="13">
                  <c:v>103</c:v>
                </c:pt>
                <c:pt idx="14">
                  <c:v>103</c:v>
                </c:pt>
                <c:pt idx="15">
                  <c:v>103</c:v>
                </c:pt>
                <c:pt idx="16">
                  <c:v>103</c:v>
                </c:pt>
                <c:pt idx="17">
                  <c:v>103</c:v>
                </c:pt>
                <c:pt idx="18">
                  <c:v>103</c:v>
                </c:pt>
                <c:pt idx="19">
                  <c:v>103</c:v>
                </c:pt>
                <c:pt idx="20">
                  <c:v>103</c:v>
                </c:pt>
                <c:pt idx="21">
                  <c:v>103</c:v>
                </c:pt>
                <c:pt idx="22">
                  <c:v>103</c:v>
                </c:pt>
              </c:numCache>
            </c:numRef>
          </c:yVal>
          <c:bubbleSize>
            <c:numRef>
              <c:f>PotTotalBubblePlot!$B$4:$B$26</c:f>
              <c:numCache>
                <c:formatCode>0.000000</c:formatCode>
                <c:ptCount val="23"/>
                <c:pt idx="0">
                  <c:v>0.131463</c:v>
                </c:pt>
                <c:pt idx="1">
                  <c:v>0.26904899999999998</c:v>
                </c:pt>
                <c:pt idx="2">
                  <c:v>0.122082</c:v>
                </c:pt>
                <c:pt idx="3">
                  <c:v>0.135849</c:v>
                </c:pt>
                <c:pt idx="4">
                  <c:v>0.36091000000000001</c:v>
                </c:pt>
                <c:pt idx="5">
                  <c:v>0.60533800000000004</c:v>
                </c:pt>
                <c:pt idx="6">
                  <c:v>0.37333899999999998</c:v>
                </c:pt>
                <c:pt idx="7">
                  <c:v>0.40789999999999998</c:v>
                </c:pt>
                <c:pt idx="8">
                  <c:v>0.32990199999999997</c:v>
                </c:pt>
                <c:pt idx="9">
                  <c:v>0.32752799999999999</c:v>
                </c:pt>
                <c:pt idx="10">
                  <c:v>0.37555899999999998</c:v>
                </c:pt>
                <c:pt idx="11">
                  <c:v>0.11171399999999999</c:v>
                </c:pt>
                <c:pt idx="12">
                  <c:v>5.9175599999999997E-3</c:v>
                </c:pt>
                <c:pt idx="13">
                  <c:v>-0.29894599999999999</c:v>
                </c:pt>
                <c:pt idx="14">
                  <c:v>-3.57069E-2</c:v>
                </c:pt>
                <c:pt idx="15">
                  <c:v>0.12584200000000001</c:v>
                </c:pt>
                <c:pt idx="16">
                  <c:v>0.151169</c:v>
                </c:pt>
                <c:pt idx="17">
                  <c:v>0.205538</c:v>
                </c:pt>
                <c:pt idx="18">
                  <c:v>0.124085</c:v>
                </c:pt>
                <c:pt idx="19">
                  <c:v>5.87301E-2</c:v>
                </c:pt>
                <c:pt idx="20">
                  <c:v>9.3132400000000004E-2</c:v>
                </c:pt>
                <c:pt idx="21">
                  <c:v>9.7538399999999997E-2</c:v>
                </c:pt>
                <c:pt idx="22">
                  <c:v>0.18141499999999999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PotTotalBubblePlot!$C$28:$C$50</c:f>
              <c:numCache>
                <c:formatCode>General</c:formatCode>
                <c:ptCount val="23"/>
                <c:pt idx="0">
                  <c:v>108</c:v>
                </c:pt>
                <c:pt idx="1">
                  <c:v>108</c:v>
                </c:pt>
                <c:pt idx="2">
                  <c:v>108</c:v>
                </c:pt>
                <c:pt idx="3">
                  <c:v>108</c:v>
                </c:pt>
                <c:pt idx="4">
                  <c:v>108</c:v>
                </c:pt>
                <c:pt idx="5">
                  <c:v>108</c:v>
                </c:pt>
                <c:pt idx="6">
                  <c:v>108</c:v>
                </c:pt>
                <c:pt idx="7">
                  <c:v>108</c:v>
                </c:pt>
                <c:pt idx="8">
                  <c:v>108</c:v>
                </c:pt>
                <c:pt idx="9">
                  <c:v>108</c:v>
                </c:pt>
                <c:pt idx="10">
                  <c:v>108</c:v>
                </c:pt>
                <c:pt idx="11">
                  <c:v>108</c:v>
                </c:pt>
                <c:pt idx="12">
                  <c:v>108</c:v>
                </c:pt>
                <c:pt idx="13">
                  <c:v>108</c:v>
                </c:pt>
                <c:pt idx="14">
                  <c:v>108</c:v>
                </c:pt>
                <c:pt idx="15">
                  <c:v>108</c:v>
                </c:pt>
                <c:pt idx="16">
                  <c:v>108</c:v>
                </c:pt>
                <c:pt idx="17">
                  <c:v>108</c:v>
                </c:pt>
                <c:pt idx="18">
                  <c:v>108</c:v>
                </c:pt>
                <c:pt idx="19">
                  <c:v>108</c:v>
                </c:pt>
                <c:pt idx="20">
                  <c:v>108</c:v>
                </c:pt>
                <c:pt idx="21">
                  <c:v>108</c:v>
                </c:pt>
                <c:pt idx="22">
                  <c:v>108</c:v>
                </c:pt>
              </c:numCache>
            </c:numRef>
          </c:yVal>
          <c:bubbleSize>
            <c:numRef>
              <c:f>PotTotalBubblePlot!$C$4:$C$26</c:f>
              <c:numCache>
                <c:formatCode>0.000000</c:formatCode>
                <c:ptCount val="23"/>
                <c:pt idx="0">
                  <c:v>0.108597</c:v>
                </c:pt>
                <c:pt idx="1">
                  <c:v>0.24413699999999999</c:v>
                </c:pt>
                <c:pt idx="2">
                  <c:v>6.3527600000000004E-2</c:v>
                </c:pt>
                <c:pt idx="3">
                  <c:v>9.4528799999999996E-2</c:v>
                </c:pt>
                <c:pt idx="4">
                  <c:v>0.327683</c:v>
                </c:pt>
                <c:pt idx="5">
                  <c:v>0.51463099999999995</c:v>
                </c:pt>
                <c:pt idx="6">
                  <c:v>0.17869199999999999</c:v>
                </c:pt>
                <c:pt idx="7">
                  <c:v>0.25334800000000002</c:v>
                </c:pt>
                <c:pt idx="8">
                  <c:v>0.21451600000000001</c:v>
                </c:pt>
                <c:pt idx="9">
                  <c:v>0.106018</c:v>
                </c:pt>
                <c:pt idx="10">
                  <c:v>0.17929</c:v>
                </c:pt>
                <c:pt idx="11">
                  <c:v>-0.170351</c:v>
                </c:pt>
                <c:pt idx="12">
                  <c:v>-0.20405200000000001</c:v>
                </c:pt>
                <c:pt idx="13">
                  <c:v>-0.63714000000000004</c:v>
                </c:pt>
                <c:pt idx="14">
                  <c:v>-0.195656</c:v>
                </c:pt>
                <c:pt idx="15">
                  <c:v>0.18476999999999999</c:v>
                </c:pt>
                <c:pt idx="16">
                  <c:v>0.207095</c:v>
                </c:pt>
                <c:pt idx="17">
                  <c:v>0.28900199999999998</c:v>
                </c:pt>
                <c:pt idx="18">
                  <c:v>0.24765599999999999</c:v>
                </c:pt>
                <c:pt idx="19">
                  <c:v>0.13299</c:v>
                </c:pt>
                <c:pt idx="20">
                  <c:v>0.14011199999999999</c:v>
                </c:pt>
                <c:pt idx="21">
                  <c:v>0.100149</c:v>
                </c:pt>
                <c:pt idx="22">
                  <c:v>0.176621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PotTotalBubblePlot!$D$28:$D$50</c:f>
              <c:numCache>
                <c:formatCode>General</c:formatCode>
                <c:ptCount val="23"/>
                <c:pt idx="0">
                  <c:v>113</c:v>
                </c:pt>
                <c:pt idx="1">
                  <c:v>113</c:v>
                </c:pt>
                <c:pt idx="2">
                  <c:v>113</c:v>
                </c:pt>
                <c:pt idx="3">
                  <c:v>113</c:v>
                </c:pt>
                <c:pt idx="4">
                  <c:v>113</c:v>
                </c:pt>
                <c:pt idx="5">
                  <c:v>113</c:v>
                </c:pt>
                <c:pt idx="6">
                  <c:v>113</c:v>
                </c:pt>
                <c:pt idx="7">
                  <c:v>113</c:v>
                </c:pt>
                <c:pt idx="8">
                  <c:v>113</c:v>
                </c:pt>
                <c:pt idx="9">
                  <c:v>113</c:v>
                </c:pt>
                <c:pt idx="10">
                  <c:v>113</c:v>
                </c:pt>
                <c:pt idx="11">
                  <c:v>113</c:v>
                </c:pt>
                <c:pt idx="12">
                  <c:v>113</c:v>
                </c:pt>
                <c:pt idx="13">
                  <c:v>113</c:v>
                </c:pt>
                <c:pt idx="14">
                  <c:v>113</c:v>
                </c:pt>
                <c:pt idx="15">
                  <c:v>113</c:v>
                </c:pt>
                <c:pt idx="16">
                  <c:v>113</c:v>
                </c:pt>
                <c:pt idx="17">
                  <c:v>113</c:v>
                </c:pt>
                <c:pt idx="18">
                  <c:v>113</c:v>
                </c:pt>
                <c:pt idx="19">
                  <c:v>113</c:v>
                </c:pt>
                <c:pt idx="20">
                  <c:v>113</c:v>
                </c:pt>
                <c:pt idx="21">
                  <c:v>113</c:v>
                </c:pt>
                <c:pt idx="22">
                  <c:v>113</c:v>
                </c:pt>
              </c:numCache>
            </c:numRef>
          </c:yVal>
          <c:bubbleSize>
            <c:numRef>
              <c:f>PotTotalBubblePlot!$D$4:$D$26</c:f>
              <c:numCache>
                <c:formatCode>0.000000</c:formatCode>
                <c:ptCount val="23"/>
                <c:pt idx="0">
                  <c:v>0.238926</c:v>
                </c:pt>
                <c:pt idx="1">
                  <c:v>0.170184</c:v>
                </c:pt>
                <c:pt idx="2">
                  <c:v>5.3303400000000001E-2</c:v>
                </c:pt>
                <c:pt idx="3">
                  <c:v>0.107719</c:v>
                </c:pt>
                <c:pt idx="4">
                  <c:v>0.323106</c:v>
                </c:pt>
                <c:pt idx="5">
                  <c:v>0.60066699999999995</c:v>
                </c:pt>
                <c:pt idx="6">
                  <c:v>0.156943</c:v>
                </c:pt>
                <c:pt idx="7">
                  <c:v>0.13977700000000001</c:v>
                </c:pt>
                <c:pt idx="8">
                  <c:v>0.13855500000000001</c:v>
                </c:pt>
                <c:pt idx="9">
                  <c:v>-7.4559E-2</c:v>
                </c:pt>
                <c:pt idx="10">
                  <c:v>6.4539899999999997E-2</c:v>
                </c:pt>
                <c:pt idx="11">
                  <c:v>-0.24255299999999999</c:v>
                </c:pt>
                <c:pt idx="12">
                  <c:v>-0.38288499999999998</c:v>
                </c:pt>
                <c:pt idx="13">
                  <c:v>-0.66855799999999999</c:v>
                </c:pt>
                <c:pt idx="14">
                  <c:v>-0.24340700000000001</c:v>
                </c:pt>
                <c:pt idx="15">
                  <c:v>0.22164300000000001</c:v>
                </c:pt>
                <c:pt idx="16">
                  <c:v>0.27047700000000002</c:v>
                </c:pt>
                <c:pt idx="17">
                  <c:v>0.34331899999999999</c:v>
                </c:pt>
                <c:pt idx="18">
                  <c:v>0.32126900000000003</c:v>
                </c:pt>
                <c:pt idx="19">
                  <c:v>0.138541</c:v>
                </c:pt>
                <c:pt idx="20">
                  <c:v>0.22700999999999999</c:v>
                </c:pt>
                <c:pt idx="21">
                  <c:v>0.15068000000000001</c:v>
                </c:pt>
                <c:pt idx="22">
                  <c:v>0.16116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PotTotalBubblePlot!$E$28:$E$50</c:f>
              <c:numCache>
                <c:formatCode>General</c:formatCode>
                <c:ptCount val="23"/>
                <c:pt idx="0">
                  <c:v>118</c:v>
                </c:pt>
                <c:pt idx="1">
                  <c:v>118</c:v>
                </c:pt>
                <c:pt idx="2">
                  <c:v>118</c:v>
                </c:pt>
                <c:pt idx="3">
                  <c:v>118</c:v>
                </c:pt>
                <c:pt idx="4">
                  <c:v>118</c:v>
                </c:pt>
                <c:pt idx="5">
                  <c:v>118</c:v>
                </c:pt>
                <c:pt idx="6">
                  <c:v>118</c:v>
                </c:pt>
                <c:pt idx="7">
                  <c:v>118</c:v>
                </c:pt>
                <c:pt idx="8">
                  <c:v>118</c:v>
                </c:pt>
                <c:pt idx="9">
                  <c:v>118</c:v>
                </c:pt>
                <c:pt idx="10">
                  <c:v>118</c:v>
                </c:pt>
                <c:pt idx="11">
                  <c:v>118</c:v>
                </c:pt>
                <c:pt idx="12">
                  <c:v>118</c:v>
                </c:pt>
                <c:pt idx="13">
                  <c:v>118</c:v>
                </c:pt>
                <c:pt idx="14">
                  <c:v>118</c:v>
                </c:pt>
                <c:pt idx="15">
                  <c:v>118</c:v>
                </c:pt>
                <c:pt idx="16">
                  <c:v>118</c:v>
                </c:pt>
                <c:pt idx="17">
                  <c:v>118</c:v>
                </c:pt>
                <c:pt idx="18">
                  <c:v>118</c:v>
                </c:pt>
                <c:pt idx="19">
                  <c:v>118</c:v>
                </c:pt>
                <c:pt idx="20">
                  <c:v>118</c:v>
                </c:pt>
                <c:pt idx="21">
                  <c:v>118</c:v>
                </c:pt>
                <c:pt idx="22">
                  <c:v>118</c:v>
                </c:pt>
              </c:numCache>
            </c:numRef>
          </c:yVal>
          <c:bubbleSize>
            <c:numRef>
              <c:f>PotTotalBubblePlot!$E$4:$E$26</c:f>
              <c:numCache>
                <c:formatCode>0.000000</c:formatCode>
                <c:ptCount val="23"/>
                <c:pt idx="0">
                  <c:v>0.203433</c:v>
                </c:pt>
                <c:pt idx="1">
                  <c:v>0.15164</c:v>
                </c:pt>
                <c:pt idx="2">
                  <c:v>1.8340499999999999E-2</c:v>
                </c:pt>
                <c:pt idx="3">
                  <c:v>3.0931700000000001E-3</c:v>
                </c:pt>
                <c:pt idx="4">
                  <c:v>0.20061200000000001</c:v>
                </c:pt>
                <c:pt idx="5">
                  <c:v>0.48449999999999999</c:v>
                </c:pt>
                <c:pt idx="6">
                  <c:v>7.5982599999999997E-2</c:v>
                </c:pt>
                <c:pt idx="7">
                  <c:v>-0.17916000000000001</c:v>
                </c:pt>
                <c:pt idx="8">
                  <c:v>1.2605999999999999E-2</c:v>
                </c:pt>
                <c:pt idx="9">
                  <c:v>-0.26427800000000001</c:v>
                </c:pt>
                <c:pt idx="10">
                  <c:v>-0.202991</c:v>
                </c:pt>
                <c:pt idx="11">
                  <c:v>-0.45900200000000002</c:v>
                </c:pt>
                <c:pt idx="12">
                  <c:v>-0.41254299999999999</c:v>
                </c:pt>
                <c:pt idx="13">
                  <c:v>-0.91017000000000003</c:v>
                </c:pt>
                <c:pt idx="14">
                  <c:v>-0.303344</c:v>
                </c:pt>
                <c:pt idx="15">
                  <c:v>0.194878</c:v>
                </c:pt>
                <c:pt idx="16">
                  <c:v>0.174843</c:v>
                </c:pt>
                <c:pt idx="17">
                  <c:v>0.35302</c:v>
                </c:pt>
                <c:pt idx="18">
                  <c:v>0.22286400000000001</c:v>
                </c:pt>
                <c:pt idx="19">
                  <c:v>4.8457E-2</c:v>
                </c:pt>
                <c:pt idx="20">
                  <c:v>0.119978</c:v>
                </c:pt>
                <c:pt idx="21">
                  <c:v>6.5822699999999998E-2</c:v>
                </c:pt>
                <c:pt idx="22">
                  <c:v>-5.0964599999999999E-2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PotTotalBubblePlot!$F$28:$F$50</c:f>
              <c:numCache>
                <c:formatCode>General</c:formatCode>
                <c:ptCount val="23"/>
                <c:pt idx="0">
                  <c:v>123</c:v>
                </c:pt>
                <c:pt idx="1">
                  <c:v>123</c:v>
                </c:pt>
                <c:pt idx="2">
                  <c:v>123</c:v>
                </c:pt>
                <c:pt idx="3">
                  <c:v>123</c:v>
                </c:pt>
                <c:pt idx="4">
                  <c:v>123</c:v>
                </c:pt>
                <c:pt idx="5">
                  <c:v>123</c:v>
                </c:pt>
                <c:pt idx="6">
                  <c:v>123</c:v>
                </c:pt>
                <c:pt idx="7">
                  <c:v>123</c:v>
                </c:pt>
                <c:pt idx="8">
                  <c:v>123</c:v>
                </c:pt>
                <c:pt idx="9">
                  <c:v>123</c:v>
                </c:pt>
                <c:pt idx="10">
                  <c:v>123</c:v>
                </c:pt>
                <c:pt idx="11">
                  <c:v>123</c:v>
                </c:pt>
                <c:pt idx="12">
                  <c:v>123</c:v>
                </c:pt>
                <c:pt idx="13">
                  <c:v>123</c:v>
                </c:pt>
                <c:pt idx="14">
                  <c:v>123</c:v>
                </c:pt>
                <c:pt idx="15">
                  <c:v>123</c:v>
                </c:pt>
                <c:pt idx="16">
                  <c:v>123</c:v>
                </c:pt>
                <c:pt idx="17">
                  <c:v>123</c:v>
                </c:pt>
                <c:pt idx="18">
                  <c:v>123</c:v>
                </c:pt>
                <c:pt idx="19">
                  <c:v>123</c:v>
                </c:pt>
                <c:pt idx="20">
                  <c:v>123</c:v>
                </c:pt>
                <c:pt idx="21">
                  <c:v>123</c:v>
                </c:pt>
                <c:pt idx="22">
                  <c:v>123</c:v>
                </c:pt>
              </c:numCache>
            </c:numRef>
          </c:yVal>
          <c:bubbleSize>
            <c:numRef>
              <c:f>PotTotalBubblePlot!$F$4:$F$26</c:f>
              <c:numCache>
                <c:formatCode>0.000000</c:formatCode>
                <c:ptCount val="23"/>
                <c:pt idx="0">
                  <c:v>0.24413499999999999</c:v>
                </c:pt>
                <c:pt idx="1">
                  <c:v>0.15235699999999999</c:v>
                </c:pt>
                <c:pt idx="2">
                  <c:v>3.5168699999999997E-2</c:v>
                </c:pt>
                <c:pt idx="3">
                  <c:v>-9.2123499999999997E-2</c:v>
                </c:pt>
                <c:pt idx="4">
                  <c:v>0.128776</c:v>
                </c:pt>
                <c:pt idx="5">
                  <c:v>0.446913</c:v>
                </c:pt>
                <c:pt idx="6">
                  <c:v>6.2051799999999997E-2</c:v>
                </c:pt>
                <c:pt idx="7">
                  <c:v>-0.33243600000000001</c:v>
                </c:pt>
                <c:pt idx="8">
                  <c:v>-6.1888800000000001E-2</c:v>
                </c:pt>
                <c:pt idx="9">
                  <c:v>-0.205287</c:v>
                </c:pt>
                <c:pt idx="10">
                  <c:v>-0.25342799999999999</c:v>
                </c:pt>
                <c:pt idx="11">
                  <c:v>-0.34923700000000002</c:v>
                </c:pt>
                <c:pt idx="12">
                  <c:v>-0.32709899999999997</c:v>
                </c:pt>
                <c:pt idx="13">
                  <c:v>-0.81766899999999998</c:v>
                </c:pt>
                <c:pt idx="14">
                  <c:v>-0.26715499999999998</c:v>
                </c:pt>
                <c:pt idx="15">
                  <c:v>2.1553300000000001E-2</c:v>
                </c:pt>
                <c:pt idx="16">
                  <c:v>-8.3149000000000001E-2</c:v>
                </c:pt>
                <c:pt idx="17">
                  <c:v>0.22814799999999999</c:v>
                </c:pt>
                <c:pt idx="18">
                  <c:v>5.8800100000000001E-2</c:v>
                </c:pt>
                <c:pt idx="19">
                  <c:v>-0.13756399999999999</c:v>
                </c:pt>
                <c:pt idx="20">
                  <c:v>-5.7857199999999998E-2</c:v>
                </c:pt>
                <c:pt idx="21">
                  <c:v>-0.14147499999999999</c:v>
                </c:pt>
                <c:pt idx="22">
                  <c:v>-0.37202200000000002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PotTotalBubblePlot!$G$28:$G$50</c:f>
              <c:numCache>
                <c:formatCode>General</c:formatCode>
                <c:ptCount val="23"/>
                <c:pt idx="0">
                  <c:v>128</c:v>
                </c:pt>
                <c:pt idx="1">
                  <c:v>128</c:v>
                </c:pt>
                <c:pt idx="2">
                  <c:v>128</c:v>
                </c:pt>
                <c:pt idx="3">
                  <c:v>128</c:v>
                </c:pt>
                <c:pt idx="4">
                  <c:v>128</c:v>
                </c:pt>
                <c:pt idx="5">
                  <c:v>128</c:v>
                </c:pt>
                <c:pt idx="6">
                  <c:v>128</c:v>
                </c:pt>
                <c:pt idx="7">
                  <c:v>128</c:v>
                </c:pt>
                <c:pt idx="8">
                  <c:v>128</c:v>
                </c:pt>
                <c:pt idx="9">
                  <c:v>128</c:v>
                </c:pt>
                <c:pt idx="10">
                  <c:v>128</c:v>
                </c:pt>
                <c:pt idx="11">
                  <c:v>128</c:v>
                </c:pt>
                <c:pt idx="12">
                  <c:v>128</c:v>
                </c:pt>
                <c:pt idx="13">
                  <c:v>128</c:v>
                </c:pt>
                <c:pt idx="14">
                  <c:v>128</c:v>
                </c:pt>
                <c:pt idx="15">
                  <c:v>128</c:v>
                </c:pt>
                <c:pt idx="16">
                  <c:v>128</c:v>
                </c:pt>
                <c:pt idx="17">
                  <c:v>128</c:v>
                </c:pt>
                <c:pt idx="18">
                  <c:v>128</c:v>
                </c:pt>
                <c:pt idx="19">
                  <c:v>128</c:v>
                </c:pt>
                <c:pt idx="20">
                  <c:v>128</c:v>
                </c:pt>
                <c:pt idx="21">
                  <c:v>128</c:v>
                </c:pt>
                <c:pt idx="22">
                  <c:v>128</c:v>
                </c:pt>
              </c:numCache>
            </c:numRef>
          </c:yVal>
          <c:bubbleSize>
            <c:numRef>
              <c:f>PotTotalBubblePlot!$G$4:$G$26</c:f>
              <c:numCache>
                <c:formatCode>0.000000</c:formatCode>
                <c:ptCount val="23"/>
                <c:pt idx="0">
                  <c:v>0.100004</c:v>
                </c:pt>
                <c:pt idx="1">
                  <c:v>-2.0953800000000002E-2</c:v>
                </c:pt>
                <c:pt idx="2">
                  <c:v>8.7732599999999994E-2</c:v>
                </c:pt>
                <c:pt idx="3">
                  <c:v>-6.1775999999999998E-2</c:v>
                </c:pt>
                <c:pt idx="4">
                  <c:v>4.2089700000000001E-2</c:v>
                </c:pt>
                <c:pt idx="5">
                  <c:v>0.38821800000000001</c:v>
                </c:pt>
                <c:pt idx="6">
                  <c:v>0.26682099999999997</c:v>
                </c:pt>
                <c:pt idx="7">
                  <c:v>-0.22396099999999999</c:v>
                </c:pt>
                <c:pt idx="8">
                  <c:v>2.5012699999999999E-2</c:v>
                </c:pt>
                <c:pt idx="9">
                  <c:v>5.9459500000000002E-3</c:v>
                </c:pt>
                <c:pt idx="10">
                  <c:v>-6.63797E-2</c:v>
                </c:pt>
                <c:pt idx="11">
                  <c:v>-6.1219599999999999E-2</c:v>
                </c:pt>
                <c:pt idx="12">
                  <c:v>-1.7399700000000001E-2</c:v>
                </c:pt>
                <c:pt idx="13">
                  <c:v>-0.33484999999999998</c:v>
                </c:pt>
                <c:pt idx="14">
                  <c:v>4.5795500000000003E-2</c:v>
                </c:pt>
                <c:pt idx="15">
                  <c:v>-0.13056100000000001</c:v>
                </c:pt>
                <c:pt idx="16">
                  <c:v>-0.34296500000000002</c:v>
                </c:pt>
                <c:pt idx="17">
                  <c:v>8.4115899999999993E-2</c:v>
                </c:pt>
                <c:pt idx="18">
                  <c:v>-0.16400700000000001</c:v>
                </c:pt>
                <c:pt idx="19">
                  <c:v>-0.41288900000000001</c:v>
                </c:pt>
                <c:pt idx="20">
                  <c:v>-0.21609900000000001</c:v>
                </c:pt>
                <c:pt idx="21">
                  <c:v>-0.34740500000000002</c:v>
                </c:pt>
                <c:pt idx="22">
                  <c:v>-0.57352400000000003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PotTotalBubblePlot!$H$28:$H$50</c:f>
              <c:numCache>
                <c:formatCode>General</c:formatCode>
                <c:ptCount val="23"/>
                <c:pt idx="0">
                  <c:v>133</c:v>
                </c:pt>
                <c:pt idx="1">
                  <c:v>133</c:v>
                </c:pt>
                <c:pt idx="2">
                  <c:v>133</c:v>
                </c:pt>
                <c:pt idx="3">
                  <c:v>133</c:v>
                </c:pt>
                <c:pt idx="4">
                  <c:v>133</c:v>
                </c:pt>
                <c:pt idx="5">
                  <c:v>133</c:v>
                </c:pt>
                <c:pt idx="6">
                  <c:v>133</c:v>
                </c:pt>
                <c:pt idx="7">
                  <c:v>133</c:v>
                </c:pt>
                <c:pt idx="8">
                  <c:v>133</c:v>
                </c:pt>
                <c:pt idx="9">
                  <c:v>133</c:v>
                </c:pt>
                <c:pt idx="10">
                  <c:v>133</c:v>
                </c:pt>
                <c:pt idx="11">
                  <c:v>133</c:v>
                </c:pt>
                <c:pt idx="12">
                  <c:v>133</c:v>
                </c:pt>
                <c:pt idx="13">
                  <c:v>133</c:v>
                </c:pt>
                <c:pt idx="14">
                  <c:v>133</c:v>
                </c:pt>
                <c:pt idx="15">
                  <c:v>133</c:v>
                </c:pt>
                <c:pt idx="16">
                  <c:v>133</c:v>
                </c:pt>
                <c:pt idx="17">
                  <c:v>133</c:v>
                </c:pt>
                <c:pt idx="18">
                  <c:v>133</c:v>
                </c:pt>
                <c:pt idx="19">
                  <c:v>133</c:v>
                </c:pt>
                <c:pt idx="20">
                  <c:v>133</c:v>
                </c:pt>
                <c:pt idx="21">
                  <c:v>133</c:v>
                </c:pt>
                <c:pt idx="22">
                  <c:v>133</c:v>
                </c:pt>
              </c:numCache>
            </c:numRef>
          </c:yVal>
          <c:bubbleSize>
            <c:numRef>
              <c:f>PotTotalBubblePlot!$H$4:$H$26</c:f>
              <c:numCache>
                <c:formatCode>0.000000</c:formatCode>
                <c:ptCount val="23"/>
                <c:pt idx="0">
                  <c:v>-0.197688</c:v>
                </c:pt>
                <c:pt idx="1">
                  <c:v>-0.122464</c:v>
                </c:pt>
                <c:pt idx="2">
                  <c:v>6.78623E-2</c:v>
                </c:pt>
                <c:pt idx="3">
                  <c:v>3.4570600000000001E-3</c:v>
                </c:pt>
                <c:pt idx="4">
                  <c:v>-4.0777500000000001E-2</c:v>
                </c:pt>
                <c:pt idx="5">
                  <c:v>4.3603500000000003E-2</c:v>
                </c:pt>
                <c:pt idx="6">
                  <c:v>0.388069</c:v>
                </c:pt>
                <c:pt idx="7">
                  <c:v>0.18579000000000001</c:v>
                </c:pt>
                <c:pt idx="8">
                  <c:v>0.31645699999999999</c:v>
                </c:pt>
                <c:pt idx="9">
                  <c:v>0.47287200000000001</c:v>
                </c:pt>
                <c:pt idx="10">
                  <c:v>0.50215900000000002</c:v>
                </c:pt>
                <c:pt idx="11">
                  <c:v>0.47647499999999998</c:v>
                </c:pt>
                <c:pt idx="12">
                  <c:v>0.46683799999999998</c:v>
                </c:pt>
                <c:pt idx="13">
                  <c:v>0.35530600000000001</c:v>
                </c:pt>
                <c:pt idx="14">
                  <c:v>0.37598999999999999</c:v>
                </c:pt>
                <c:pt idx="15">
                  <c:v>0.10408000000000001</c:v>
                </c:pt>
                <c:pt idx="16">
                  <c:v>-0.122906</c:v>
                </c:pt>
                <c:pt idx="17">
                  <c:v>0.156054</c:v>
                </c:pt>
                <c:pt idx="18">
                  <c:v>8.1514900000000001E-2</c:v>
                </c:pt>
                <c:pt idx="19">
                  <c:v>-0.16287399999999999</c:v>
                </c:pt>
                <c:pt idx="20">
                  <c:v>2.02864E-2</c:v>
                </c:pt>
                <c:pt idx="21">
                  <c:v>-4.9674000000000003E-2</c:v>
                </c:pt>
                <c:pt idx="22">
                  <c:v>-8.5689199999999993E-2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PotTotalBubblePlot!$I$28:$I$50</c:f>
              <c:numCache>
                <c:formatCode>General</c:formatCode>
                <c:ptCount val="23"/>
                <c:pt idx="0">
                  <c:v>138</c:v>
                </c:pt>
                <c:pt idx="1">
                  <c:v>138</c:v>
                </c:pt>
                <c:pt idx="2">
                  <c:v>138</c:v>
                </c:pt>
                <c:pt idx="3">
                  <c:v>138</c:v>
                </c:pt>
                <c:pt idx="4">
                  <c:v>138</c:v>
                </c:pt>
                <c:pt idx="5">
                  <c:v>138</c:v>
                </c:pt>
                <c:pt idx="6">
                  <c:v>138</c:v>
                </c:pt>
                <c:pt idx="7">
                  <c:v>138</c:v>
                </c:pt>
                <c:pt idx="8">
                  <c:v>138</c:v>
                </c:pt>
                <c:pt idx="9">
                  <c:v>138</c:v>
                </c:pt>
                <c:pt idx="10">
                  <c:v>138</c:v>
                </c:pt>
                <c:pt idx="11">
                  <c:v>138</c:v>
                </c:pt>
                <c:pt idx="12">
                  <c:v>138</c:v>
                </c:pt>
                <c:pt idx="13">
                  <c:v>138</c:v>
                </c:pt>
                <c:pt idx="14">
                  <c:v>138</c:v>
                </c:pt>
                <c:pt idx="15">
                  <c:v>138</c:v>
                </c:pt>
                <c:pt idx="16">
                  <c:v>138</c:v>
                </c:pt>
                <c:pt idx="17">
                  <c:v>138</c:v>
                </c:pt>
                <c:pt idx="18">
                  <c:v>138</c:v>
                </c:pt>
                <c:pt idx="19">
                  <c:v>138</c:v>
                </c:pt>
                <c:pt idx="20">
                  <c:v>138</c:v>
                </c:pt>
                <c:pt idx="21">
                  <c:v>138</c:v>
                </c:pt>
                <c:pt idx="22">
                  <c:v>138</c:v>
                </c:pt>
              </c:numCache>
            </c:numRef>
          </c:yVal>
          <c:bubbleSize>
            <c:numRef>
              <c:f>PotTotalBubblePlot!$I$4:$I$26</c:f>
              <c:numCache>
                <c:formatCode>0.000000</c:formatCode>
                <c:ptCount val="23"/>
                <c:pt idx="0">
                  <c:v>-0.10458000000000001</c:v>
                </c:pt>
                <c:pt idx="1">
                  <c:v>-0.13317899999999999</c:v>
                </c:pt>
                <c:pt idx="2">
                  <c:v>-2.4796800000000001E-2</c:v>
                </c:pt>
                <c:pt idx="3">
                  <c:v>-3.0322399999999999E-2</c:v>
                </c:pt>
                <c:pt idx="4">
                  <c:v>-0.20578099999999999</c:v>
                </c:pt>
                <c:pt idx="5">
                  <c:v>-0.82580100000000001</c:v>
                </c:pt>
                <c:pt idx="6">
                  <c:v>-1.01765E-2</c:v>
                </c:pt>
                <c:pt idx="7">
                  <c:v>4.8995200000000003E-2</c:v>
                </c:pt>
                <c:pt idx="8">
                  <c:v>0.17727699999999999</c:v>
                </c:pt>
                <c:pt idx="9">
                  <c:v>0.35824400000000001</c:v>
                </c:pt>
                <c:pt idx="10">
                  <c:v>0.35308099999999998</c:v>
                </c:pt>
                <c:pt idx="11">
                  <c:v>0.37304799999999999</c:v>
                </c:pt>
                <c:pt idx="12">
                  <c:v>0.48044700000000001</c:v>
                </c:pt>
                <c:pt idx="13">
                  <c:v>0.55165299999999995</c:v>
                </c:pt>
                <c:pt idx="14">
                  <c:v>0.28401300000000002</c:v>
                </c:pt>
                <c:pt idx="15">
                  <c:v>0.187385</c:v>
                </c:pt>
                <c:pt idx="16">
                  <c:v>0.100859</c:v>
                </c:pt>
                <c:pt idx="17">
                  <c:v>0.14455799999999999</c:v>
                </c:pt>
                <c:pt idx="18">
                  <c:v>0.24592900000000001</c:v>
                </c:pt>
                <c:pt idx="19">
                  <c:v>9.4840099999999997E-2</c:v>
                </c:pt>
                <c:pt idx="20">
                  <c:v>0.18165200000000001</c:v>
                </c:pt>
                <c:pt idx="21">
                  <c:v>0.18171000000000001</c:v>
                </c:pt>
                <c:pt idx="22">
                  <c:v>0.30891400000000002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PotTotalBubblePlot!$J$28:$J$50</c:f>
              <c:numCache>
                <c:formatCode>General</c:formatCode>
                <c:ptCount val="23"/>
                <c:pt idx="0">
                  <c:v>143</c:v>
                </c:pt>
                <c:pt idx="1">
                  <c:v>143</c:v>
                </c:pt>
                <c:pt idx="2">
                  <c:v>143</c:v>
                </c:pt>
                <c:pt idx="3">
                  <c:v>143</c:v>
                </c:pt>
                <c:pt idx="4">
                  <c:v>143</c:v>
                </c:pt>
                <c:pt idx="5">
                  <c:v>143</c:v>
                </c:pt>
                <c:pt idx="6">
                  <c:v>143</c:v>
                </c:pt>
                <c:pt idx="7">
                  <c:v>143</c:v>
                </c:pt>
                <c:pt idx="8">
                  <c:v>143</c:v>
                </c:pt>
                <c:pt idx="9">
                  <c:v>143</c:v>
                </c:pt>
                <c:pt idx="10">
                  <c:v>143</c:v>
                </c:pt>
                <c:pt idx="11">
                  <c:v>143</c:v>
                </c:pt>
                <c:pt idx="12">
                  <c:v>143</c:v>
                </c:pt>
                <c:pt idx="13">
                  <c:v>143</c:v>
                </c:pt>
                <c:pt idx="14">
                  <c:v>143</c:v>
                </c:pt>
                <c:pt idx="15">
                  <c:v>143</c:v>
                </c:pt>
                <c:pt idx="16">
                  <c:v>143</c:v>
                </c:pt>
                <c:pt idx="17">
                  <c:v>143</c:v>
                </c:pt>
                <c:pt idx="18">
                  <c:v>143</c:v>
                </c:pt>
                <c:pt idx="19">
                  <c:v>143</c:v>
                </c:pt>
                <c:pt idx="20">
                  <c:v>143</c:v>
                </c:pt>
                <c:pt idx="21">
                  <c:v>143</c:v>
                </c:pt>
                <c:pt idx="22">
                  <c:v>143</c:v>
                </c:pt>
              </c:numCache>
            </c:numRef>
          </c:yVal>
          <c:bubbleSize>
            <c:numRef>
              <c:f>PotTotalBubblePlot!$J$4:$J$26</c:f>
              <c:numCache>
                <c:formatCode>0.000000</c:formatCode>
                <c:ptCount val="23"/>
                <c:pt idx="0">
                  <c:v>-0.110293</c:v>
                </c:pt>
                <c:pt idx="1">
                  <c:v>-0.30575999999999998</c:v>
                </c:pt>
                <c:pt idx="2">
                  <c:v>-0.112429</c:v>
                </c:pt>
                <c:pt idx="3">
                  <c:v>-2.83203E-2</c:v>
                </c:pt>
                <c:pt idx="4">
                  <c:v>-0.20780899999999999</c:v>
                </c:pt>
                <c:pt idx="5">
                  <c:v>-1.13337</c:v>
                </c:pt>
                <c:pt idx="6">
                  <c:v>-0.31971899999999998</c:v>
                </c:pt>
                <c:pt idx="7">
                  <c:v>-5.3195200000000003E-3</c:v>
                </c:pt>
                <c:pt idx="8">
                  <c:v>-0.12178799999999999</c:v>
                </c:pt>
                <c:pt idx="9">
                  <c:v>0.19838700000000001</c:v>
                </c:pt>
                <c:pt idx="10">
                  <c:v>9.5583699999999994E-2</c:v>
                </c:pt>
                <c:pt idx="11">
                  <c:v>0.22092700000000001</c:v>
                </c:pt>
                <c:pt idx="12">
                  <c:v>0.175676</c:v>
                </c:pt>
                <c:pt idx="13">
                  <c:v>0.47622799999999998</c:v>
                </c:pt>
                <c:pt idx="14">
                  <c:v>0.200489</c:v>
                </c:pt>
                <c:pt idx="15">
                  <c:v>9.6500299999999997E-2</c:v>
                </c:pt>
                <c:pt idx="16">
                  <c:v>0.22259799999999999</c:v>
                </c:pt>
                <c:pt idx="17">
                  <c:v>7.8028799999999999E-3</c:v>
                </c:pt>
                <c:pt idx="18">
                  <c:v>0.18265300000000001</c:v>
                </c:pt>
                <c:pt idx="19">
                  <c:v>0.256357</c:v>
                </c:pt>
                <c:pt idx="20">
                  <c:v>0.16122400000000001</c:v>
                </c:pt>
                <c:pt idx="21">
                  <c:v>0.28117399999999998</c:v>
                </c:pt>
                <c:pt idx="22">
                  <c:v>0.428149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PotTotalBubblePlot!$K$28:$K$50</c:f>
              <c:numCache>
                <c:formatCode>General</c:formatCode>
                <c:ptCount val="23"/>
                <c:pt idx="0">
                  <c:v>148</c:v>
                </c:pt>
                <c:pt idx="1">
                  <c:v>148</c:v>
                </c:pt>
                <c:pt idx="2">
                  <c:v>148</c:v>
                </c:pt>
                <c:pt idx="3">
                  <c:v>148</c:v>
                </c:pt>
                <c:pt idx="4">
                  <c:v>148</c:v>
                </c:pt>
                <c:pt idx="5">
                  <c:v>148</c:v>
                </c:pt>
                <c:pt idx="6">
                  <c:v>148</c:v>
                </c:pt>
                <c:pt idx="7">
                  <c:v>148</c:v>
                </c:pt>
                <c:pt idx="8">
                  <c:v>148</c:v>
                </c:pt>
                <c:pt idx="9">
                  <c:v>148</c:v>
                </c:pt>
                <c:pt idx="10">
                  <c:v>148</c:v>
                </c:pt>
                <c:pt idx="11">
                  <c:v>148</c:v>
                </c:pt>
                <c:pt idx="12">
                  <c:v>148</c:v>
                </c:pt>
                <c:pt idx="13">
                  <c:v>148</c:v>
                </c:pt>
                <c:pt idx="14">
                  <c:v>148</c:v>
                </c:pt>
                <c:pt idx="15">
                  <c:v>148</c:v>
                </c:pt>
                <c:pt idx="16">
                  <c:v>148</c:v>
                </c:pt>
                <c:pt idx="17">
                  <c:v>148</c:v>
                </c:pt>
                <c:pt idx="18">
                  <c:v>148</c:v>
                </c:pt>
                <c:pt idx="19">
                  <c:v>148</c:v>
                </c:pt>
                <c:pt idx="20">
                  <c:v>148</c:v>
                </c:pt>
                <c:pt idx="21">
                  <c:v>148</c:v>
                </c:pt>
                <c:pt idx="22">
                  <c:v>148</c:v>
                </c:pt>
              </c:numCache>
            </c:numRef>
          </c:yVal>
          <c:bubbleSize>
            <c:numRef>
              <c:f>PotTotalBubblePlot!$K$4:$K$26</c:f>
              <c:numCache>
                <c:formatCode>0.000000</c:formatCode>
                <c:ptCount val="23"/>
                <c:pt idx="0">
                  <c:v>-0.25836799999999999</c:v>
                </c:pt>
                <c:pt idx="1">
                  <c:v>-0.243394</c:v>
                </c:pt>
                <c:pt idx="2">
                  <c:v>-0.114207</c:v>
                </c:pt>
                <c:pt idx="3">
                  <c:v>-4.5964499999999998E-2</c:v>
                </c:pt>
                <c:pt idx="4">
                  <c:v>-0.17513799999999999</c:v>
                </c:pt>
                <c:pt idx="5">
                  <c:v>-0.71612799999999999</c:v>
                </c:pt>
                <c:pt idx="6">
                  <c:v>-0.42191600000000001</c:v>
                </c:pt>
                <c:pt idx="7">
                  <c:v>-1.11842E-2</c:v>
                </c:pt>
                <c:pt idx="8">
                  <c:v>-0.16366700000000001</c:v>
                </c:pt>
                <c:pt idx="9">
                  <c:v>-0.106638</c:v>
                </c:pt>
                <c:pt idx="10">
                  <c:v>-0.14747199999999999</c:v>
                </c:pt>
                <c:pt idx="11">
                  <c:v>0.10077700000000001</c:v>
                </c:pt>
                <c:pt idx="12">
                  <c:v>1.3924799999999999E-2</c:v>
                </c:pt>
                <c:pt idx="13">
                  <c:v>0.33511600000000002</c:v>
                </c:pt>
                <c:pt idx="14">
                  <c:v>1.9088899999999999E-2</c:v>
                </c:pt>
                <c:pt idx="15">
                  <c:v>-2.7644499999999999E-2</c:v>
                </c:pt>
                <c:pt idx="16">
                  <c:v>8.9153700000000002E-2</c:v>
                </c:pt>
                <c:pt idx="17">
                  <c:v>-7.3011000000000006E-2</c:v>
                </c:pt>
                <c:pt idx="18">
                  <c:v>1.8389699999999998E-2</c:v>
                </c:pt>
                <c:pt idx="19">
                  <c:v>0.25092199999999998</c:v>
                </c:pt>
                <c:pt idx="20">
                  <c:v>0.128327</c:v>
                </c:pt>
                <c:pt idx="21">
                  <c:v>0.25723000000000001</c:v>
                </c:pt>
                <c:pt idx="22">
                  <c:v>0.32135999999999998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PotTotalBubblePlot!$L$28:$L$50</c:f>
              <c:numCache>
                <c:formatCode>General</c:formatCode>
                <c:ptCount val="23"/>
                <c:pt idx="0">
                  <c:v>153</c:v>
                </c:pt>
                <c:pt idx="1">
                  <c:v>153</c:v>
                </c:pt>
                <c:pt idx="2">
                  <c:v>153</c:v>
                </c:pt>
                <c:pt idx="3">
                  <c:v>153</c:v>
                </c:pt>
                <c:pt idx="4">
                  <c:v>153</c:v>
                </c:pt>
                <c:pt idx="5">
                  <c:v>153</c:v>
                </c:pt>
                <c:pt idx="6">
                  <c:v>153</c:v>
                </c:pt>
                <c:pt idx="7">
                  <c:v>153</c:v>
                </c:pt>
                <c:pt idx="8">
                  <c:v>153</c:v>
                </c:pt>
                <c:pt idx="9">
                  <c:v>153</c:v>
                </c:pt>
                <c:pt idx="10">
                  <c:v>153</c:v>
                </c:pt>
                <c:pt idx="11">
                  <c:v>153</c:v>
                </c:pt>
                <c:pt idx="12">
                  <c:v>153</c:v>
                </c:pt>
                <c:pt idx="13">
                  <c:v>153</c:v>
                </c:pt>
                <c:pt idx="14">
                  <c:v>153</c:v>
                </c:pt>
                <c:pt idx="15">
                  <c:v>153</c:v>
                </c:pt>
                <c:pt idx="16">
                  <c:v>153</c:v>
                </c:pt>
                <c:pt idx="17">
                  <c:v>153</c:v>
                </c:pt>
                <c:pt idx="18">
                  <c:v>153</c:v>
                </c:pt>
                <c:pt idx="19">
                  <c:v>153</c:v>
                </c:pt>
                <c:pt idx="20">
                  <c:v>153</c:v>
                </c:pt>
                <c:pt idx="21">
                  <c:v>153</c:v>
                </c:pt>
                <c:pt idx="22">
                  <c:v>153</c:v>
                </c:pt>
              </c:numCache>
            </c:numRef>
          </c:yVal>
          <c:bubbleSize>
            <c:numRef>
              <c:f>PotTotalBubblePlot!$L$4:$L$26</c:f>
              <c:numCache>
                <c:formatCode>0.000000</c:formatCode>
                <c:ptCount val="23"/>
                <c:pt idx="0">
                  <c:v>-0.218747</c:v>
                </c:pt>
                <c:pt idx="1">
                  <c:v>-0.108116</c:v>
                </c:pt>
                <c:pt idx="2">
                  <c:v>-0.11881899999999999</c:v>
                </c:pt>
                <c:pt idx="3">
                  <c:v>-6.1152900000000003E-2</c:v>
                </c:pt>
                <c:pt idx="4">
                  <c:v>-0.207431</c:v>
                </c:pt>
                <c:pt idx="5">
                  <c:v>-0.32779999999999998</c:v>
                </c:pt>
                <c:pt idx="6">
                  <c:v>-0.52049299999999998</c:v>
                </c:pt>
                <c:pt idx="7">
                  <c:v>-0.141068</c:v>
                </c:pt>
                <c:pt idx="8">
                  <c:v>-0.38253999999999999</c:v>
                </c:pt>
                <c:pt idx="9">
                  <c:v>-0.33966400000000002</c:v>
                </c:pt>
                <c:pt idx="10">
                  <c:v>-0.37087399999999998</c:v>
                </c:pt>
                <c:pt idx="11">
                  <c:v>-4.8468299999999999E-2</c:v>
                </c:pt>
                <c:pt idx="12">
                  <c:v>-0.13627900000000001</c:v>
                </c:pt>
                <c:pt idx="13">
                  <c:v>0.2462</c:v>
                </c:pt>
                <c:pt idx="14">
                  <c:v>-0.16559299999999999</c:v>
                </c:pt>
                <c:pt idx="15">
                  <c:v>-0.21562300000000001</c:v>
                </c:pt>
                <c:pt idx="16">
                  <c:v>-9.5073000000000005E-2</c:v>
                </c:pt>
                <c:pt idx="17">
                  <c:v>-0.31691999999999998</c:v>
                </c:pt>
                <c:pt idx="18">
                  <c:v>-0.20004</c:v>
                </c:pt>
                <c:pt idx="19">
                  <c:v>2.2754900000000002E-2</c:v>
                </c:pt>
                <c:pt idx="20">
                  <c:v>-7.6699000000000003E-2</c:v>
                </c:pt>
                <c:pt idx="21">
                  <c:v>-1.7177499999999998E-2</c:v>
                </c:pt>
                <c:pt idx="22">
                  <c:v>0.12393899999999999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PotTotalBubblePlot!$M$28:$M$50</c:f>
              <c:numCache>
                <c:formatCode>General</c:formatCode>
                <c:ptCount val="23"/>
                <c:pt idx="0">
                  <c:v>158</c:v>
                </c:pt>
                <c:pt idx="1">
                  <c:v>158</c:v>
                </c:pt>
                <c:pt idx="2">
                  <c:v>158</c:v>
                </c:pt>
                <c:pt idx="3">
                  <c:v>158</c:v>
                </c:pt>
                <c:pt idx="4">
                  <c:v>158</c:v>
                </c:pt>
                <c:pt idx="5">
                  <c:v>158</c:v>
                </c:pt>
                <c:pt idx="6">
                  <c:v>158</c:v>
                </c:pt>
                <c:pt idx="7">
                  <c:v>158</c:v>
                </c:pt>
                <c:pt idx="8">
                  <c:v>158</c:v>
                </c:pt>
                <c:pt idx="9">
                  <c:v>158</c:v>
                </c:pt>
                <c:pt idx="10">
                  <c:v>158</c:v>
                </c:pt>
                <c:pt idx="11">
                  <c:v>158</c:v>
                </c:pt>
                <c:pt idx="12">
                  <c:v>158</c:v>
                </c:pt>
                <c:pt idx="13">
                  <c:v>158</c:v>
                </c:pt>
                <c:pt idx="14">
                  <c:v>158</c:v>
                </c:pt>
                <c:pt idx="15">
                  <c:v>158</c:v>
                </c:pt>
                <c:pt idx="16">
                  <c:v>158</c:v>
                </c:pt>
                <c:pt idx="17">
                  <c:v>158</c:v>
                </c:pt>
                <c:pt idx="18">
                  <c:v>158</c:v>
                </c:pt>
                <c:pt idx="19">
                  <c:v>158</c:v>
                </c:pt>
                <c:pt idx="20">
                  <c:v>158</c:v>
                </c:pt>
                <c:pt idx="21">
                  <c:v>158</c:v>
                </c:pt>
                <c:pt idx="22">
                  <c:v>158</c:v>
                </c:pt>
              </c:numCache>
            </c:numRef>
          </c:yVal>
          <c:bubbleSize>
            <c:numRef>
              <c:f>PotTotalBubblePlot!$M$4:$M$26</c:f>
              <c:numCache>
                <c:formatCode>0.000000</c:formatCode>
                <c:ptCount val="23"/>
                <c:pt idx="0">
                  <c:v>-0.20698</c:v>
                </c:pt>
                <c:pt idx="1">
                  <c:v>-1.5982400000000001E-2</c:v>
                </c:pt>
                <c:pt idx="2">
                  <c:v>-0.121572</c:v>
                </c:pt>
                <c:pt idx="3">
                  <c:v>-3.1566299999999999E-2</c:v>
                </c:pt>
                <c:pt idx="4">
                  <c:v>-0.31246400000000002</c:v>
                </c:pt>
                <c:pt idx="5">
                  <c:v>-0.18510499999999999</c:v>
                </c:pt>
                <c:pt idx="6">
                  <c:v>-0.35793700000000001</c:v>
                </c:pt>
                <c:pt idx="7">
                  <c:v>-0.17660000000000001</c:v>
                </c:pt>
                <c:pt idx="8">
                  <c:v>-0.38776699999999997</c:v>
                </c:pt>
                <c:pt idx="9">
                  <c:v>-0.49896400000000002</c:v>
                </c:pt>
                <c:pt idx="10">
                  <c:v>-0.52886599999999995</c:v>
                </c:pt>
                <c:pt idx="11">
                  <c:v>-0.25898500000000002</c:v>
                </c:pt>
                <c:pt idx="12">
                  <c:v>-0.14310100000000001</c:v>
                </c:pt>
                <c:pt idx="13">
                  <c:v>2.7110700000000001E-2</c:v>
                </c:pt>
                <c:pt idx="14">
                  <c:v>-0.28085500000000002</c:v>
                </c:pt>
                <c:pt idx="15">
                  <c:v>-0.34467599999999998</c:v>
                </c:pt>
                <c:pt idx="16">
                  <c:v>-0.19961300000000001</c:v>
                </c:pt>
                <c:pt idx="17">
                  <c:v>-0.40317199999999997</c:v>
                </c:pt>
                <c:pt idx="18">
                  <c:v>-0.36613400000000001</c:v>
                </c:pt>
                <c:pt idx="19">
                  <c:v>-0.129523</c:v>
                </c:pt>
                <c:pt idx="20">
                  <c:v>-0.165439</c:v>
                </c:pt>
                <c:pt idx="21">
                  <c:v>-0.21703600000000001</c:v>
                </c:pt>
                <c:pt idx="22">
                  <c:v>-0.21115700000000001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PotTotalBubblePlot!$N$28:$N$50</c:f>
              <c:numCache>
                <c:formatCode>General</c:formatCode>
                <c:ptCount val="23"/>
                <c:pt idx="0">
                  <c:v>163</c:v>
                </c:pt>
                <c:pt idx="1">
                  <c:v>163</c:v>
                </c:pt>
                <c:pt idx="2">
                  <c:v>163</c:v>
                </c:pt>
                <c:pt idx="3">
                  <c:v>163</c:v>
                </c:pt>
                <c:pt idx="4">
                  <c:v>163</c:v>
                </c:pt>
                <c:pt idx="5">
                  <c:v>163</c:v>
                </c:pt>
                <c:pt idx="6">
                  <c:v>163</c:v>
                </c:pt>
                <c:pt idx="7">
                  <c:v>163</c:v>
                </c:pt>
                <c:pt idx="8">
                  <c:v>163</c:v>
                </c:pt>
                <c:pt idx="9">
                  <c:v>163</c:v>
                </c:pt>
                <c:pt idx="10">
                  <c:v>163</c:v>
                </c:pt>
                <c:pt idx="11">
                  <c:v>163</c:v>
                </c:pt>
                <c:pt idx="12">
                  <c:v>163</c:v>
                </c:pt>
                <c:pt idx="13">
                  <c:v>163</c:v>
                </c:pt>
                <c:pt idx="14">
                  <c:v>163</c:v>
                </c:pt>
                <c:pt idx="15">
                  <c:v>163</c:v>
                </c:pt>
                <c:pt idx="16">
                  <c:v>163</c:v>
                </c:pt>
                <c:pt idx="17">
                  <c:v>163</c:v>
                </c:pt>
                <c:pt idx="18">
                  <c:v>163</c:v>
                </c:pt>
                <c:pt idx="19">
                  <c:v>163</c:v>
                </c:pt>
                <c:pt idx="20">
                  <c:v>163</c:v>
                </c:pt>
                <c:pt idx="21">
                  <c:v>163</c:v>
                </c:pt>
                <c:pt idx="22">
                  <c:v>163</c:v>
                </c:pt>
              </c:numCache>
            </c:numRef>
          </c:yVal>
          <c:bubbleSize>
            <c:numRef>
              <c:f>PotTotalBubblePlot!$N$4:$N$26</c:f>
              <c:numCache>
                <c:formatCode>0.000000</c:formatCode>
                <c:ptCount val="23"/>
                <c:pt idx="0">
                  <c:v>-7.0872299999999999E-2</c:v>
                </c:pt>
                <c:pt idx="1">
                  <c:v>3.0853800000000001E-2</c:v>
                </c:pt>
                <c:pt idx="2">
                  <c:v>-9.0280399999999993E-3</c:v>
                </c:pt>
                <c:pt idx="3">
                  <c:v>4.1538600000000002E-2</c:v>
                </c:pt>
                <c:pt idx="4">
                  <c:v>-0.20147300000000001</c:v>
                </c:pt>
                <c:pt idx="5">
                  <c:v>-3.54837E-2</c:v>
                </c:pt>
                <c:pt idx="6">
                  <c:v>-0.149338</c:v>
                </c:pt>
                <c:pt idx="7">
                  <c:v>-6.1091399999999997E-2</c:v>
                </c:pt>
                <c:pt idx="8">
                  <c:v>-0.32615499999999997</c:v>
                </c:pt>
                <c:pt idx="9">
                  <c:v>-0.35617900000000002</c:v>
                </c:pt>
                <c:pt idx="10">
                  <c:v>-0.44578699999999999</c:v>
                </c:pt>
                <c:pt idx="11">
                  <c:v>-0.18589900000000001</c:v>
                </c:pt>
                <c:pt idx="12">
                  <c:v>-0.129269</c:v>
                </c:pt>
                <c:pt idx="13">
                  <c:v>0.10108499999999999</c:v>
                </c:pt>
                <c:pt idx="14">
                  <c:v>-0.124998</c:v>
                </c:pt>
                <c:pt idx="15">
                  <c:v>-0.232461</c:v>
                </c:pt>
                <c:pt idx="16">
                  <c:v>-0.13728399999999999</c:v>
                </c:pt>
                <c:pt idx="17">
                  <c:v>-0.41582799999999998</c:v>
                </c:pt>
                <c:pt idx="18">
                  <c:v>-0.293657</c:v>
                </c:pt>
                <c:pt idx="19">
                  <c:v>-0.18171100000000001</c:v>
                </c:pt>
                <c:pt idx="20">
                  <c:v>-0.21443699999999999</c:v>
                </c:pt>
                <c:pt idx="21">
                  <c:v>-0.259635</c:v>
                </c:pt>
                <c:pt idx="22">
                  <c:v>-0.372197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PotTotalBubblePlot!$O$28:$O$50</c:f>
              <c:numCache>
                <c:formatCode>General</c:formatCode>
                <c:ptCount val="23"/>
                <c:pt idx="0">
                  <c:v>168</c:v>
                </c:pt>
                <c:pt idx="1">
                  <c:v>168</c:v>
                </c:pt>
                <c:pt idx="2">
                  <c:v>168</c:v>
                </c:pt>
                <c:pt idx="3">
                  <c:v>168</c:v>
                </c:pt>
                <c:pt idx="4">
                  <c:v>168</c:v>
                </c:pt>
                <c:pt idx="5">
                  <c:v>168</c:v>
                </c:pt>
                <c:pt idx="6">
                  <c:v>168</c:v>
                </c:pt>
                <c:pt idx="7">
                  <c:v>168</c:v>
                </c:pt>
                <c:pt idx="8">
                  <c:v>168</c:v>
                </c:pt>
                <c:pt idx="9">
                  <c:v>168</c:v>
                </c:pt>
                <c:pt idx="10">
                  <c:v>168</c:v>
                </c:pt>
                <c:pt idx="11">
                  <c:v>168</c:v>
                </c:pt>
                <c:pt idx="12">
                  <c:v>168</c:v>
                </c:pt>
                <c:pt idx="13">
                  <c:v>168</c:v>
                </c:pt>
                <c:pt idx="14">
                  <c:v>168</c:v>
                </c:pt>
                <c:pt idx="15">
                  <c:v>168</c:v>
                </c:pt>
                <c:pt idx="16">
                  <c:v>168</c:v>
                </c:pt>
                <c:pt idx="17">
                  <c:v>168</c:v>
                </c:pt>
                <c:pt idx="18">
                  <c:v>168</c:v>
                </c:pt>
                <c:pt idx="19">
                  <c:v>168</c:v>
                </c:pt>
                <c:pt idx="20">
                  <c:v>168</c:v>
                </c:pt>
                <c:pt idx="21">
                  <c:v>168</c:v>
                </c:pt>
                <c:pt idx="22">
                  <c:v>168</c:v>
                </c:pt>
              </c:numCache>
            </c:numRef>
          </c:yVal>
          <c:bubbleSize>
            <c:numRef>
              <c:f>PotTotalBubblePlot!$O$4:$O$26</c:f>
              <c:numCache>
                <c:formatCode>0.000000</c:formatCode>
                <c:ptCount val="23"/>
                <c:pt idx="0">
                  <c:v>-0.117197</c:v>
                </c:pt>
                <c:pt idx="1">
                  <c:v>0.10748000000000001</c:v>
                </c:pt>
                <c:pt idx="2">
                  <c:v>-2.7730799999999998E-3</c:v>
                </c:pt>
                <c:pt idx="3">
                  <c:v>7.6382099999999994E-2</c:v>
                </c:pt>
                <c:pt idx="4">
                  <c:v>-0.18954099999999999</c:v>
                </c:pt>
                <c:pt idx="5">
                  <c:v>0.19518199999999999</c:v>
                </c:pt>
                <c:pt idx="6">
                  <c:v>1.19048E-2</c:v>
                </c:pt>
                <c:pt idx="7">
                  <c:v>0.26549699999999998</c:v>
                </c:pt>
                <c:pt idx="8">
                  <c:v>-0.34731699999999999</c:v>
                </c:pt>
                <c:pt idx="9">
                  <c:v>-0.39793699999999999</c:v>
                </c:pt>
                <c:pt idx="10">
                  <c:v>-0.32530300000000001</c:v>
                </c:pt>
                <c:pt idx="11">
                  <c:v>-0.22262799999999999</c:v>
                </c:pt>
                <c:pt idx="12">
                  <c:v>-0.16649800000000001</c:v>
                </c:pt>
                <c:pt idx="13">
                  <c:v>9.6615099999999995E-2</c:v>
                </c:pt>
                <c:pt idx="14">
                  <c:v>-7.7627600000000005E-2</c:v>
                </c:pt>
                <c:pt idx="15">
                  <c:v>-0.210762</c:v>
                </c:pt>
                <c:pt idx="16">
                  <c:v>-6.4664399999999997E-2</c:v>
                </c:pt>
                <c:pt idx="17">
                  <c:v>-0.393849</c:v>
                </c:pt>
                <c:pt idx="18">
                  <c:v>-0.36324800000000002</c:v>
                </c:pt>
                <c:pt idx="19">
                  <c:v>-0.116129</c:v>
                </c:pt>
                <c:pt idx="20">
                  <c:v>-0.25671899999999997</c:v>
                </c:pt>
                <c:pt idx="21">
                  <c:v>-0.25998199999999999</c:v>
                </c:pt>
                <c:pt idx="22">
                  <c:v>-0.49990400000000002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PotTotalBubblePlot!$P$28:$P$50</c:f>
              <c:numCache>
                <c:formatCode>General</c:formatCode>
                <c:ptCount val="23"/>
              </c:numCache>
            </c:numRef>
          </c:yVal>
          <c:bubbleSize>
            <c:numRef>
              <c:f>PotTotalBubblePlot!$P$4:$P$26</c:f>
              <c:numCache>
                <c:formatCode>General</c:formatCode>
                <c:ptCount val="23"/>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PotTotalBubblePlot!$Q$28:$Q$50</c:f>
              <c:numCache>
                <c:formatCode>General</c:formatCode>
                <c:ptCount val="23"/>
              </c:numCache>
            </c:numRef>
          </c:yVal>
          <c:bubbleSize>
            <c:numRef>
              <c:f>PotTotalBubblePlot!$Q$4:$Q$26</c:f>
              <c:numCache>
                <c:formatCode>General</c:formatCode>
                <c:ptCount val="23"/>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6"/>
          <c:order val="16"/>
          <c:spPr>
            <a:solidFill>
              <a:schemeClr val="tx1"/>
            </a:solidFill>
          </c:spPr>
          <c:invertIfNegative val="0"/>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PotTotalBubblePlot!$R$28:$R$50</c:f>
              <c:numCache>
                <c:formatCode>General</c:formatCode>
                <c:ptCount val="23"/>
              </c:numCache>
            </c:numRef>
          </c:yVal>
          <c:bubbleSize>
            <c:numRef>
              <c:f>PotTotalBubblePlot!$R$4:$R$26</c:f>
              <c:numCache>
                <c:formatCode>General</c:formatCode>
                <c:ptCount val="23"/>
              </c:numCache>
            </c:numRef>
          </c:bubbleSize>
          <c:bubble3D val="0"/>
        </c:ser>
        <c:dLbls>
          <c:showLegendKey val="0"/>
          <c:showVal val="0"/>
          <c:showCatName val="0"/>
          <c:showSerName val="0"/>
          <c:showPercent val="0"/>
          <c:showBubbleSize val="0"/>
        </c:dLbls>
        <c:bubbleScale val="20"/>
        <c:showNegBubbles val="1"/>
        <c:axId val="99825152"/>
        <c:axId val="99827072"/>
      </c:bubbleChart>
      <c:valAx>
        <c:axId val="99825152"/>
        <c:scaling>
          <c:orientation val="minMax"/>
          <c:max val="2013"/>
          <c:min val="1989"/>
        </c:scaling>
        <c:delete val="0"/>
        <c:axPos val="b"/>
        <c:title>
          <c:tx>
            <c:rich>
              <a:bodyPr/>
              <a:lstStyle/>
              <a:p>
                <a:pPr>
                  <a:defRPr sz="1200" b="1" i="0" u="none" strike="noStrike" baseline="0">
                    <a:solidFill>
                      <a:srgbClr val="000000"/>
                    </a:solidFill>
                    <a:latin typeface="Arial"/>
                    <a:ea typeface="Arial"/>
                    <a:cs typeface="Arial"/>
                  </a:defRPr>
                </a:pPr>
                <a:r>
                  <a:rPr lang="en-US" b="1"/>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99827072"/>
        <c:crosses val="autoZero"/>
        <c:crossBetween val="midCat"/>
        <c:majorUnit val="4"/>
      </c:valAx>
      <c:valAx>
        <c:axId val="99827072"/>
        <c:scaling>
          <c:orientation val="minMax"/>
          <c:max val="173"/>
          <c:min val="98"/>
        </c:scaling>
        <c:delete val="0"/>
        <c:axPos val="l"/>
        <c:title>
          <c:tx>
            <c:rich>
              <a:bodyPr/>
              <a:lstStyle/>
              <a:p>
                <a:pPr>
                  <a:defRPr sz="1200" b="1" i="0" u="none" strike="noStrike" baseline="0">
                    <a:solidFill>
                      <a:srgbClr val="000000"/>
                    </a:solidFill>
                    <a:latin typeface="Arial"/>
                    <a:ea typeface="Arial"/>
                    <a:cs typeface="Arial"/>
                  </a:defRPr>
                </a:pPr>
                <a:r>
                  <a:rPr lang="en-US" b="1"/>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99825152"/>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90260339079236"/>
          <c:y val="3.8379530916844352E-2"/>
          <c:w val="0.77298928850109949"/>
          <c:h val="0.73629390190360611"/>
        </c:manualLayout>
      </c:layout>
      <c:bubbleChart>
        <c:varyColors val="0"/>
        <c:ser>
          <c:idx val="0"/>
          <c:order val="0"/>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PotTotalBubblePlot!$B$28:$B$50</c:f>
              <c:numCache>
                <c:formatCode>General</c:formatCode>
                <c:ptCount val="23"/>
                <c:pt idx="0">
                  <c:v>103</c:v>
                </c:pt>
                <c:pt idx="1">
                  <c:v>103</c:v>
                </c:pt>
                <c:pt idx="2">
                  <c:v>103</c:v>
                </c:pt>
                <c:pt idx="3">
                  <c:v>103</c:v>
                </c:pt>
                <c:pt idx="4">
                  <c:v>103</c:v>
                </c:pt>
                <c:pt idx="5">
                  <c:v>103</c:v>
                </c:pt>
                <c:pt idx="6">
                  <c:v>103</c:v>
                </c:pt>
                <c:pt idx="7">
                  <c:v>103</c:v>
                </c:pt>
                <c:pt idx="8">
                  <c:v>103</c:v>
                </c:pt>
                <c:pt idx="9">
                  <c:v>103</c:v>
                </c:pt>
                <c:pt idx="10">
                  <c:v>103</c:v>
                </c:pt>
                <c:pt idx="11">
                  <c:v>103</c:v>
                </c:pt>
                <c:pt idx="12">
                  <c:v>103</c:v>
                </c:pt>
                <c:pt idx="13">
                  <c:v>103</c:v>
                </c:pt>
                <c:pt idx="14">
                  <c:v>103</c:v>
                </c:pt>
                <c:pt idx="15">
                  <c:v>103</c:v>
                </c:pt>
                <c:pt idx="16">
                  <c:v>103</c:v>
                </c:pt>
                <c:pt idx="17">
                  <c:v>103</c:v>
                </c:pt>
                <c:pt idx="18">
                  <c:v>103</c:v>
                </c:pt>
                <c:pt idx="19">
                  <c:v>103</c:v>
                </c:pt>
                <c:pt idx="20">
                  <c:v>103</c:v>
                </c:pt>
                <c:pt idx="21">
                  <c:v>103</c:v>
                </c:pt>
                <c:pt idx="22">
                  <c:v>103</c:v>
                </c:pt>
              </c:numCache>
            </c:numRef>
          </c:yVal>
          <c:bubbleSize>
            <c:numRef>
              <c:f>PotTotalBubblePlot!$B$4:$B$26</c:f>
              <c:numCache>
                <c:formatCode>0.000000</c:formatCode>
                <c:ptCount val="23"/>
                <c:pt idx="0">
                  <c:v>0.111039</c:v>
                </c:pt>
                <c:pt idx="1">
                  <c:v>0.26907300000000001</c:v>
                </c:pt>
                <c:pt idx="2">
                  <c:v>0.120897</c:v>
                </c:pt>
                <c:pt idx="3">
                  <c:v>8.6468199999999995E-2</c:v>
                </c:pt>
                <c:pt idx="4">
                  <c:v>0.36255300000000001</c:v>
                </c:pt>
                <c:pt idx="5">
                  <c:v>0.58069800000000005</c:v>
                </c:pt>
                <c:pt idx="6">
                  <c:v>0.34183400000000003</c:v>
                </c:pt>
                <c:pt idx="7">
                  <c:v>0.34503699999999998</c:v>
                </c:pt>
                <c:pt idx="8">
                  <c:v>0.34770099999999998</c:v>
                </c:pt>
                <c:pt idx="9">
                  <c:v>0.27631699999999998</c:v>
                </c:pt>
                <c:pt idx="10">
                  <c:v>0.32227</c:v>
                </c:pt>
                <c:pt idx="11">
                  <c:v>6.6449599999999998E-2</c:v>
                </c:pt>
                <c:pt idx="12">
                  <c:v>-4.54274E-2</c:v>
                </c:pt>
                <c:pt idx="13">
                  <c:v>-0.37188599999999999</c:v>
                </c:pt>
                <c:pt idx="14">
                  <c:v>-9.2372999999999997E-2</c:v>
                </c:pt>
                <c:pt idx="15">
                  <c:v>0.12648100000000001</c:v>
                </c:pt>
                <c:pt idx="16">
                  <c:v>0.15096200000000001</c:v>
                </c:pt>
                <c:pt idx="17">
                  <c:v>0.20491799999999999</c:v>
                </c:pt>
                <c:pt idx="18">
                  <c:v>0.123872</c:v>
                </c:pt>
                <c:pt idx="19">
                  <c:v>5.9414599999999998E-2</c:v>
                </c:pt>
                <c:pt idx="20">
                  <c:v>9.2738600000000004E-2</c:v>
                </c:pt>
                <c:pt idx="21">
                  <c:v>9.63088E-2</c:v>
                </c:pt>
                <c:pt idx="22">
                  <c:v>0.18223200000000001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PotTotalBubblePlot!$C$28:$C$50</c:f>
              <c:numCache>
                <c:formatCode>General</c:formatCode>
                <c:ptCount val="23"/>
                <c:pt idx="0">
                  <c:v>108</c:v>
                </c:pt>
                <c:pt idx="1">
                  <c:v>108</c:v>
                </c:pt>
                <c:pt idx="2">
                  <c:v>108</c:v>
                </c:pt>
                <c:pt idx="3">
                  <c:v>108</c:v>
                </c:pt>
                <c:pt idx="4">
                  <c:v>108</c:v>
                </c:pt>
                <c:pt idx="5">
                  <c:v>108</c:v>
                </c:pt>
                <c:pt idx="6">
                  <c:v>108</c:v>
                </c:pt>
                <c:pt idx="7">
                  <c:v>108</c:v>
                </c:pt>
                <c:pt idx="8">
                  <c:v>108</c:v>
                </c:pt>
                <c:pt idx="9">
                  <c:v>108</c:v>
                </c:pt>
                <c:pt idx="10">
                  <c:v>108</c:v>
                </c:pt>
                <c:pt idx="11">
                  <c:v>108</c:v>
                </c:pt>
                <c:pt idx="12">
                  <c:v>108</c:v>
                </c:pt>
                <c:pt idx="13">
                  <c:v>108</c:v>
                </c:pt>
                <c:pt idx="14">
                  <c:v>108</c:v>
                </c:pt>
                <c:pt idx="15">
                  <c:v>108</c:v>
                </c:pt>
                <c:pt idx="16">
                  <c:v>108</c:v>
                </c:pt>
                <c:pt idx="17">
                  <c:v>108</c:v>
                </c:pt>
                <c:pt idx="18">
                  <c:v>108</c:v>
                </c:pt>
                <c:pt idx="19">
                  <c:v>108</c:v>
                </c:pt>
                <c:pt idx="20">
                  <c:v>108</c:v>
                </c:pt>
                <c:pt idx="21">
                  <c:v>108</c:v>
                </c:pt>
                <c:pt idx="22">
                  <c:v>108</c:v>
                </c:pt>
              </c:numCache>
            </c:numRef>
          </c:yVal>
          <c:bubbleSize>
            <c:numRef>
              <c:f>PotTotalBubblePlot!$C$4:$C$26</c:f>
              <c:numCache>
                <c:formatCode>0.000000</c:formatCode>
                <c:ptCount val="23"/>
                <c:pt idx="0">
                  <c:v>6.9039000000000003E-2</c:v>
                </c:pt>
                <c:pt idx="1">
                  <c:v>0.238982</c:v>
                </c:pt>
                <c:pt idx="2">
                  <c:v>5.7412600000000001E-2</c:v>
                </c:pt>
                <c:pt idx="3">
                  <c:v>1.8745599999999999E-3</c:v>
                </c:pt>
                <c:pt idx="4">
                  <c:v>0.32152399999999998</c:v>
                </c:pt>
                <c:pt idx="5">
                  <c:v>0.45719199999999999</c:v>
                </c:pt>
                <c:pt idx="6">
                  <c:v>0.107124</c:v>
                </c:pt>
                <c:pt idx="7">
                  <c:v>0.12700800000000001</c:v>
                </c:pt>
                <c:pt idx="8">
                  <c:v>0.235046</c:v>
                </c:pt>
                <c:pt idx="9">
                  <c:v>1.6052200000000001E-3</c:v>
                </c:pt>
                <c:pt idx="10">
                  <c:v>7.1899400000000002E-2</c:v>
                </c:pt>
                <c:pt idx="11">
                  <c:v>-0.26590200000000003</c:v>
                </c:pt>
                <c:pt idx="12">
                  <c:v>-0.30484800000000001</c:v>
                </c:pt>
                <c:pt idx="13">
                  <c:v>-0.78868700000000003</c:v>
                </c:pt>
                <c:pt idx="14">
                  <c:v>-0.30976999999999999</c:v>
                </c:pt>
                <c:pt idx="15">
                  <c:v>0.18679200000000001</c:v>
                </c:pt>
                <c:pt idx="16">
                  <c:v>0.20600199999999999</c:v>
                </c:pt>
                <c:pt idx="17">
                  <c:v>0.28664800000000001</c:v>
                </c:pt>
                <c:pt idx="18">
                  <c:v>0.24662300000000001</c:v>
                </c:pt>
                <c:pt idx="19">
                  <c:v>0.13519</c:v>
                </c:pt>
                <c:pt idx="20">
                  <c:v>0.13839499999999999</c:v>
                </c:pt>
                <c:pt idx="21">
                  <c:v>9.51042E-2</c:v>
                </c:pt>
                <c:pt idx="22">
                  <c:v>0.179588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PotTotalBubblePlot!$D$28:$D$50</c:f>
              <c:numCache>
                <c:formatCode>General</c:formatCode>
                <c:ptCount val="23"/>
                <c:pt idx="0">
                  <c:v>113</c:v>
                </c:pt>
                <c:pt idx="1">
                  <c:v>113</c:v>
                </c:pt>
                <c:pt idx="2">
                  <c:v>113</c:v>
                </c:pt>
                <c:pt idx="3">
                  <c:v>113</c:v>
                </c:pt>
                <c:pt idx="4">
                  <c:v>113</c:v>
                </c:pt>
                <c:pt idx="5">
                  <c:v>113</c:v>
                </c:pt>
                <c:pt idx="6">
                  <c:v>113</c:v>
                </c:pt>
                <c:pt idx="7">
                  <c:v>113</c:v>
                </c:pt>
                <c:pt idx="8">
                  <c:v>113</c:v>
                </c:pt>
                <c:pt idx="9">
                  <c:v>113</c:v>
                </c:pt>
                <c:pt idx="10">
                  <c:v>113</c:v>
                </c:pt>
                <c:pt idx="11">
                  <c:v>113</c:v>
                </c:pt>
                <c:pt idx="12">
                  <c:v>113</c:v>
                </c:pt>
                <c:pt idx="13">
                  <c:v>113</c:v>
                </c:pt>
                <c:pt idx="14">
                  <c:v>113</c:v>
                </c:pt>
                <c:pt idx="15">
                  <c:v>113</c:v>
                </c:pt>
                <c:pt idx="16">
                  <c:v>113</c:v>
                </c:pt>
                <c:pt idx="17">
                  <c:v>113</c:v>
                </c:pt>
                <c:pt idx="18">
                  <c:v>113</c:v>
                </c:pt>
                <c:pt idx="19">
                  <c:v>113</c:v>
                </c:pt>
                <c:pt idx="20">
                  <c:v>113</c:v>
                </c:pt>
                <c:pt idx="21">
                  <c:v>113</c:v>
                </c:pt>
                <c:pt idx="22">
                  <c:v>113</c:v>
                </c:pt>
              </c:numCache>
            </c:numRef>
          </c:yVal>
          <c:bubbleSize>
            <c:numRef>
              <c:f>PotTotalBubblePlot!$D$4:$D$26</c:f>
              <c:numCache>
                <c:formatCode>0.000000</c:formatCode>
                <c:ptCount val="23"/>
                <c:pt idx="0">
                  <c:v>0.21213099999999999</c:v>
                </c:pt>
                <c:pt idx="1">
                  <c:v>0.178534</c:v>
                </c:pt>
                <c:pt idx="2">
                  <c:v>5.53909E-2</c:v>
                </c:pt>
                <c:pt idx="3">
                  <c:v>9.3162499999999999E-3</c:v>
                </c:pt>
                <c:pt idx="4">
                  <c:v>0.33849299999999999</c:v>
                </c:pt>
                <c:pt idx="5">
                  <c:v>0.57005799999999995</c:v>
                </c:pt>
                <c:pt idx="6">
                  <c:v>0.117506</c:v>
                </c:pt>
                <c:pt idx="7">
                  <c:v>2.3137499999999998E-2</c:v>
                </c:pt>
                <c:pt idx="8">
                  <c:v>0.18679899999999999</c:v>
                </c:pt>
                <c:pt idx="9">
                  <c:v>-0.170241</c:v>
                </c:pt>
                <c:pt idx="10">
                  <c:v>-1.8629400000000001E-2</c:v>
                </c:pt>
                <c:pt idx="11">
                  <c:v>-0.30667</c:v>
                </c:pt>
                <c:pt idx="12">
                  <c:v>-0.47633500000000001</c:v>
                </c:pt>
                <c:pt idx="13">
                  <c:v>-0.78031099999999998</c:v>
                </c:pt>
                <c:pt idx="14">
                  <c:v>-0.34814099999999998</c:v>
                </c:pt>
                <c:pt idx="15">
                  <c:v>0.22987099999999999</c:v>
                </c:pt>
                <c:pt idx="16">
                  <c:v>0.27313500000000002</c:v>
                </c:pt>
                <c:pt idx="17">
                  <c:v>0.33937699999999998</c:v>
                </c:pt>
                <c:pt idx="18">
                  <c:v>0.32287700000000003</c:v>
                </c:pt>
                <c:pt idx="19">
                  <c:v>0.14754</c:v>
                </c:pt>
                <c:pt idx="20">
                  <c:v>0.226961</c:v>
                </c:pt>
                <c:pt idx="21">
                  <c:v>0.14092299999999999</c:v>
                </c:pt>
                <c:pt idx="22">
                  <c:v>0.172296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PotTotalBubblePlot!$E$28:$E$50</c:f>
              <c:numCache>
                <c:formatCode>General</c:formatCode>
                <c:ptCount val="23"/>
                <c:pt idx="0">
                  <c:v>118</c:v>
                </c:pt>
                <c:pt idx="1">
                  <c:v>118</c:v>
                </c:pt>
                <c:pt idx="2">
                  <c:v>118</c:v>
                </c:pt>
                <c:pt idx="3">
                  <c:v>118</c:v>
                </c:pt>
                <c:pt idx="4">
                  <c:v>118</c:v>
                </c:pt>
                <c:pt idx="5">
                  <c:v>118</c:v>
                </c:pt>
                <c:pt idx="6">
                  <c:v>118</c:v>
                </c:pt>
                <c:pt idx="7">
                  <c:v>118</c:v>
                </c:pt>
                <c:pt idx="8">
                  <c:v>118</c:v>
                </c:pt>
                <c:pt idx="9">
                  <c:v>118</c:v>
                </c:pt>
                <c:pt idx="10">
                  <c:v>118</c:v>
                </c:pt>
                <c:pt idx="11">
                  <c:v>118</c:v>
                </c:pt>
                <c:pt idx="12">
                  <c:v>118</c:v>
                </c:pt>
                <c:pt idx="13">
                  <c:v>118</c:v>
                </c:pt>
                <c:pt idx="14">
                  <c:v>118</c:v>
                </c:pt>
                <c:pt idx="15">
                  <c:v>118</c:v>
                </c:pt>
                <c:pt idx="16">
                  <c:v>118</c:v>
                </c:pt>
                <c:pt idx="17">
                  <c:v>118</c:v>
                </c:pt>
                <c:pt idx="18">
                  <c:v>118</c:v>
                </c:pt>
                <c:pt idx="19">
                  <c:v>118</c:v>
                </c:pt>
                <c:pt idx="20">
                  <c:v>118</c:v>
                </c:pt>
                <c:pt idx="21">
                  <c:v>118</c:v>
                </c:pt>
                <c:pt idx="22">
                  <c:v>118</c:v>
                </c:pt>
              </c:numCache>
            </c:numRef>
          </c:yVal>
          <c:bubbleSize>
            <c:numRef>
              <c:f>PotTotalBubblePlot!$E$4:$E$26</c:f>
              <c:numCache>
                <c:formatCode>0.000000</c:formatCode>
                <c:ptCount val="23"/>
                <c:pt idx="0">
                  <c:v>0.236843</c:v>
                </c:pt>
                <c:pt idx="1">
                  <c:v>0.20622699999999999</c:v>
                </c:pt>
                <c:pt idx="2">
                  <c:v>6.7241599999999999E-2</c:v>
                </c:pt>
                <c:pt idx="3">
                  <c:v>-2.1269300000000001E-2</c:v>
                </c:pt>
                <c:pt idx="4">
                  <c:v>0.26469799999999999</c:v>
                </c:pt>
                <c:pt idx="5">
                  <c:v>0.62349200000000005</c:v>
                </c:pt>
                <c:pt idx="6">
                  <c:v>0.22953499999999999</c:v>
                </c:pt>
                <c:pt idx="7">
                  <c:v>-0.10585899999999999</c:v>
                </c:pt>
                <c:pt idx="8">
                  <c:v>0.14207</c:v>
                </c:pt>
                <c:pt idx="9">
                  <c:v>-0.16539300000000001</c:v>
                </c:pt>
                <c:pt idx="10">
                  <c:v>-8.2846500000000003E-2</c:v>
                </c:pt>
                <c:pt idx="11">
                  <c:v>-0.32367000000000001</c:v>
                </c:pt>
                <c:pt idx="12">
                  <c:v>-0.34815299999999999</c:v>
                </c:pt>
                <c:pt idx="13">
                  <c:v>-0.78295300000000001</c:v>
                </c:pt>
                <c:pt idx="14">
                  <c:v>-0.27174399999999999</c:v>
                </c:pt>
                <c:pt idx="15">
                  <c:v>0.231042</c:v>
                </c:pt>
                <c:pt idx="16">
                  <c:v>0.225989</c:v>
                </c:pt>
                <c:pt idx="17">
                  <c:v>0.36431200000000002</c:v>
                </c:pt>
                <c:pt idx="18">
                  <c:v>0.26059300000000002</c:v>
                </c:pt>
                <c:pt idx="19">
                  <c:v>9.1435299999999997E-2</c:v>
                </c:pt>
                <c:pt idx="20">
                  <c:v>0.15704000000000001</c:v>
                </c:pt>
                <c:pt idx="21">
                  <c:v>7.2478200000000007E-2</c:v>
                </c:pt>
                <c:pt idx="22">
                  <c:v>3.4647200000000001E-3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PotTotalBubblePlot!$F$28:$F$50</c:f>
              <c:numCache>
                <c:formatCode>General</c:formatCode>
                <c:ptCount val="23"/>
                <c:pt idx="0">
                  <c:v>123</c:v>
                </c:pt>
                <c:pt idx="1">
                  <c:v>123</c:v>
                </c:pt>
                <c:pt idx="2">
                  <c:v>123</c:v>
                </c:pt>
                <c:pt idx="3">
                  <c:v>123</c:v>
                </c:pt>
                <c:pt idx="4">
                  <c:v>123</c:v>
                </c:pt>
                <c:pt idx="5">
                  <c:v>123</c:v>
                </c:pt>
                <c:pt idx="6">
                  <c:v>123</c:v>
                </c:pt>
                <c:pt idx="7">
                  <c:v>123</c:v>
                </c:pt>
                <c:pt idx="8">
                  <c:v>123</c:v>
                </c:pt>
                <c:pt idx="9">
                  <c:v>123</c:v>
                </c:pt>
                <c:pt idx="10">
                  <c:v>123</c:v>
                </c:pt>
                <c:pt idx="11">
                  <c:v>123</c:v>
                </c:pt>
                <c:pt idx="12">
                  <c:v>123</c:v>
                </c:pt>
                <c:pt idx="13">
                  <c:v>123</c:v>
                </c:pt>
                <c:pt idx="14">
                  <c:v>123</c:v>
                </c:pt>
                <c:pt idx="15">
                  <c:v>123</c:v>
                </c:pt>
                <c:pt idx="16">
                  <c:v>123</c:v>
                </c:pt>
                <c:pt idx="17">
                  <c:v>123</c:v>
                </c:pt>
                <c:pt idx="18">
                  <c:v>123</c:v>
                </c:pt>
                <c:pt idx="19">
                  <c:v>123</c:v>
                </c:pt>
                <c:pt idx="20">
                  <c:v>123</c:v>
                </c:pt>
                <c:pt idx="21">
                  <c:v>123</c:v>
                </c:pt>
                <c:pt idx="22">
                  <c:v>123</c:v>
                </c:pt>
              </c:numCache>
            </c:numRef>
          </c:yVal>
          <c:bubbleSize>
            <c:numRef>
              <c:f>PotTotalBubblePlot!$F$4:$F$26</c:f>
              <c:numCache>
                <c:formatCode>0.000000</c:formatCode>
                <c:ptCount val="23"/>
                <c:pt idx="0">
                  <c:v>0.25005100000000002</c:v>
                </c:pt>
                <c:pt idx="1">
                  <c:v>0.117188</c:v>
                </c:pt>
                <c:pt idx="2">
                  <c:v>3.7657000000000003E-2</c:v>
                </c:pt>
                <c:pt idx="3">
                  <c:v>-9.3844700000000003E-2</c:v>
                </c:pt>
                <c:pt idx="4">
                  <c:v>-2.9329299999999998E-3</c:v>
                </c:pt>
                <c:pt idx="5">
                  <c:v>0.446768</c:v>
                </c:pt>
                <c:pt idx="6">
                  <c:v>7.4676500000000007E-2</c:v>
                </c:pt>
                <c:pt idx="7">
                  <c:v>-0.35404400000000003</c:v>
                </c:pt>
                <c:pt idx="8">
                  <c:v>-0.103739</c:v>
                </c:pt>
                <c:pt idx="9">
                  <c:v>-0.16581299999999999</c:v>
                </c:pt>
                <c:pt idx="10">
                  <c:v>-0.27859600000000001</c:v>
                </c:pt>
                <c:pt idx="11">
                  <c:v>-0.37379800000000002</c:v>
                </c:pt>
                <c:pt idx="12">
                  <c:v>-0.35883500000000002</c:v>
                </c:pt>
                <c:pt idx="13">
                  <c:v>-0.81570299999999996</c:v>
                </c:pt>
                <c:pt idx="14">
                  <c:v>-0.350325</c:v>
                </c:pt>
                <c:pt idx="15">
                  <c:v>2.0369699999999999E-3</c:v>
                </c:pt>
                <c:pt idx="16">
                  <c:v>-2.36121E-2</c:v>
                </c:pt>
                <c:pt idx="17">
                  <c:v>0.207869</c:v>
                </c:pt>
                <c:pt idx="18">
                  <c:v>7.6877399999999999E-2</c:v>
                </c:pt>
                <c:pt idx="19">
                  <c:v>-0.130546</c:v>
                </c:pt>
                <c:pt idx="20">
                  <c:v>-2.1203400000000001E-2</c:v>
                </c:pt>
                <c:pt idx="21">
                  <c:v>-0.17496400000000001</c:v>
                </c:pt>
                <c:pt idx="22">
                  <c:v>-0.36873600000000001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PotTotalBubblePlot!$G$28:$G$50</c:f>
              <c:numCache>
                <c:formatCode>General</c:formatCode>
                <c:ptCount val="23"/>
                <c:pt idx="0">
                  <c:v>128</c:v>
                </c:pt>
                <c:pt idx="1">
                  <c:v>128</c:v>
                </c:pt>
                <c:pt idx="2">
                  <c:v>128</c:v>
                </c:pt>
                <c:pt idx="3">
                  <c:v>128</c:v>
                </c:pt>
                <c:pt idx="4">
                  <c:v>128</c:v>
                </c:pt>
                <c:pt idx="5">
                  <c:v>128</c:v>
                </c:pt>
                <c:pt idx="6">
                  <c:v>128</c:v>
                </c:pt>
                <c:pt idx="7">
                  <c:v>128</c:v>
                </c:pt>
                <c:pt idx="8">
                  <c:v>128</c:v>
                </c:pt>
                <c:pt idx="9">
                  <c:v>128</c:v>
                </c:pt>
                <c:pt idx="10">
                  <c:v>128</c:v>
                </c:pt>
                <c:pt idx="11">
                  <c:v>128</c:v>
                </c:pt>
                <c:pt idx="12">
                  <c:v>128</c:v>
                </c:pt>
                <c:pt idx="13">
                  <c:v>128</c:v>
                </c:pt>
                <c:pt idx="14">
                  <c:v>128</c:v>
                </c:pt>
                <c:pt idx="15">
                  <c:v>128</c:v>
                </c:pt>
                <c:pt idx="16">
                  <c:v>128</c:v>
                </c:pt>
                <c:pt idx="17">
                  <c:v>128</c:v>
                </c:pt>
                <c:pt idx="18">
                  <c:v>128</c:v>
                </c:pt>
                <c:pt idx="19">
                  <c:v>128</c:v>
                </c:pt>
                <c:pt idx="20">
                  <c:v>128</c:v>
                </c:pt>
                <c:pt idx="21">
                  <c:v>128</c:v>
                </c:pt>
                <c:pt idx="22">
                  <c:v>128</c:v>
                </c:pt>
              </c:numCache>
            </c:numRef>
          </c:yVal>
          <c:bubbleSize>
            <c:numRef>
              <c:f>PotTotalBubblePlot!$G$4:$G$26</c:f>
              <c:numCache>
                <c:formatCode>0.000000</c:formatCode>
                <c:ptCount val="23"/>
                <c:pt idx="0">
                  <c:v>7.5435600000000005E-2</c:v>
                </c:pt>
                <c:pt idx="1">
                  <c:v>-0.106098</c:v>
                </c:pt>
                <c:pt idx="2">
                  <c:v>4.9801100000000001E-2</c:v>
                </c:pt>
                <c:pt idx="3">
                  <c:v>-6.5886899999999998E-2</c:v>
                </c:pt>
                <c:pt idx="4">
                  <c:v>-0.190663</c:v>
                </c:pt>
                <c:pt idx="5">
                  <c:v>0.29145599999999999</c:v>
                </c:pt>
                <c:pt idx="6">
                  <c:v>0.147922</c:v>
                </c:pt>
                <c:pt idx="7">
                  <c:v>-0.31447900000000001</c:v>
                </c:pt>
                <c:pt idx="8">
                  <c:v>-0.125804</c:v>
                </c:pt>
                <c:pt idx="9">
                  <c:v>-2.4190699999999999E-2</c:v>
                </c:pt>
                <c:pt idx="10">
                  <c:v>-0.220107</c:v>
                </c:pt>
                <c:pt idx="11">
                  <c:v>-0.194051</c:v>
                </c:pt>
                <c:pt idx="12">
                  <c:v>-0.11393499999999999</c:v>
                </c:pt>
                <c:pt idx="13">
                  <c:v>-0.44454700000000003</c:v>
                </c:pt>
                <c:pt idx="14">
                  <c:v>-6.3977800000000001E-2</c:v>
                </c:pt>
                <c:pt idx="15">
                  <c:v>-0.25368200000000002</c:v>
                </c:pt>
                <c:pt idx="16">
                  <c:v>-0.34048200000000001</c:v>
                </c:pt>
                <c:pt idx="17">
                  <c:v>3.75792E-2</c:v>
                </c:pt>
                <c:pt idx="18">
                  <c:v>-0.23962800000000001</c:v>
                </c:pt>
                <c:pt idx="19">
                  <c:v>-0.45118399999999997</c:v>
                </c:pt>
                <c:pt idx="20">
                  <c:v>-0.23120599999999999</c:v>
                </c:pt>
                <c:pt idx="21">
                  <c:v>-0.42695300000000003</c:v>
                </c:pt>
                <c:pt idx="22">
                  <c:v>-0.70870599999999995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PotTotalBubblePlot!$H$28:$H$50</c:f>
              <c:numCache>
                <c:formatCode>General</c:formatCode>
                <c:ptCount val="23"/>
                <c:pt idx="0">
                  <c:v>133</c:v>
                </c:pt>
                <c:pt idx="1">
                  <c:v>133</c:v>
                </c:pt>
                <c:pt idx="2">
                  <c:v>133</c:v>
                </c:pt>
                <c:pt idx="3">
                  <c:v>133</c:v>
                </c:pt>
                <c:pt idx="4">
                  <c:v>133</c:v>
                </c:pt>
                <c:pt idx="5">
                  <c:v>133</c:v>
                </c:pt>
                <c:pt idx="6">
                  <c:v>133</c:v>
                </c:pt>
                <c:pt idx="7">
                  <c:v>133</c:v>
                </c:pt>
                <c:pt idx="8">
                  <c:v>133</c:v>
                </c:pt>
                <c:pt idx="9">
                  <c:v>133</c:v>
                </c:pt>
                <c:pt idx="10">
                  <c:v>133</c:v>
                </c:pt>
                <c:pt idx="11">
                  <c:v>133</c:v>
                </c:pt>
                <c:pt idx="12">
                  <c:v>133</c:v>
                </c:pt>
                <c:pt idx="13">
                  <c:v>133</c:v>
                </c:pt>
                <c:pt idx="14">
                  <c:v>133</c:v>
                </c:pt>
                <c:pt idx="15">
                  <c:v>133</c:v>
                </c:pt>
                <c:pt idx="16">
                  <c:v>133</c:v>
                </c:pt>
                <c:pt idx="17">
                  <c:v>133</c:v>
                </c:pt>
                <c:pt idx="18">
                  <c:v>133</c:v>
                </c:pt>
                <c:pt idx="19">
                  <c:v>133</c:v>
                </c:pt>
                <c:pt idx="20">
                  <c:v>133</c:v>
                </c:pt>
                <c:pt idx="21">
                  <c:v>133</c:v>
                </c:pt>
                <c:pt idx="22">
                  <c:v>133</c:v>
                </c:pt>
              </c:numCache>
            </c:numRef>
          </c:yVal>
          <c:bubbleSize>
            <c:numRef>
              <c:f>PotTotalBubblePlot!$H$4:$H$26</c:f>
              <c:numCache>
                <c:formatCode>0.000000</c:formatCode>
                <c:ptCount val="23"/>
                <c:pt idx="0">
                  <c:v>-0.17484</c:v>
                </c:pt>
                <c:pt idx="1">
                  <c:v>-9.5262700000000006E-2</c:v>
                </c:pt>
                <c:pt idx="2">
                  <c:v>7.76308E-2</c:v>
                </c:pt>
                <c:pt idx="3">
                  <c:v>5.5839199999999999E-2</c:v>
                </c:pt>
                <c:pt idx="4">
                  <c:v>-7.1293099999999998E-2</c:v>
                </c:pt>
                <c:pt idx="5">
                  <c:v>0.144507</c:v>
                </c:pt>
                <c:pt idx="6">
                  <c:v>0.426674</c:v>
                </c:pt>
                <c:pt idx="7">
                  <c:v>0.30258699999999999</c:v>
                </c:pt>
                <c:pt idx="8">
                  <c:v>0.32167200000000001</c:v>
                </c:pt>
                <c:pt idx="9">
                  <c:v>0.57623599999999997</c:v>
                </c:pt>
                <c:pt idx="10">
                  <c:v>0.55093800000000004</c:v>
                </c:pt>
                <c:pt idx="11">
                  <c:v>0.55477799999999999</c:v>
                </c:pt>
                <c:pt idx="12">
                  <c:v>0.54439400000000004</c:v>
                </c:pt>
                <c:pt idx="13">
                  <c:v>0.38675100000000001</c:v>
                </c:pt>
                <c:pt idx="14">
                  <c:v>0.47799399999999997</c:v>
                </c:pt>
                <c:pt idx="15">
                  <c:v>8.4397799999999995E-2</c:v>
                </c:pt>
                <c:pt idx="16">
                  <c:v>-7.3879200000000006E-2</c:v>
                </c:pt>
                <c:pt idx="17">
                  <c:v>0.27699299999999999</c:v>
                </c:pt>
                <c:pt idx="18">
                  <c:v>4.5429200000000003E-2</c:v>
                </c:pt>
                <c:pt idx="19">
                  <c:v>-4.8201399999999998E-2</c:v>
                </c:pt>
                <c:pt idx="20">
                  <c:v>5.4501300000000003E-2</c:v>
                </c:pt>
                <c:pt idx="21">
                  <c:v>3.1919599999999999E-2</c:v>
                </c:pt>
                <c:pt idx="22">
                  <c:v>-0.137741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PotTotalBubblePlot!$I$28:$I$50</c:f>
              <c:numCache>
                <c:formatCode>General</c:formatCode>
                <c:ptCount val="23"/>
                <c:pt idx="0">
                  <c:v>138</c:v>
                </c:pt>
                <c:pt idx="1">
                  <c:v>138</c:v>
                </c:pt>
                <c:pt idx="2">
                  <c:v>138</c:v>
                </c:pt>
                <c:pt idx="3">
                  <c:v>138</c:v>
                </c:pt>
                <c:pt idx="4">
                  <c:v>138</c:v>
                </c:pt>
                <c:pt idx="5">
                  <c:v>138</c:v>
                </c:pt>
                <c:pt idx="6">
                  <c:v>138</c:v>
                </c:pt>
                <c:pt idx="7">
                  <c:v>138</c:v>
                </c:pt>
                <c:pt idx="8">
                  <c:v>138</c:v>
                </c:pt>
                <c:pt idx="9">
                  <c:v>138</c:v>
                </c:pt>
                <c:pt idx="10">
                  <c:v>138</c:v>
                </c:pt>
                <c:pt idx="11">
                  <c:v>138</c:v>
                </c:pt>
                <c:pt idx="12">
                  <c:v>138</c:v>
                </c:pt>
                <c:pt idx="13">
                  <c:v>138</c:v>
                </c:pt>
                <c:pt idx="14">
                  <c:v>138</c:v>
                </c:pt>
                <c:pt idx="15">
                  <c:v>138</c:v>
                </c:pt>
                <c:pt idx="16">
                  <c:v>138</c:v>
                </c:pt>
                <c:pt idx="17">
                  <c:v>138</c:v>
                </c:pt>
                <c:pt idx="18">
                  <c:v>138</c:v>
                </c:pt>
                <c:pt idx="19">
                  <c:v>138</c:v>
                </c:pt>
                <c:pt idx="20">
                  <c:v>138</c:v>
                </c:pt>
                <c:pt idx="21">
                  <c:v>138</c:v>
                </c:pt>
                <c:pt idx="22">
                  <c:v>138</c:v>
                </c:pt>
              </c:numCache>
            </c:numRef>
          </c:yVal>
          <c:bubbleSize>
            <c:numRef>
              <c:f>PotTotalBubblePlot!$I$4:$I$26</c:f>
              <c:numCache>
                <c:formatCode>0.000000</c:formatCode>
                <c:ptCount val="23"/>
                <c:pt idx="0">
                  <c:v>-5.3822799999999997E-2</c:v>
                </c:pt>
                <c:pt idx="1">
                  <c:v>-6.3572400000000001E-2</c:v>
                </c:pt>
                <c:pt idx="2">
                  <c:v>-6.9001599999999998E-3</c:v>
                </c:pt>
                <c:pt idx="3">
                  <c:v>1.6818799999999998E-2</c:v>
                </c:pt>
                <c:pt idx="4">
                  <c:v>-0.12124699999999999</c:v>
                </c:pt>
                <c:pt idx="5">
                  <c:v>-0.74203699999999995</c:v>
                </c:pt>
                <c:pt idx="6">
                  <c:v>7.7498200000000003E-2</c:v>
                </c:pt>
                <c:pt idx="7">
                  <c:v>0.189439</c:v>
                </c:pt>
                <c:pt idx="8">
                  <c:v>0.24154900000000001</c:v>
                </c:pt>
                <c:pt idx="9">
                  <c:v>0.411943</c:v>
                </c:pt>
                <c:pt idx="10">
                  <c:v>0.46191900000000002</c:v>
                </c:pt>
                <c:pt idx="11">
                  <c:v>0.48664499999999999</c:v>
                </c:pt>
                <c:pt idx="12">
                  <c:v>0.58607900000000002</c:v>
                </c:pt>
                <c:pt idx="13">
                  <c:v>0.60826899999999995</c:v>
                </c:pt>
                <c:pt idx="14">
                  <c:v>0.41345100000000001</c:v>
                </c:pt>
                <c:pt idx="15">
                  <c:v>0.21528700000000001</c:v>
                </c:pt>
                <c:pt idx="16">
                  <c:v>7.8417000000000001E-2</c:v>
                </c:pt>
                <c:pt idx="17">
                  <c:v>0.25552799999999998</c:v>
                </c:pt>
                <c:pt idx="18">
                  <c:v>0.221003</c:v>
                </c:pt>
                <c:pt idx="19">
                  <c:v>0.15681100000000001</c:v>
                </c:pt>
                <c:pt idx="20">
                  <c:v>0.18884200000000001</c:v>
                </c:pt>
                <c:pt idx="21">
                  <c:v>0.24688299999999999</c:v>
                </c:pt>
                <c:pt idx="22">
                  <c:v>0.27496399999999999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PotTotalBubblePlot!$J$28:$J$50</c:f>
              <c:numCache>
                <c:formatCode>General</c:formatCode>
                <c:ptCount val="23"/>
                <c:pt idx="0">
                  <c:v>143</c:v>
                </c:pt>
                <c:pt idx="1">
                  <c:v>143</c:v>
                </c:pt>
                <c:pt idx="2">
                  <c:v>143</c:v>
                </c:pt>
                <c:pt idx="3">
                  <c:v>143</c:v>
                </c:pt>
                <c:pt idx="4">
                  <c:v>143</c:v>
                </c:pt>
                <c:pt idx="5">
                  <c:v>143</c:v>
                </c:pt>
                <c:pt idx="6">
                  <c:v>143</c:v>
                </c:pt>
                <c:pt idx="7">
                  <c:v>143</c:v>
                </c:pt>
                <c:pt idx="8">
                  <c:v>143</c:v>
                </c:pt>
                <c:pt idx="9">
                  <c:v>143</c:v>
                </c:pt>
                <c:pt idx="10">
                  <c:v>143</c:v>
                </c:pt>
                <c:pt idx="11">
                  <c:v>143</c:v>
                </c:pt>
                <c:pt idx="12">
                  <c:v>143</c:v>
                </c:pt>
                <c:pt idx="13">
                  <c:v>143</c:v>
                </c:pt>
                <c:pt idx="14">
                  <c:v>143</c:v>
                </c:pt>
                <c:pt idx="15">
                  <c:v>143</c:v>
                </c:pt>
                <c:pt idx="16">
                  <c:v>143</c:v>
                </c:pt>
                <c:pt idx="17">
                  <c:v>143</c:v>
                </c:pt>
                <c:pt idx="18">
                  <c:v>143</c:v>
                </c:pt>
                <c:pt idx="19">
                  <c:v>143</c:v>
                </c:pt>
                <c:pt idx="20">
                  <c:v>143</c:v>
                </c:pt>
                <c:pt idx="21">
                  <c:v>143</c:v>
                </c:pt>
                <c:pt idx="22">
                  <c:v>143</c:v>
                </c:pt>
              </c:numCache>
            </c:numRef>
          </c:yVal>
          <c:bubbleSize>
            <c:numRef>
              <c:f>PotTotalBubblePlot!$J$4:$J$26</c:f>
              <c:numCache>
                <c:formatCode>0.000000</c:formatCode>
                <c:ptCount val="23"/>
                <c:pt idx="0">
                  <c:v>-8.6155700000000002E-2</c:v>
                </c:pt>
                <c:pt idx="1">
                  <c:v>-0.292043</c:v>
                </c:pt>
                <c:pt idx="2">
                  <c:v>-0.121298</c:v>
                </c:pt>
                <c:pt idx="3">
                  <c:v>-7.8897900000000007E-3</c:v>
                </c:pt>
                <c:pt idx="4">
                  <c:v>-0.14996100000000001</c:v>
                </c:pt>
                <c:pt idx="5">
                  <c:v>-1.25946</c:v>
                </c:pt>
                <c:pt idx="6">
                  <c:v>-0.28841499999999998</c:v>
                </c:pt>
                <c:pt idx="7">
                  <c:v>7.7665600000000003E-4</c:v>
                </c:pt>
                <c:pt idx="8">
                  <c:v>-0.109877</c:v>
                </c:pt>
                <c:pt idx="9">
                  <c:v>0.16761599999999999</c:v>
                </c:pt>
                <c:pt idx="10">
                  <c:v>0.12598200000000001</c:v>
                </c:pt>
                <c:pt idx="11">
                  <c:v>0.19608800000000001</c:v>
                </c:pt>
                <c:pt idx="12">
                  <c:v>0.201818</c:v>
                </c:pt>
                <c:pt idx="13">
                  <c:v>0.48886400000000002</c:v>
                </c:pt>
                <c:pt idx="14">
                  <c:v>0.22375</c:v>
                </c:pt>
                <c:pt idx="15">
                  <c:v>0.138542</c:v>
                </c:pt>
                <c:pt idx="16">
                  <c:v>0.15866</c:v>
                </c:pt>
                <c:pt idx="17">
                  <c:v>1.4210499999999999E-2</c:v>
                </c:pt>
                <c:pt idx="18">
                  <c:v>0.22139800000000001</c:v>
                </c:pt>
                <c:pt idx="19">
                  <c:v>0.19170999999999999</c:v>
                </c:pt>
                <c:pt idx="20">
                  <c:v>0.18440200000000001</c:v>
                </c:pt>
                <c:pt idx="21">
                  <c:v>0.27193000000000001</c:v>
                </c:pt>
                <c:pt idx="22">
                  <c:v>0.43419799999999997</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PotTotalBubblePlot!$K$28:$K$50</c:f>
              <c:numCache>
                <c:formatCode>General</c:formatCode>
                <c:ptCount val="23"/>
                <c:pt idx="0">
                  <c:v>148</c:v>
                </c:pt>
                <c:pt idx="1">
                  <c:v>148</c:v>
                </c:pt>
                <c:pt idx="2">
                  <c:v>148</c:v>
                </c:pt>
                <c:pt idx="3">
                  <c:v>148</c:v>
                </c:pt>
                <c:pt idx="4">
                  <c:v>148</c:v>
                </c:pt>
                <c:pt idx="5">
                  <c:v>148</c:v>
                </c:pt>
                <c:pt idx="6">
                  <c:v>148</c:v>
                </c:pt>
                <c:pt idx="7">
                  <c:v>148</c:v>
                </c:pt>
                <c:pt idx="8">
                  <c:v>148</c:v>
                </c:pt>
                <c:pt idx="9">
                  <c:v>148</c:v>
                </c:pt>
                <c:pt idx="10">
                  <c:v>148</c:v>
                </c:pt>
                <c:pt idx="11">
                  <c:v>148</c:v>
                </c:pt>
                <c:pt idx="12">
                  <c:v>148</c:v>
                </c:pt>
                <c:pt idx="13">
                  <c:v>148</c:v>
                </c:pt>
                <c:pt idx="14">
                  <c:v>148</c:v>
                </c:pt>
                <c:pt idx="15">
                  <c:v>148</c:v>
                </c:pt>
                <c:pt idx="16">
                  <c:v>148</c:v>
                </c:pt>
                <c:pt idx="17">
                  <c:v>148</c:v>
                </c:pt>
                <c:pt idx="18">
                  <c:v>148</c:v>
                </c:pt>
                <c:pt idx="19">
                  <c:v>148</c:v>
                </c:pt>
                <c:pt idx="20">
                  <c:v>148</c:v>
                </c:pt>
                <c:pt idx="21">
                  <c:v>148</c:v>
                </c:pt>
                <c:pt idx="22">
                  <c:v>148</c:v>
                </c:pt>
              </c:numCache>
            </c:numRef>
          </c:yVal>
          <c:bubbleSize>
            <c:numRef>
              <c:f>PotTotalBubblePlot!$K$4:$K$26</c:f>
              <c:numCache>
                <c:formatCode>0.000000</c:formatCode>
                <c:ptCount val="23"/>
                <c:pt idx="0">
                  <c:v>-0.29970400000000003</c:v>
                </c:pt>
                <c:pt idx="1">
                  <c:v>-0.261685</c:v>
                </c:pt>
                <c:pt idx="2">
                  <c:v>-0.13545199999999999</c:v>
                </c:pt>
                <c:pt idx="3">
                  <c:v>-1.9631699999999998E-2</c:v>
                </c:pt>
                <c:pt idx="4">
                  <c:v>-0.113222</c:v>
                </c:pt>
                <c:pt idx="5">
                  <c:v>-0.928033</c:v>
                </c:pt>
                <c:pt idx="6">
                  <c:v>-0.41879899999999998</c:v>
                </c:pt>
                <c:pt idx="7">
                  <c:v>-5.9446800000000001E-2</c:v>
                </c:pt>
                <c:pt idx="8">
                  <c:v>-0.18557699999999999</c:v>
                </c:pt>
                <c:pt idx="9">
                  <c:v>-0.10686</c:v>
                </c:pt>
                <c:pt idx="10">
                  <c:v>-0.15693499999999999</c:v>
                </c:pt>
                <c:pt idx="11">
                  <c:v>1.21774E-2</c:v>
                </c:pt>
                <c:pt idx="12">
                  <c:v>-5.7378699999999999E-3</c:v>
                </c:pt>
                <c:pt idx="13">
                  <c:v>0.35840899999999998</c:v>
                </c:pt>
                <c:pt idx="14">
                  <c:v>7.3488599999999996E-3</c:v>
                </c:pt>
                <c:pt idx="15">
                  <c:v>4.0095899999999997E-2</c:v>
                </c:pt>
                <c:pt idx="16">
                  <c:v>7.8481599999999999E-2</c:v>
                </c:pt>
                <c:pt idx="17">
                  <c:v>-0.13603599999999999</c:v>
                </c:pt>
                <c:pt idx="18">
                  <c:v>9.7849199999999997E-2</c:v>
                </c:pt>
                <c:pt idx="19">
                  <c:v>0.16996800000000001</c:v>
                </c:pt>
                <c:pt idx="20">
                  <c:v>0.14559</c:v>
                </c:pt>
                <c:pt idx="21">
                  <c:v>0.23116800000000001</c:v>
                </c:pt>
                <c:pt idx="22">
                  <c:v>0.36067399999999999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PotTotalBubblePlot!$L$28:$L$50</c:f>
              <c:numCache>
                <c:formatCode>General</c:formatCode>
                <c:ptCount val="23"/>
                <c:pt idx="0">
                  <c:v>153</c:v>
                </c:pt>
                <c:pt idx="1">
                  <c:v>153</c:v>
                </c:pt>
                <c:pt idx="2">
                  <c:v>153</c:v>
                </c:pt>
                <c:pt idx="3">
                  <c:v>153</c:v>
                </c:pt>
                <c:pt idx="4">
                  <c:v>153</c:v>
                </c:pt>
                <c:pt idx="5">
                  <c:v>153</c:v>
                </c:pt>
                <c:pt idx="6">
                  <c:v>153</c:v>
                </c:pt>
                <c:pt idx="7">
                  <c:v>153</c:v>
                </c:pt>
                <c:pt idx="8">
                  <c:v>153</c:v>
                </c:pt>
                <c:pt idx="9">
                  <c:v>153</c:v>
                </c:pt>
                <c:pt idx="10">
                  <c:v>153</c:v>
                </c:pt>
                <c:pt idx="11">
                  <c:v>153</c:v>
                </c:pt>
                <c:pt idx="12">
                  <c:v>153</c:v>
                </c:pt>
                <c:pt idx="13">
                  <c:v>153</c:v>
                </c:pt>
                <c:pt idx="14">
                  <c:v>153</c:v>
                </c:pt>
                <c:pt idx="15">
                  <c:v>153</c:v>
                </c:pt>
                <c:pt idx="16">
                  <c:v>153</c:v>
                </c:pt>
                <c:pt idx="17">
                  <c:v>153</c:v>
                </c:pt>
                <c:pt idx="18">
                  <c:v>153</c:v>
                </c:pt>
                <c:pt idx="19">
                  <c:v>153</c:v>
                </c:pt>
                <c:pt idx="20">
                  <c:v>153</c:v>
                </c:pt>
                <c:pt idx="21">
                  <c:v>153</c:v>
                </c:pt>
                <c:pt idx="22">
                  <c:v>153</c:v>
                </c:pt>
              </c:numCache>
            </c:numRef>
          </c:yVal>
          <c:bubbleSize>
            <c:numRef>
              <c:f>PotTotalBubblePlot!$L$4:$L$26</c:f>
              <c:numCache>
                <c:formatCode>0.000000</c:formatCode>
                <c:ptCount val="23"/>
                <c:pt idx="0">
                  <c:v>-0.244618</c:v>
                </c:pt>
                <c:pt idx="1">
                  <c:v>-0.100731</c:v>
                </c:pt>
                <c:pt idx="2">
                  <c:v>-0.11509900000000001</c:v>
                </c:pt>
                <c:pt idx="3">
                  <c:v>-1.8458700000000001E-2</c:v>
                </c:pt>
                <c:pt idx="4">
                  <c:v>-0.13062799999999999</c:v>
                </c:pt>
                <c:pt idx="5">
                  <c:v>-0.34950100000000001</c:v>
                </c:pt>
                <c:pt idx="6">
                  <c:v>-0.53757500000000003</c:v>
                </c:pt>
                <c:pt idx="7">
                  <c:v>-0.11615300000000001</c:v>
                </c:pt>
                <c:pt idx="8">
                  <c:v>-0.40079300000000001</c:v>
                </c:pt>
                <c:pt idx="9">
                  <c:v>-0.31223600000000001</c:v>
                </c:pt>
                <c:pt idx="10">
                  <c:v>-0.329814</c:v>
                </c:pt>
                <c:pt idx="11">
                  <c:v>-5.7269E-2</c:v>
                </c:pt>
                <c:pt idx="12">
                  <c:v>-0.14020299999999999</c:v>
                </c:pt>
                <c:pt idx="13">
                  <c:v>0.28927599999999998</c:v>
                </c:pt>
                <c:pt idx="14">
                  <c:v>-0.14583399999999999</c:v>
                </c:pt>
                <c:pt idx="15">
                  <c:v>-0.18066599999999999</c:v>
                </c:pt>
                <c:pt idx="16">
                  <c:v>-6.4053200000000005E-2</c:v>
                </c:pt>
                <c:pt idx="17">
                  <c:v>-0.398121</c:v>
                </c:pt>
                <c:pt idx="18">
                  <c:v>-0.185975</c:v>
                </c:pt>
                <c:pt idx="19">
                  <c:v>-2.4723099999999999E-4</c:v>
                </c:pt>
                <c:pt idx="20">
                  <c:v>-0.13703399999999999</c:v>
                </c:pt>
                <c:pt idx="21">
                  <c:v>-3.1966099999999997E-2</c:v>
                </c:pt>
                <c:pt idx="22">
                  <c:v>0.12692400000000001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PotTotalBubblePlot!$M$28:$M$50</c:f>
              <c:numCache>
                <c:formatCode>General</c:formatCode>
                <c:ptCount val="23"/>
                <c:pt idx="0">
                  <c:v>158</c:v>
                </c:pt>
                <c:pt idx="1">
                  <c:v>158</c:v>
                </c:pt>
                <c:pt idx="2">
                  <c:v>158</c:v>
                </c:pt>
                <c:pt idx="3">
                  <c:v>158</c:v>
                </c:pt>
                <c:pt idx="4">
                  <c:v>158</c:v>
                </c:pt>
                <c:pt idx="5">
                  <c:v>158</c:v>
                </c:pt>
                <c:pt idx="6">
                  <c:v>158</c:v>
                </c:pt>
                <c:pt idx="7">
                  <c:v>158</c:v>
                </c:pt>
                <c:pt idx="8">
                  <c:v>158</c:v>
                </c:pt>
                <c:pt idx="9">
                  <c:v>158</c:v>
                </c:pt>
                <c:pt idx="10">
                  <c:v>158</c:v>
                </c:pt>
                <c:pt idx="11">
                  <c:v>158</c:v>
                </c:pt>
                <c:pt idx="12">
                  <c:v>158</c:v>
                </c:pt>
                <c:pt idx="13">
                  <c:v>158</c:v>
                </c:pt>
                <c:pt idx="14">
                  <c:v>158</c:v>
                </c:pt>
                <c:pt idx="15">
                  <c:v>158</c:v>
                </c:pt>
                <c:pt idx="16">
                  <c:v>158</c:v>
                </c:pt>
                <c:pt idx="17">
                  <c:v>158</c:v>
                </c:pt>
                <c:pt idx="18">
                  <c:v>158</c:v>
                </c:pt>
                <c:pt idx="19">
                  <c:v>158</c:v>
                </c:pt>
                <c:pt idx="20">
                  <c:v>158</c:v>
                </c:pt>
                <c:pt idx="21">
                  <c:v>158</c:v>
                </c:pt>
                <c:pt idx="22">
                  <c:v>158</c:v>
                </c:pt>
              </c:numCache>
            </c:numRef>
          </c:yVal>
          <c:bubbleSize>
            <c:numRef>
              <c:f>PotTotalBubblePlot!$M$4:$M$26</c:f>
              <c:numCache>
                <c:formatCode>0.000000</c:formatCode>
                <c:ptCount val="23"/>
                <c:pt idx="0">
                  <c:v>-0.21837899999999999</c:v>
                </c:pt>
                <c:pt idx="1">
                  <c:v>-4.08735E-2</c:v>
                </c:pt>
                <c:pt idx="2">
                  <c:v>-0.118945</c:v>
                </c:pt>
                <c:pt idx="3">
                  <c:v>-3.27145E-3</c:v>
                </c:pt>
                <c:pt idx="4">
                  <c:v>-0.235206</c:v>
                </c:pt>
                <c:pt idx="5">
                  <c:v>-8.3206799999999997E-2</c:v>
                </c:pt>
                <c:pt idx="6">
                  <c:v>-0.47789199999999998</c:v>
                </c:pt>
                <c:pt idx="7">
                  <c:v>-0.14488699999999999</c:v>
                </c:pt>
                <c:pt idx="8">
                  <c:v>-0.42217399999999999</c:v>
                </c:pt>
                <c:pt idx="9">
                  <c:v>-0.53819600000000001</c:v>
                </c:pt>
                <c:pt idx="10">
                  <c:v>-0.469474</c:v>
                </c:pt>
                <c:pt idx="11">
                  <c:v>-0.21520700000000001</c:v>
                </c:pt>
                <c:pt idx="12">
                  <c:v>-0.16441</c:v>
                </c:pt>
                <c:pt idx="13">
                  <c:v>3.1763100000000002E-2</c:v>
                </c:pt>
                <c:pt idx="14">
                  <c:v>-0.26333099999999998</c:v>
                </c:pt>
                <c:pt idx="15">
                  <c:v>-0.37674400000000002</c:v>
                </c:pt>
                <c:pt idx="16">
                  <c:v>-0.167605</c:v>
                </c:pt>
                <c:pt idx="17">
                  <c:v>-0.43520500000000001</c:v>
                </c:pt>
                <c:pt idx="18">
                  <c:v>-0.39711999999999997</c:v>
                </c:pt>
                <c:pt idx="19">
                  <c:v>-0.11369700000000001</c:v>
                </c:pt>
                <c:pt idx="20">
                  <c:v>-0.23233699999999999</c:v>
                </c:pt>
                <c:pt idx="21">
                  <c:v>-0.23877200000000001</c:v>
                </c:pt>
                <c:pt idx="22">
                  <c:v>-0.20624799999999999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PotTotalBubblePlot!$N$28:$N$50</c:f>
              <c:numCache>
                <c:formatCode>General</c:formatCode>
                <c:ptCount val="23"/>
                <c:pt idx="0">
                  <c:v>163</c:v>
                </c:pt>
                <c:pt idx="1">
                  <c:v>163</c:v>
                </c:pt>
                <c:pt idx="2">
                  <c:v>163</c:v>
                </c:pt>
                <c:pt idx="3">
                  <c:v>163</c:v>
                </c:pt>
                <c:pt idx="4">
                  <c:v>163</c:v>
                </c:pt>
                <c:pt idx="5">
                  <c:v>163</c:v>
                </c:pt>
                <c:pt idx="6">
                  <c:v>163</c:v>
                </c:pt>
                <c:pt idx="7">
                  <c:v>163</c:v>
                </c:pt>
                <c:pt idx="8">
                  <c:v>163</c:v>
                </c:pt>
                <c:pt idx="9">
                  <c:v>163</c:v>
                </c:pt>
                <c:pt idx="10">
                  <c:v>163</c:v>
                </c:pt>
                <c:pt idx="11">
                  <c:v>163</c:v>
                </c:pt>
                <c:pt idx="12">
                  <c:v>163</c:v>
                </c:pt>
                <c:pt idx="13">
                  <c:v>163</c:v>
                </c:pt>
                <c:pt idx="14">
                  <c:v>163</c:v>
                </c:pt>
                <c:pt idx="15">
                  <c:v>163</c:v>
                </c:pt>
                <c:pt idx="16">
                  <c:v>163</c:v>
                </c:pt>
                <c:pt idx="17">
                  <c:v>163</c:v>
                </c:pt>
                <c:pt idx="18">
                  <c:v>163</c:v>
                </c:pt>
                <c:pt idx="19">
                  <c:v>163</c:v>
                </c:pt>
                <c:pt idx="20">
                  <c:v>163</c:v>
                </c:pt>
                <c:pt idx="21">
                  <c:v>163</c:v>
                </c:pt>
                <c:pt idx="22">
                  <c:v>163</c:v>
                </c:pt>
              </c:numCache>
            </c:numRef>
          </c:yVal>
          <c:bubbleSize>
            <c:numRef>
              <c:f>PotTotalBubblePlot!$N$4:$N$26</c:f>
              <c:numCache>
                <c:formatCode>0.000000</c:formatCode>
                <c:ptCount val="23"/>
                <c:pt idx="0">
                  <c:v>-7.0718699999999995E-2</c:v>
                </c:pt>
                <c:pt idx="1">
                  <c:v>2.7401700000000001E-3</c:v>
                </c:pt>
                <c:pt idx="2">
                  <c:v>-1.5361100000000001E-2</c:v>
                </c:pt>
                <c:pt idx="3">
                  <c:v>5.7549500000000003E-2</c:v>
                </c:pt>
                <c:pt idx="4">
                  <c:v>-0.13634199999999999</c:v>
                </c:pt>
                <c:pt idx="5">
                  <c:v>8.0673900000000007E-2</c:v>
                </c:pt>
                <c:pt idx="6">
                  <c:v>-0.22232399999999999</c:v>
                </c:pt>
                <c:pt idx="7">
                  <c:v>-7.6988600000000004E-2</c:v>
                </c:pt>
                <c:pt idx="8">
                  <c:v>-0.33994000000000002</c:v>
                </c:pt>
                <c:pt idx="9">
                  <c:v>-0.41541800000000001</c:v>
                </c:pt>
                <c:pt idx="10">
                  <c:v>-0.42011500000000002</c:v>
                </c:pt>
                <c:pt idx="11">
                  <c:v>-0.121952</c:v>
                </c:pt>
                <c:pt idx="12">
                  <c:v>-0.13089300000000001</c:v>
                </c:pt>
                <c:pt idx="13">
                  <c:v>8.3759E-2</c:v>
                </c:pt>
                <c:pt idx="14">
                  <c:v>-0.124843</c:v>
                </c:pt>
                <c:pt idx="15">
                  <c:v>-0.27178799999999997</c:v>
                </c:pt>
                <c:pt idx="16">
                  <c:v>-0.14206199999999999</c:v>
                </c:pt>
                <c:pt idx="17">
                  <c:v>-0.41474800000000001</c:v>
                </c:pt>
                <c:pt idx="18">
                  <c:v>-0.30301</c:v>
                </c:pt>
                <c:pt idx="19">
                  <c:v>-0.17937900000000001</c:v>
                </c:pt>
                <c:pt idx="20">
                  <c:v>-0.23252200000000001</c:v>
                </c:pt>
                <c:pt idx="21">
                  <c:v>-0.29546899999999998</c:v>
                </c:pt>
                <c:pt idx="22">
                  <c:v>-0.348358</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PotTotalBubblePlot!$O$28:$O$50</c:f>
              <c:numCache>
                <c:formatCode>General</c:formatCode>
                <c:ptCount val="23"/>
                <c:pt idx="0">
                  <c:v>168</c:v>
                </c:pt>
                <c:pt idx="1">
                  <c:v>168</c:v>
                </c:pt>
                <c:pt idx="2">
                  <c:v>168</c:v>
                </c:pt>
                <c:pt idx="3">
                  <c:v>168</c:v>
                </c:pt>
                <c:pt idx="4">
                  <c:v>168</c:v>
                </c:pt>
                <c:pt idx="5">
                  <c:v>168</c:v>
                </c:pt>
                <c:pt idx="6">
                  <c:v>168</c:v>
                </c:pt>
                <c:pt idx="7">
                  <c:v>168</c:v>
                </c:pt>
                <c:pt idx="8">
                  <c:v>168</c:v>
                </c:pt>
                <c:pt idx="9">
                  <c:v>168</c:v>
                </c:pt>
                <c:pt idx="10">
                  <c:v>168</c:v>
                </c:pt>
                <c:pt idx="11">
                  <c:v>168</c:v>
                </c:pt>
                <c:pt idx="12">
                  <c:v>168</c:v>
                </c:pt>
                <c:pt idx="13">
                  <c:v>168</c:v>
                </c:pt>
                <c:pt idx="14">
                  <c:v>168</c:v>
                </c:pt>
                <c:pt idx="15">
                  <c:v>168</c:v>
                </c:pt>
                <c:pt idx="16">
                  <c:v>168</c:v>
                </c:pt>
                <c:pt idx="17">
                  <c:v>168</c:v>
                </c:pt>
                <c:pt idx="18">
                  <c:v>168</c:v>
                </c:pt>
                <c:pt idx="19">
                  <c:v>168</c:v>
                </c:pt>
                <c:pt idx="20">
                  <c:v>168</c:v>
                </c:pt>
                <c:pt idx="21">
                  <c:v>168</c:v>
                </c:pt>
                <c:pt idx="22">
                  <c:v>168</c:v>
                </c:pt>
              </c:numCache>
            </c:numRef>
          </c:yVal>
          <c:bubbleSize>
            <c:numRef>
              <c:f>PotTotalBubblePlot!$O$4:$O$26</c:f>
              <c:numCache>
                <c:formatCode>0.000000</c:formatCode>
                <c:ptCount val="23"/>
                <c:pt idx="0">
                  <c:v>-0.108497</c:v>
                </c:pt>
                <c:pt idx="1">
                  <c:v>9.7223100000000007E-2</c:v>
                </c:pt>
                <c:pt idx="2">
                  <c:v>-1.96115E-2</c:v>
                </c:pt>
                <c:pt idx="3">
                  <c:v>8.3698400000000006E-2</c:v>
                </c:pt>
                <c:pt idx="4">
                  <c:v>-0.14813000000000001</c:v>
                </c:pt>
                <c:pt idx="5">
                  <c:v>0.29756199999999999</c:v>
                </c:pt>
                <c:pt idx="6">
                  <c:v>4.7622100000000001E-2</c:v>
                </c:pt>
                <c:pt idx="7">
                  <c:v>0.23175000000000001</c:v>
                </c:pt>
                <c:pt idx="8">
                  <c:v>-0.39095600000000003</c:v>
                </c:pt>
                <c:pt idx="9">
                  <c:v>-0.47618199999999999</c:v>
                </c:pt>
                <c:pt idx="10">
                  <c:v>-0.37365900000000002</c:v>
                </c:pt>
                <c:pt idx="11">
                  <c:v>-0.179061</c:v>
                </c:pt>
                <c:pt idx="12">
                  <c:v>-0.121478</c:v>
                </c:pt>
                <c:pt idx="13">
                  <c:v>9.6989900000000004E-2</c:v>
                </c:pt>
                <c:pt idx="14">
                  <c:v>-0.107352</c:v>
                </c:pt>
                <c:pt idx="15">
                  <c:v>-0.28495500000000001</c:v>
                </c:pt>
                <c:pt idx="16">
                  <c:v>-0.149785</c:v>
                </c:pt>
                <c:pt idx="17">
                  <c:v>-0.48472100000000001</c:v>
                </c:pt>
                <c:pt idx="18">
                  <c:v>-0.39142399999999999</c:v>
                </c:pt>
                <c:pt idx="19">
                  <c:v>-0.122041</c:v>
                </c:pt>
                <c:pt idx="20">
                  <c:v>-0.24226800000000001</c:v>
                </c:pt>
                <c:pt idx="21">
                  <c:v>-0.23663999999999999</c:v>
                </c:pt>
                <c:pt idx="22">
                  <c:v>-0.40659600000000001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PotTotalBubblePlot!$P$28:$P$50</c:f>
              <c:numCache>
                <c:formatCode>General</c:formatCode>
                <c:ptCount val="23"/>
              </c:numCache>
            </c:numRef>
          </c:yVal>
          <c:bubbleSize>
            <c:numRef>
              <c:f>PotTotalBubblePlot!$P$4:$P$26</c:f>
              <c:numCache>
                <c:formatCode>General</c:formatCode>
                <c:ptCount val="23"/>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PotTotalBubblePlot!$Q$28:$Q$50</c:f>
              <c:numCache>
                <c:formatCode>General</c:formatCode>
                <c:ptCount val="23"/>
              </c:numCache>
            </c:numRef>
          </c:yVal>
          <c:bubbleSize>
            <c:numRef>
              <c:f>PotTotalBubblePlot!$Q$4:$Q$26</c:f>
              <c:numCache>
                <c:formatCode>General</c:formatCode>
                <c:ptCount val="23"/>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6"/>
          <c:order val="16"/>
          <c:spPr>
            <a:solidFill>
              <a:schemeClr val="tx1"/>
            </a:solidFill>
          </c:spPr>
          <c:invertIfNegative val="0"/>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PotTotalBubblePlot!$R$28:$R$50</c:f>
              <c:numCache>
                <c:formatCode>General</c:formatCode>
                <c:ptCount val="23"/>
              </c:numCache>
            </c:numRef>
          </c:yVal>
          <c:bubbleSize>
            <c:numRef>
              <c:f>PotTotalBubblePlot!$R$4:$R$26</c:f>
              <c:numCache>
                <c:formatCode>General</c:formatCode>
                <c:ptCount val="23"/>
              </c:numCache>
            </c:numRef>
          </c:bubbleSize>
          <c:bubble3D val="0"/>
        </c:ser>
        <c:dLbls>
          <c:showLegendKey val="0"/>
          <c:showVal val="0"/>
          <c:showCatName val="0"/>
          <c:showSerName val="0"/>
          <c:showPercent val="0"/>
          <c:showBubbleSize val="0"/>
        </c:dLbls>
        <c:bubbleScale val="20"/>
        <c:showNegBubbles val="1"/>
        <c:axId val="100004224"/>
        <c:axId val="100006144"/>
      </c:bubbleChart>
      <c:valAx>
        <c:axId val="100004224"/>
        <c:scaling>
          <c:orientation val="minMax"/>
          <c:max val="2013"/>
          <c:min val="1989"/>
        </c:scaling>
        <c:delete val="0"/>
        <c:axPos val="b"/>
        <c:title>
          <c:tx>
            <c:rich>
              <a:bodyPr/>
              <a:lstStyle/>
              <a:p>
                <a:pPr>
                  <a:defRPr sz="1200" b="1" i="0" u="none" strike="noStrike" baseline="0">
                    <a:solidFill>
                      <a:srgbClr val="000000"/>
                    </a:solidFill>
                    <a:latin typeface="Arial"/>
                    <a:ea typeface="Arial"/>
                    <a:cs typeface="Arial"/>
                  </a:defRPr>
                </a:pPr>
                <a:r>
                  <a:rPr lang="en-US" b="1"/>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00006144"/>
        <c:crosses val="autoZero"/>
        <c:crossBetween val="midCat"/>
        <c:majorUnit val="4"/>
      </c:valAx>
      <c:valAx>
        <c:axId val="100006144"/>
        <c:scaling>
          <c:orientation val="minMax"/>
          <c:max val="173"/>
          <c:min val="98"/>
        </c:scaling>
        <c:delete val="0"/>
        <c:axPos val="l"/>
        <c:title>
          <c:tx>
            <c:rich>
              <a:bodyPr/>
              <a:lstStyle/>
              <a:p>
                <a:pPr>
                  <a:defRPr sz="1200" b="1" i="0" u="none" strike="noStrike" baseline="0">
                    <a:solidFill>
                      <a:srgbClr val="000000"/>
                    </a:solidFill>
                    <a:latin typeface="Arial"/>
                    <a:ea typeface="Arial"/>
                    <a:cs typeface="Arial"/>
                  </a:defRPr>
                </a:pPr>
                <a:r>
                  <a:rPr lang="en-US" b="1"/>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00004224"/>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1649381290173"/>
          <c:y val="6.7357512953367921E-2"/>
          <c:w val="0.76011409142503994"/>
          <c:h val="0.65068290726393785"/>
        </c:manualLayout>
      </c:layout>
      <c:lineChart>
        <c:grouping val="standard"/>
        <c:varyColors val="0"/>
        <c:ser>
          <c:idx val="0"/>
          <c:order val="0"/>
          <c:cat>
            <c:numRef>
              <c:f>Adak8512Figs!$B$167:$AC$167</c:f>
              <c:numCache>
                <c:formatCode>0</c:formatCode>
                <c:ptCount val="28"/>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numCache>
            </c:numRef>
          </c:cat>
          <c:val>
            <c:numRef>
              <c:f>Adak8512Figs!$B$169:$AC$169</c:f>
              <c:numCache>
                <c:formatCode>0.00</c:formatCode>
                <c:ptCount val="28"/>
                <c:pt idx="0">
                  <c:v>2.8815400000000002</c:v>
                </c:pt>
                <c:pt idx="1">
                  <c:v>2.3934299999999999</c:v>
                </c:pt>
                <c:pt idx="2">
                  <c:v>1.5791999999999999</c:v>
                </c:pt>
                <c:pt idx="3">
                  <c:v>1.5582400000000001</c:v>
                </c:pt>
                <c:pt idx="4">
                  <c:v>1.19624</c:v>
                </c:pt>
                <c:pt idx="5">
                  <c:v>1.2032099999999999</c:v>
                </c:pt>
                <c:pt idx="6">
                  <c:v>1.7941400000000001</c:v>
                </c:pt>
                <c:pt idx="7">
                  <c:v>1.53474</c:v>
                </c:pt>
                <c:pt idx="8">
                  <c:v>1.2817099999999999</c:v>
                </c:pt>
                <c:pt idx="9">
                  <c:v>1.3956</c:v>
                </c:pt>
                <c:pt idx="10">
                  <c:v>1.4017900000000001</c:v>
                </c:pt>
                <c:pt idx="11">
                  <c:v>1.2396</c:v>
                </c:pt>
                <c:pt idx="12">
                  <c:v>1.3390200000000001</c:v>
                </c:pt>
                <c:pt idx="13">
                  <c:v>1.5787100000000001</c:v>
                </c:pt>
                <c:pt idx="14">
                  <c:v>1.62988</c:v>
                </c:pt>
                <c:pt idx="15">
                  <c:v>1.6914100000000001</c:v>
                </c:pt>
                <c:pt idx="16">
                  <c:v>2.08575</c:v>
                </c:pt>
                <c:pt idx="17">
                  <c:v>1.69787</c:v>
                </c:pt>
                <c:pt idx="18">
                  <c:v>1.5256700000000001</c:v>
                </c:pt>
                <c:pt idx="19">
                  <c:v>1.8087800000000001</c:v>
                </c:pt>
                <c:pt idx="20">
                  <c:v>1.3568</c:v>
                </c:pt>
                <c:pt idx="21">
                  <c:v>1.78887</c:v>
                </c:pt>
                <c:pt idx="22">
                  <c:v>1.3172900000000001</c:v>
                </c:pt>
                <c:pt idx="23">
                  <c:v>1.58209</c:v>
                </c:pt>
                <c:pt idx="24">
                  <c:v>1.3773899999999999</c:v>
                </c:pt>
                <c:pt idx="25">
                  <c:v>1.69242</c:v>
                </c:pt>
                <c:pt idx="26">
                  <c:v>2.4298099999999998</c:v>
                </c:pt>
                <c:pt idx="27">
                  <c:v>1.6029599999999999</c:v>
                </c:pt>
              </c:numCache>
            </c:numRef>
          </c:val>
          <c:smooth val="0"/>
        </c:ser>
        <c:dLbls>
          <c:showLegendKey val="0"/>
          <c:showVal val="0"/>
          <c:showCatName val="0"/>
          <c:showSerName val="0"/>
          <c:showPercent val="0"/>
          <c:showBubbleSize val="0"/>
        </c:dLbls>
        <c:marker val="1"/>
        <c:smooth val="0"/>
        <c:axId val="99680256"/>
        <c:axId val="99845248"/>
      </c:lineChart>
      <c:catAx>
        <c:axId val="99680256"/>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Year</a:t>
                </a:r>
              </a:p>
            </c:rich>
          </c:tx>
          <c:layout>
            <c:manualLayout>
              <c:xMode val="edge"/>
              <c:yMode val="edge"/>
              <c:x val="0.51461073047688288"/>
              <c:y val="0.90155440760988992"/>
            </c:manualLayout>
          </c:layout>
          <c:overlay val="0"/>
          <c:spPr>
            <a:noFill/>
            <a:ln w="25400">
              <a:noFill/>
            </a:ln>
          </c:spPr>
        </c:title>
        <c:numFmt formatCode="0" sourceLinked="1"/>
        <c:majorTickMark val="out"/>
        <c:minorTickMark val="none"/>
        <c:tickLblPos val="nextTo"/>
        <c:spPr>
          <a:ln w="25400">
            <a:solidFill>
              <a:srgbClr val="000000"/>
            </a:solidFill>
            <a:prstDash val="solid"/>
          </a:ln>
        </c:spPr>
        <c:txPr>
          <a:bodyPr rot="-5400000" vert="horz"/>
          <a:lstStyle/>
          <a:p>
            <a:pPr>
              <a:defRPr sz="1000" b="1" i="0" u="none" strike="noStrike" baseline="0">
                <a:solidFill>
                  <a:srgbClr val="000000"/>
                </a:solidFill>
                <a:latin typeface="Arial"/>
                <a:ea typeface="Arial"/>
                <a:cs typeface="Arial"/>
              </a:defRPr>
            </a:pPr>
            <a:endParaRPr lang="en-US"/>
          </a:p>
        </c:txPr>
        <c:crossAx val="99845248"/>
        <c:crosses val="autoZero"/>
        <c:auto val="1"/>
        <c:lblAlgn val="ctr"/>
        <c:lblOffset val="100"/>
        <c:tickLblSkip val="2"/>
        <c:tickMarkSkip val="1"/>
        <c:noMultiLvlLbl val="0"/>
      </c:catAx>
      <c:valAx>
        <c:axId val="99845248"/>
        <c:scaling>
          <c:logBase val="10"/>
          <c:orientation val="minMax"/>
          <c:max val="5"/>
        </c:scaling>
        <c:delete val="0"/>
        <c:axPos val="l"/>
        <c:title>
          <c:tx>
            <c:rich>
              <a:bodyPr/>
              <a:lstStyle/>
              <a:p>
                <a:pPr>
                  <a:defRPr sz="1000" b="1" i="0" u="none" strike="noStrike" baseline="0">
                    <a:solidFill>
                      <a:srgbClr val="000000"/>
                    </a:solidFill>
                    <a:latin typeface="Arial"/>
                    <a:ea typeface="Arial"/>
                    <a:cs typeface="Arial"/>
                  </a:defRPr>
                </a:pPr>
                <a:r>
                  <a:rPr lang="en-US"/>
                  <a:t>Racruits to &gt;=101 mm CL (million crabs)</a:t>
                </a:r>
              </a:p>
            </c:rich>
          </c:tx>
          <c:layout>
            <c:manualLayout>
              <c:xMode val="edge"/>
              <c:yMode val="edge"/>
              <c:x val="2.5974025974026042E-2"/>
              <c:y val="9.5855024491365348E-2"/>
            </c:manualLayout>
          </c:layout>
          <c:overlay val="0"/>
          <c:spPr>
            <a:noFill/>
            <a:ln w="25400">
              <a:noFill/>
            </a:ln>
          </c:spPr>
        </c:title>
        <c:numFmt formatCode="0.00" sourceLinked="1"/>
        <c:majorTickMark val="out"/>
        <c:minorTickMark val="none"/>
        <c:tickLblPos val="nextTo"/>
        <c:spPr>
          <a:ln w="25400">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99680256"/>
        <c:crosses val="autoZero"/>
        <c:crossBetween val="between"/>
        <c:majorUnit val="2"/>
        <c:minorUnit val="1"/>
      </c:valAx>
      <c:spPr>
        <a:noFill/>
        <a:ln w="25400">
          <a:noFill/>
        </a:ln>
      </c:spPr>
    </c:plotArea>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44849656950838"/>
          <c:y val="5.8743490397033901E-2"/>
          <c:w val="0.48329658792650931"/>
          <c:h val="0.68061284006165856"/>
        </c:manualLayout>
      </c:layout>
      <c:barChart>
        <c:barDir val="col"/>
        <c:grouping val="clustered"/>
        <c:varyColors val="0"/>
        <c:ser>
          <c:idx val="1"/>
          <c:order val="0"/>
          <c:tx>
            <c:v>1999/00-2004/05</c:v>
          </c:tx>
          <c:spPr>
            <a:solidFill>
              <a:srgbClr val="FF0000"/>
            </a:solidFill>
          </c:spPr>
          <c:invertIfNegative val="0"/>
          <c:cat>
            <c:numRef>
              <c:f>'E_of_174_potSummary-OB99_10'!$W$50:$W$69</c:f>
              <c:numCache>
                <c:formatCode>General</c:formatCode>
                <c:ptCount val="20"/>
                <c:pt idx="0">
                  <c:v>25</c:v>
                </c:pt>
                <c:pt idx="1">
                  <c:v>50</c:v>
                </c:pt>
                <c:pt idx="2">
                  <c:v>75</c:v>
                </c:pt>
                <c:pt idx="3">
                  <c:v>100</c:v>
                </c:pt>
                <c:pt idx="4">
                  <c:v>125</c:v>
                </c:pt>
                <c:pt idx="5">
                  <c:v>150</c:v>
                </c:pt>
                <c:pt idx="6">
                  <c:v>175</c:v>
                </c:pt>
                <c:pt idx="7">
                  <c:v>200</c:v>
                </c:pt>
                <c:pt idx="8">
                  <c:v>225</c:v>
                </c:pt>
                <c:pt idx="9">
                  <c:v>250</c:v>
                </c:pt>
                <c:pt idx="10">
                  <c:v>275</c:v>
                </c:pt>
                <c:pt idx="11">
                  <c:v>300</c:v>
                </c:pt>
                <c:pt idx="12">
                  <c:v>325</c:v>
                </c:pt>
                <c:pt idx="13">
                  <c:v>350</c:v>
                </c:pt>
                <c:pt idx="14">
                  <c:v>375</c:v>
                </c:pt>
                <c:pt idx="15">
                  <c:v>400</c:v>
                </c:pt>
                <c:pt idx="16">
                  <c:v>425</c:v>
                </c:pt>
                <c:pt idx="17">
                  <c:v>450</c:v>
                </c:pt>
                <c:pt idx="18">
                  <c:v>475</c:v>
                </c:pt>
                <c:pt idx="19">
                  <c:v>500</c:v>
                </c:pt>
              </c:numCache>
            </c:numRef>
          </c:cat>
          <c:val>
            <c:numRef>
              <c:f>'E_of_174_potSummary-OB99_10'!$Y$50:$Y$69</c:f>
              <c:numCache>
                <c:formatCode>General</c:formatCode>
                <c:ptCount val="20"/>
                <c:pt idx="0">
                  <c:v>1.2694651320243736E-2</c:v>
                </c:pt>
                <c:pt idx="1">
                  <c:v>5.5010155721056185E-2</c:v>
                </c:pt>
                <c:pt idx="2">
                  <c:v>0.41469194312796231</c:v>
                </c:pt>
                <c:pt idx="3">
                  <c:v>8.2938388625592427</c:v>
                </c:pt>
                <c:pt idx="4">
                  <c:v>15.394380501015569</c:v>
                </c:pt>
                <c:pt idx="5">
                  <c:v>15.644041976980365</c:v>
                </c:pt>
                <c:pt idx="6">
                  <c:v>13.756770480704118</c:v>
                </c:pt>
                <c:pt idx="7">
                  <c:v>11.869498984427931</c:v>
                </c:pt>
                <c:pt idx="8">
                  <c:v>9.9991536899119833</c:v>
                </c:pt>
                <c:pt idx="9">
                  <c:v>8.2896073121191627</c:v>
                </c:pt>
                <c:pt idx="10">
                  <c:v>6.8678063642518605</c:v>
                </c:pt>
                <c:pt idx="11">
                  <c:v>4.7901150981719685</c:v>
                </c:pt>
                <c:pt idx="12">
                  <c:v>2.8182125930940987</c:v>
                </c:pt>
                <c:pt idx="13">
                  <c:v>1.0790453622207181</c:v>
                </c:pt>
                <c:pt idx="14">
                  <c:v>0.40622884224779982</c:v>
                </c:pt>
                <c:pt idx="15">
                  <c:v>0.23273527420446871</c:v>
                </c:pt>
                <c:pt idx="16">
                  <c:v>4.2315504400812484E-2</c:v>
                </c:pt>
                <c:pt idx="17">
                  <c:v>1.6926201760324982E-2</c:v>
                </c:pt>
                <c:pt idx="18">
                  <c:v>1.6926201760324982E-2</c:v>
                </c:pt>
                <c:pt idx="19">
                  <c:v>0</c:v>
                </c:pt>
              </c:numCache>
            </c:numRef>
          </c:val>
        </c:ser>
        <c:ser>
          <c:idx val="2"/>
          <c:order val="1"/>
          <c:tx>
            <c:v>2005/06-2010/11</c:v>
          </c:tx>
          <c:spPr>
            <a:solidFill>
              <a:srgbClr val="0070C0"/>
            </a:solidFill>
          </c:spPr>
          <c:invertIfNegative val="0"/>
          <c:cat>
            <c:numRef>
              <c:f>'E_of_174_potSummary-OB99_10'!$W$50:$W$69</c:f>
              <c:numCache>
                <c:formatCode>General</c:formatCode>
                <c:ptCount val="20"/>
                <c:pt idx="0">
                  <c:v>25</c:v>
                </c:pt>
                <c:pt idx="1">
                  <c:v>50</c:v>
                </c:pt>
                <c:pt idx="2">
                  <c:v>75</c:v>
                </c:pt>
                <c:pt idx="3">
                  <c:v>100</c:v>
                </c:pt>
                <c:pt idx="4">
                  <c:v>125</c:v>
                </c:pt>
                <c:pt idx="5">
                  <c:v>150</c:v>
                </c:pt>
                <c:pt idx="6">
                  <c:v>175</c:v>
                </c:pt>
                <c:pt idx="7">
                  <c:v>200</c:v>
                </c:pt>
                <c:pt idx="8">
                  <c:v>225</c:v>
                </c:pt>
                <c:pt idx="9">
                  <c:v>250</c:v>
                </c:pt>
                <c:pt idx="10">
                  <c:v>275</c:v>
                </c:pt>
                <c:pt idx="11">
                  <c:v>300</c:v>
                </c:pt>
                <c:pt idx="12">
                  <c:v>325</c:v>
                </c:pt>
                <c:pt idx="13">
                  <c:v>350</c:v>
                </c:pt>
                <c:pt idx="14">
                  <c:v>375</c:v>
                </c:pt>
                <c:pt idx="15">
                  <c:v>400</c:v>
                </c:pt>
                <c:pt idx="16">
                  <c:v>425</c:v>
                </c:pt>
                <c:pt idx="17">
                  <c:v>450</c:v>
                </c:pt>
                <c:pt idx="18">
                  <c:v>475</c:v>
                </c:pt>
                <c:pt idx="19">
                  <c:v>500</c:v>
                </c:pt>
              </c:numCache>
            </c:numRef>
          </c:cat>
          <c:val>
            <c:numRef>
              <c:f>'E_of_174_potSummary-OB99_10'!$AA$50:$AA$69</c:f>
              <c:numCache>
                <c:formatCode>General</c:formatCode>
                <c:ptCount val="20"/>
                <c:pt idx="0">
                  <c:v>2.1317416329140911E-2</c:v>
                </c:pt>
                <c:pt idx="1">
                  <c:v>0</c:v>
                </c:pt>
                <c:pt idx="2">
                  <c:v>0</c:v>
                </c:pt>
                <c:pt idx="3">
                  <c:v>5.2654018332977897</c:v>
                </c:pt>
                <c:pt idx="4">
                  <c:v>17.09656789597096</c:v>
                </c:pt>
                <c:pt idx="5">
                  <c:v>16.947345981666974</c:v>
                </c:pt>
                <c:pt idx="6">
                  <c:v>12.79044979748455</c:v>
                </c:pt>
                <c:pt idx="7">
                  <c:v>9.8486463440631002</c:v>
                </c:pt>
                <c:pt idx="8">
                  <c:v>9.8060115114048205</c:v>
                </c:pt>
                <c:pt idx="9">
                  <c:v>8.9746322745683713</c:v>
                </c:pt>
                <c:pt idx="10">
                  <c:v>9.5502025154551262</c:v>
                </c:pt>
                <c:pt idx="11">
                  <c:v>6.6297164783628215</c:v>
                </c:pt>
                <c:pt idx="12">
                  <c:v>2.6007247921552015</c:v>
                </c:pt>
                <c:pt idx="13">
                  <c:v>0.40503091025367732</c:v>
                </c:pt>
                <c:pt idx="14">
                  <c:v>2.1317416329140911E-2</c:v>
                </c:pt>
                <c:pt idx="15">
                  <c:v>2.1317416329140911E-2</c:v>
                </c:pt>
                <c:pt idx="16">
                  <c:v>0</c:v>
                </c:pt>
                <c:pt idx="17">
                  <c:v>0</c:v>
                </c:pt>
                <c:pt idx="18">
                  <c:v>2.1317416329140911E-2</c:v>
                </c:pt>
                <c:pt idx="19">
                  <c:v>0</c:v>
                </c:pt>
              </c:numCache>
            </c:numRef>
          </c:val>
        </c:ser>
        <c:dLbls>
          <c:showLegendKey val="0"/>
          <c:showVal val="0"/>
          <c:showCatName val="0"/>
          <c:showSerName val="0"/>
          <c:showPercent val="0"/>
          <c:showBubbleSize val="0"/>
        </c:dLbls>
        <c:gapWidth val="150"/>
        <c:axId val="98068736"/>
        <c:axId val="98070912"/>
      </c:barChart>
      <c:catAx>
        <c:axId val="98068736"/>
        <c:scaling>
          <c:orientation val="minMax"/>
        </c:scaling>
        <c:delete val="0"/>
        <c:axPos val="b"/>
        <c:title>
          <c:tx>
            <c:rich>
              <a:bodyPr/>
              <a:lstStyle/>
              <a:p>
                <a:pPr>
                  <a:defRPr/>
                </a:pPr>
                <a:r>
                  <a:rPr lang="en-US"/>
                  <a:t>Depth (fathom)</a:t>
                </a:r>
              </a:p>
            </c:rich>
          </c:tx>
          <c:overlay val="0"/>
        </c:title>
        <c:numFmt formatCode="General" sourceLinked="1"/>
        <c:majorTickMark val="none"/>
        <c:minorTickMark val="none"/>
        <c:tickLblPos val="nextTo"/>
        <c:spPr>
          <a:noFill/>
          <a:ln w="25400">
            <a:solidFill>
              <a:sysClr val="windowText" lastClr="000000"/>
            </a:solidFill>
          </a:ln>
        </c:spPr>
        <c:txPr>
          <a:bodyPr/>
          <a:lstStyle/>
          <a:p>
            <a:pPr>
              <a:defRPr b="1"/>
            </a:pPr>
            <a:endParaRPr lang="en-US"/>
          </a:p>
        </c:txPr>
        <c:crossAx val="98070912"/>
        <c:crosses val="autoZero"/>
        <c:auto val="1"/>
        <c:lblAlgn val="ctr"/>
        <c:lblOffset val="100"/>
        <c:noMultiLvlLbl val="0"/>
      </c:catAx>
      <c:valAx>
        <c:axId val="98070912"/>
        <c:scaling>
          <c:orientation val="minMax"/>
        </c:scaling>
        <c:delete val="0"/>
        <c:axPos val="l"/>
        <c:title>
          <c:tx>
            <c:rich>
              <a:bodyPr rot="-5400000" vert="horz"/>
              <a:lstStyle/>
              <a:p>
                <a:pPr>
                  <a:defRPr/>
                </a:pPr>
                <a:r>
                  <a:rPr lang="en-US"/>
                  <a:t>Relative Frequency</a:t>
                </a:r>
              </a:p>
            </c:rich>
          </c:tx>
          <c:overlay val="0"/>
        </c:title>
        <c:numFmt formatCode="General" sourceLinked="1"/>
        <c:majorTickMark val="none"/>
        <c:minorTickMark val="none"/>
        <c:tickLblPos val="nextTo"/>
        <c:spPr>
          <a:ln w="25400">
            <a:solidFill>
              <a:schemeClr val="tx1"/>
            </a:solidFill>
          </a:ln>
        </c:spPr>
        <c:txPr>
          <a:bodyPr/>
          <a:lstStyle/>
          <a:p>
            <a:pPr>
              <a:defRPr b="1"/>
            </a:pPr>
            <a:endParaRPr lang="en-US"/>
          </a:p>
        </c:txPr>
        <c:crossAx val="9806873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99646230523003"/>
          <c:y val="6.7357512953367921E-2"/>
          <c:w val="0.75730923606694012"/>
          <c:h val="0.64472128243507665"/>
        </c:manualLayout>
      </c:layout>
      <c:lineChart>
        <c:grouping val="standard"/>
        <c:varyColors val="0"/>
        <c:ser>
          <c:idx val="0"/>
          <c:order val="0"/>
          <c:cat>
            <c:numRef>
              <c:f>Adak8512Figs!$B$167:$AC$167</c:f>
              <c:numCache>
                <c:formatCode>0</c:formatCode>
                <c:ptCount val="28"/>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numCache>
            </c:numRef>
          </c:cat>
          <c:val>
            <c:numRef>
              <c:f>Adak8512Figs!$B$169:$AC$169</c:f>
              <c:numCache>
                <c:formatCode>0.00</c:formatCode>
                <c:ptCount val="28"/>
                <c:pt idx="0">
                  <c:v>2.6903299999999999</c:v>
                </c:pt>
                <c:pt idx="1">
                  <c:v>2.9863499999999998</c:v>
                </c:pt>
                <c:pt idx="2">
                  <c:v>1.4734400000000001</c:v>
                </c:pt>
                <c:pt idx="3">
                  <c:v>1.3811500000000001</c:v>
                </c:pt>
                <c:pt idx="4">
                  <c:v>1.2157199999999999</c:v>
                </c:pt>
                <c:pt idx="5">
                  <c:v>1.0199499999999999</c:v>
                </c:pt>
                <c:pt idx="6">
                  <c:v>1.51105</c:v>
                </c:pt>
                <c:pt idx="7">
                  <c:v>1.9594100000000001</c:v>
                </c:pt>
                <c:pt idx="8">
                  <c:v>1.0834999999999999</c:v>
                </c:pt>
                <c:pt idx="9">
                  <c:v>1.3192200000000001</c:v>
                </c:pt>
                <c:pt idx="10">
                  <c:v>1.3053300000000001</c:v>
                </c:pt>
                <c:pt idx="11">
                  <c:v>1.2741199999999999</c:v>
                </c:pt>
                <c:pt idx="12">
                  <c:v>1.11117</c:v>
                </c:pt>
                <c:pt idx="13">
                  <c:v>1.5340199999999999</c:v>
                </c:pt>
                <c:pt idx="14">
                  <c:v>1.53098</c:v>
                </c:pt>
                <c:pt idx="15">
                  <c:v>1.5549599999999999</c:v>
                </c:pt>
                <c:pt idx="16">
                  <c:v>1.9987600000000001</c:v>
                </c:pt>
                <c:pt idx="17">
                  <c:v>1.6952100000000001</c:v>
                </c:pt>
                <c:pt idx="18">
                  <c:v>1.59771</c:v>
                </c:pt>
                <c:pt idx="19">
                  <c:v>1.5931599999999999</c:v>
                </c:pt>
                <c:pt idx="20">
                  <c:v>1.2883</c:v>
                </c:pt>
                <c:pt idx="21">
                  <c:v>1.79121</c:v>
                </c:pt>
                <c:pt idx="22">
                  <c:v>1.2463900000000001</c:v>
                </c:pt>
                <c:pt idx="23">
                  <c:v>1.40476</c:v>
                </c:pt>
                <c:pt idx="24">
                  <c:v>1.3348100000000001</c:v>
                </c:pt>
                <c:pt idx="25">
                  <c:v>1.7675099999999999</c:v>
                </c:pt>
                <c:pt idx="26">
                  <c:v>2.2075300000000002</c:v>
                </c:pt>
                <c:pt idx="27">
                  <c:v>1.5345599999999999</c:v>
                </c:pt>
              </c:numCache>
            </c:numRef>
          </c:val>
          <c:smooth val="0"/>
        </c:ser>
        <c:dLbls>
          <c:showLegendKey val="0"/>
          <c:showVal val="0"/>
          <c:showCatName val="0"/>
          <c:showSerName val="0"/>
          <c:showPercent val="0"/>
          <c:showBubbleSize val="0"/>
        </c:dLbls>
        <c:marker val="1"/>
        <c:smooth val="0"/>
        <c:axId val="99843072"/>
        <c:axId val="125129856"/>
      </c:lineChart>
      <c:catAx>
        <c:axId val="99843072"/>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Year</a:t>
                </a:r>
              </a:p>
            </c:rich>
          </c:tx>
          <c:layout>
            <c:manualLayout>
              <c:xMode val="edge"/>
              <c:yMode val="edge"/>
              <c:x val="0.51461073047688288"/>
              <c:y val="0.90155440760988992"/>
            </c:manualLayout>
          </c:layout>
          <c:overlay val="0"/>
          <c:spPr>
            <a:noFill/>
            <a:ln w="25400">
              <a:noFill/>
            </a:ln>
          </c:spPr>
        </c:title>
        <c:numFmt formatCode="0" sourceLinked="1"/>
        <c:majorTickMark val="out"/>
        <c:minorTickMark val="none"/>
        <c:tickLblPos val="nextTo"/>
        <c:spPr>
          <a:ln w="25400">
            <a:solidFill>
              <a:srgbClr val="000000"/>
            </a:solidFill>
            <a:prstDash val="solid"/>
          </a:ln>
        </c:spPr>
        <c:txPr>
          <a:bodyPr rot="-5400000" vert="horz"/>
          <a:lstStyle/>
          <a:p>
            <a:pPr>
              <a:defRPr sz="1000" b="1" i="0" u="none" strike="noStrike" baseline="0">
                <a:solidFill>
                  <a:srgbClr val="000000"/>
                </a:solidFill>
                <a:latin typeface="Arial"/>
                <a:ea typeface="Arial"/>
                <a:cs typeface="Arial"/>
              </a:defRPr>
            </a:pPr>
            <a:endParaRPr lang="en-US"/>
          </a:p>
        </c:txPr>
        <c:crossAx val="125129856"/>
        <c:crosses val="autoZero"/>
        <c:auto val="1"/>
        <c:lblAlgn val="ctr"/>
        <c:lblOffset val="100"/>
        <c:tickLblSkip val="2"/>
        <c:tickMarkSkip val="1"/>
        <c:noMultiLvlLbl val="0"/>
      </c:catAx>
      <c:valAx>
        <c:axId val="125129856"/>
        <c:scaling>
          <c:logBase val="10"/>
          <c:orientation val="minMax"/>
          <c:max val="5"/>
        </c:scaling>
        <c:delete val="0"/>
        <c:axPos val="l"/>
        <c:title>
          <c:tx>
            <c:rich>
              <a:bodyPr/>
              <a:lstStyle/>
              <a:p>
                <a:pPr>
                  <a:defRPr sz="1000" b="1" i="0" u="none" strike="noStrike" baseline="0">
                    <a:solidFill>
                      <a:srgbClr val="000000"/>
                    </a:solidFill>
                    <a:latin typeface="Arial"/>
                    <a:ea typeface="Arial"/>
                    <a:cs typeface="Arial"/>
                  </a:defRPr>
                </a:pPr>
                <a:r>
                  <a:rPr lang="en-US"/>
                  <a:t>Racruits to &gt;=101 mm CL (million crabs)</a:t>
                </a:r>
              </a:p>
            </c:rich>
          </c:tx>
          <c:layout>
            <c:manualLayout>
              <c:xMode val="edge"/>
              <c:yMode val="edge"/>
              <c:x val="2.5974025974026042E-2"/>
              <c:y val="9.5855024491365348E-2"/>
            </c:manualLayout>
          </c:layout>
          <c:overlay val="0"/>
          <c:spPr>
            <a:noFill/>
            <a:ln w="25400">
              <a:noFill/>
            </a:ln>
          </c:spPr>
        </c:title>
        <c:numFmt formatCode="0.00" sourceLinked="1"/>
        <c:majorTickMark val="out"/>
        <c:minorTickMark val="none"/>
        <c:tickLblPos val="nextTo"/>
        <c:spPr>
          <a:ln w="25400">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99843072"/>
        <c:crosses val="autoZero"/>
        <c:crossBetween val="between"/>
        <c:majorUnit val="2"/>
        <c:minorUnit val="1"/>
      </c:valAx>
      <c:spPr>
        <a:noFill/>
        <a:ln w="25400">
          <a:noFill/>
        </a:ln>
      </c:spPr>
    </c:plotArea>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96202531645861"/>
          <c:y val="0.12077351663230597"/>
          <c:w val="0.80759493670886073"/>
          <c:h val="0.53623441384743853"/>
        </c:manualLayout>
      </c:layout>
      <c:lineChart>
        <c:grouping val="standard"/>
        <c:varyColors val="0"/>
        <c:ser>
          <c:idx val="0"/>
          <c:order val="0"/>
          <c:spPr>
            <a:ln w="25400">
              <a:solidFill>
                <a:srgbClr val="000000"/>
              </a:solidFill>
              <a:prstDash val="solid"/>
            </a:ln>
          </c:spPr>
          <c:marker>
            <c:symbol val="circle"/>
            <c:size val="5"/>
            <c:spPr>
              <a:solidFill>
                <a:srgbClr val="000000"/>
              </a:solidFill>
              <a:ln>
                <a:solidFill>
                  <a:srgbClr val="000000"/>
                </a:solidFill>
                <a:prstDash val="solid"/>
              </a:ln>
            </c:spPr>
          </c:marker>
          <c:cat>
            <c:numRef>
              <c:f>Adak8512Figs!$B$22:$R$22</c:f>
              <c:numCache>
                <c:formatCode>0</c:formatCode>
                <c:ptCount val="17"/>
                <c:pt idx="0">
                  <c:v>103</c:v>
                </c:pt>
                <c:pt idx="1">
                  <c:v>108</c:v>
                </c:pt>
                <c:pt idx="2">
                  <c:v>113</c:v>
                </c:pt>
                <c:pt idx="3">
                  <c:v>118</c:v>
                </c:pt>
                <c:pt idx="4">
                  <c:v>123</c:v>
                </c:pt>
                <c:pt idx="5">
                  <c:v>128</c:v>
                </c:pt>
                <c:pt idx="6">
                  <c:v>133</c:v>
                </c:pt>
                <c:pt idx="7">
                  <c:v>138</c:v>
                </c:pt>
                <c:pt idx="8">
                  <c:v>143</c:v>
                </c:pt>
                <c:pt idx="9">
                  <c:v>148</c:v>
                </c:pt>
                <c:pt idx="10">
                  <c:v>153</c:v>
                </c:pt>
                <c:pt idx="11">
                  <c:v>158</c:v>
                </c:pt>
                <c:pt idx="12">
                  <c:v>163</c:v>
                </c:pt>
                <c:pt idx="13">
                  <c:v>168</c:v>
                </c:pt>
              </c:numCache>
            </c:numRef>
          </c:cat>
          <c:val>
            <c:numRef>
              <c:f>Adak8512Figs!$A$215:$O$215</c:f>
              <c:numCache>
                <c:formatCode>0.00</c:formatCode>
                <c:ptCount val="15"/>
                <c:pt idx="0">
                  <c:v>0</c:v>
                </c:pt>
                <c:pt idx="1">
                  <c:v>0.18104200000000001</c:v>
                </c:pt>
                <c:pt idx="2">
                  <c:v>0.24958900000000001</c:v>
                </c:pt>
                <c:pt idx="3">
                  <c:v>0.24699699999999999</c:v>
                </c:pt>
                <c:pt idx="4">
                  <c:v>0.18035799999999999</c:v>
                </c:pt>
                <c:pt idx="5">
                  <c:v>9.9561999999999998E-2</c:v>
                </c:pt>
                <c:pt idx="6">
                  <c:v>4.2452799999999999E-2</c:v>
                </c:pt>
                <c:pt idx="7">
                  <c:v>0</c:v>
                </c:pt>
                <c:pt idx="8">
                  <c:v>0</c:v>
                </c:pt>
                <c:pt idx="9">
                  <c:v>0</c:v>
                </c:pt>
                <c:pt idx="10">
                  <c:v>0</c:v>
                </c:pt>
                <c:pt idx="11">
                  <c:v>0</c:v>
                </c:pt>
                <c:pt idx="12">
                  <c:v>0</c:v>
                </c:pt>
                <c:pt idx="13">
                  <c:v>0</c:v>
                </c:pt>
                <c:pt idx="14">
                  <c:v>0</c:v>
                </c:pt>
              </c:numCache>
            </c:numRef>
          </c:val>
          <c:smooth val="1"/>
        </c:ser>
        <c:dLbls>
          <c:showLegendKey val="0"/>
          <c:showVal val="0"/>
          <c:showCatName val="0"/>
          <c:showSerName val="0"/>
          <c:showPercent val="0"/>
          <c:showBubbleSize val="0"/>
        </c:dLbls>
        <c:marker val="1"/>
        <c:smooth val="0"/>
        <c:axId val="125157760"/>
        <c:axId val="125160064"/>
      </c:lineChart>
      <c:catAx>
        <c:axId val="12515776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US"/>
                  <a:t>Carapace Length (mm)</a:t>
                </a:r>
              </a:p>
            </c:rich>
          </c:tx>
          <c:layout>
            <c:manualLayout>
              <c:xMode val="edge"/>
              <c:yMode val="edge"/>
              <c:x val="0.39493670886076865"/>
              <c:y val="0.82609095228083285"/>
            </c:manualLayout>
          </c:layout>
          <c:overlay val="0"/>
          <c:spPr>
            <a:noFill/>
            <a:ln w="25400">
              <a:noFill/>
            </a:ln>
          </c:spPr>
        </c:title>
        <c:numFmt formatCode="0" sourceLinked="1"/>
        <c:majorTickMark val="out"/>
        <c:minorTickMark val="none"/>
        <c:tickLblPos val="nextTo"/>
        <c:spPr>
          <a:ln w="25400">
            <a:solidFill>
              <a:srgbClr val="000000"/>
            </a:solidFill>
            <a:prstDash val="solid"/>
          </a:ln>
        </c:spPr>
        <c:txPr>
          <a:bodyPr rot="-2700000" vert="horz"/>
          <a:lstStyle/>
          <a:p>
            <a:pPr>
              <a:defRPr sz="800" b="1" i="0" u="none" strike="noStrike" baseline="0">
                <a:solidFill>
                  <a:srgbClr val="000000"/>
                </a:solidFill>
                <a:latin typeface="Arial"/>
                <a:ea typeface="Arial"/>
                <a:cs typeface="Arial"/>
              </a:defRPr>
            </a:pPr>
            <a:endParaRPr lang="en-US"/>
          </a:p>
        </c:txPr>
        <c:crossAx val="125160064"/>
        <c:crosses val="autoZero"/>
        <c:auto val="1"/>
        <c:lblAlgn val="ctr"/>
        <c:lblOffset val="100"/>
        <c:tickLblSkip val="2"/>
        <c:tickMarkSkip val="1"/>
        <c:noMultiLvlLbl val="0"/>
      </c:catAx>
      <c:valAx>
        <c:axId val="125160064"/>
        <c:scaling>
          <c:orientation val="minMax"/>
          <c:min val="0"/>
        </c:scaling>
        <c:delete val="0"/>
        <c:axPos val="l"/>
        <c:title>
          <c:tx>
            <c:rich>
              <a:bodyPr/>
              <a:lstStyle/>
              <a:p>
                <a:pPr>
                  <a:defRPr sz="800" b="1" i="0" u="none" strike="noStrike" baseline="0">
                    <a:solidFill>
                      <a:srgbClr val="000000"/>
                    </a:solidFill>
                    <a:latin typeface="Arial"/>
                    <a:ea typeface="Arial"/>
                    <a:cs typeface="Arial"/>
                  </a:defRPr>
                </a:pPr>
                <a:r>
                  <a:rPr lang="en-US"/>
                  <a:t>Recruits Distribution</a:t>
                </a:r>
              </a:p>
            </c:rich>
          </c:tx>
          <c:layout>
            <c:manualLayout>
              <c:xMode val="edge"/>
              <c:yMode val="edge"/>
              <c:x val="3.7974713945070612E-2"/>
              <c:y val="0.22980599235184623"/>
            </c:manualLayout>
          </c:layout>
          <c:overlay val="0"/>
          <c:spPr>
            <a:noFill/>
            <a:ln w="25400">
              <a:noFill/>
            </a:ln>
          </c:spPr>
        </c:title>
        <c:numFmt formatCode="0.00" sourceLinked="1"/>
        <c:majorTickMark val="out"/>
        <c:minorTickMark val="none"/>
        <c:tickLblPos val="nextTo"/>
        <c:spPr>
          <a:ln w="25400">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25157760"/>
        <c:crosses val="autoZero"/>
        <c:crossBetween val="between"/>
        <c:minorUnit val="0.05"/>
      </c:valAx>
      <c:spPr>
        <a:noFill/>
        <a:ln w="25400">
          <a:noFill/>
        </a:ln>
      </c:spPr>
    </c:plotArea>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96202531645861"/>
          <c:y val="0.12077351663230597"/>
          <c:w val="0.80759493670886073"/>
          <c:h val="0.53623441384743853"/>
        </c:manualLayout>
      </c:layout>
      <c:lineChart>
        <c:grouping val="standard"/>
        <c:varyColors val="0"/>
        <c:ser>
          <c:idx val="0"/>
          <c:order val="0"/>
          <c:spPr>
            <a:ln w="25400">
              <a:solidFill>
                <a:srgbClr val="000000"/>
              </a:solidFill>
              <a:prstDash val="solid"/>
            </a:ln>
          </c:spPr>
          <c:marker>
            <c:symbol val="circle"/>
            <c:size val="5"/>
            <c:spPr>
              <a:solidFill>
                <a:srgbClr val="000000"/>
              </a:solidFill>
              <a:ln>
                <a:solidFill>
                  <a:srgbClr val="000000"/>
                </a:solidFill>
                <a:prstDash val="solid"/>
              </a:ln>
            </c:spPr>
          </c:marker>
          <c:cat>
            <c:numRef>
              <c:f>Adak8512Figs!$B$22:$R$22</c:f>
              <c:numCache>
                <c:formatCode>0</c:formatCode>
                <c:ptCount val="17"/>
                <c:pt idx="0">
                  <c:v>103</c:v>
                </c:pt>
                <c:pt idx="1">
                  <c:v>108</c:v>
                </c:pt>
                <c:pt idx="2">
                  <c:v>113</c:v>
                </c:pt>
                <c:pt idx="3">
                  <c:v>118</c:v>
                </c:pt>
                <c:pt idx="4">
                  <c:v>123</c:v>
                </c:pt>
                <c:pt idx="5">
                  <c:v>128</c:v>
                </c:pt>
                <c:pt idx="6">
                  <c:v>133</c:v>
                </c:pt>
                <c:pt idx="7">
                  <c:v>138</c:v>
                </c:pt>
                <c:pt idx="8">
                  <c:v>143</c:v>
                </c:pt>
                <c:pt idx="9">
                  <c:v>148</c:v>
                </c:pt>
                <c:pt idx="10">
                  <c:v>153</c:v>
                </c:pt>
                <c:pt idx="11">
                  <c:v>158</c:v>
                </c:pt>
                <c:pt idx="12">
                  <c:v>163</c:v>
                </c:pt>
                <c:pt idx="13">
                  <c:v>168</c:v>
                </c:pt>
              </c:numCache>
            </c:numRef>
          </c:cat>
          <c:val>
            <c:numRef>
              <c:f>Adak8512Figs!$A$215:$O$215</c:f>
              <c:numCache>
                <c:formatCode>0.00</c:formatCode>
                <c:ptCount val="15"/>
                <c:pt idx="0">
                  <c:v>0</c:v>
                </c:pt>
                <c:pt idx="1">
                  <c:v>0.18296999999999999</c:v>
                </c:pt>
                <c:pt idx="2">
                  <c:v>0.24373300000000001</c:v>
                </c:pt>
                <c:pt idx="3">
                  <c:v>0.24041100000000001</c:v>
                </c:pt>
                <c:pt idx="4">
                  <c:v>0.18004999999999999</c:v>
                </c:pt>
                <c:pt idx="5">
                  <c:v>0.10467</c:v>
                </c:pt>
                <c:pt idx="6">
                  <c:v>4.8166599999999997E-2</c:v>
                </c:pt>
                <c:pt idx="7">
                  <c:v>0</c:v>
                </c:pt>
                <c:pt idx="8">
                  <c:v>0</c:v>
                </c:pt>
                <c:pt idx="9">
                  <c:v>0</c:v>
                </c:pt>
                <c:pt idx="10">
                  <c:v>0</c:v>
                </c:pt>
                <c:pt idx="11">
                  <c:v>0</c:v>
                </c:pt>
                <c:pt idx="12">
                  <c:v>0</c:v>
                </c:pt>
                <c:pt idx="13">
                  <c:v>0</c:v>
                </c:pt>
                <c:pt idx="14">
                  <c:v>0</c:v>
                </c:pt>
              </c:numCache>
            </c:numRef>
          </c:val>
          <c:smooth val="1"/>
        </c:ser>
        <c:dLbls>
          <c:showLegendKey val="0"/>
          <c:showVal val="0"/>
          <c:showCatName val="0"/>
          <c:showSerName val="0"/>
          <c:showPercent val="0"/>
          <c:showBubbleSize val="0"/>
        </c:dLbls>
        <c:marker val="1"/>
        <c:smooth val="0"/>
        <c:axId val="125179776"/>
        <c:axId val="125182336"/>
      </c:lineChart>
      <c:catAx>
        <c:axId val="12517977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US"/>
                  <a:t>Carapace Length (mm)</a:t>
                </a:r>
              </a:p>
            </c:rich>
          </c:tx>
          <c:layout>
            <c:manualLayout>
              <c:xMode val="edge"/>
              <c:yMode val="edge"/>
              <c:x val="0.39493670886076865"/>
              <c:y val="0.82609095228083285"/>
            </c:manualLayout>
          </c:layout>
          <c:overlay val="0"/>
          <c:spPr>
            <a:noFill/>
            <a:ln w="25400">
              <a:noFill/>
            </a:ln>
          </c:spPr>
        </c:title>
        <c:numFmt formatCode="0" sourceLinked="1"/>
        <c:majorTickMark val="out"/>
        <c:minorTickMark val="none"/>
        <c:tickLblPos val="nextTo"/>
        <c:spPr>
          <a:ln w="25400">
            <a:solidFill>
              <a:srgbClr val="000000"/>
            </a:solidFill>
            <a:prstDash val="solid"/>
          </a:ln>
        </c:spPr>
        <c:txPr>
          <a:bodyPr rot="-2700000" vert="horz"/>
          <a:lstStyle/>
          <a:p>
            <a:pPr>
              <a:defRPr sz="800" b="1" i="0" u="none" strike="noStrike" baseline="0">
                <a:solidFill>
                  <a:srgbClr val="000000"/>
                </a:solidFill>
                <a:latin typeface="Arial"/>
                <a:ea typeface="Arial"/>
                <a:cs typeface="Arial"/>
              </a:defRPr>
            </a:pPr>
            <a:endParaRPr lang="en-US"/>
          </a:p>
        </c:txPr>
        <c:crossAx val="125182336"/>
        <c:crosses val="autoZero"/>
        <c:auto val="1"/>
        <c:lblAlgn val="ctr"/>
        <c:lblOffset val="100"/>
        <c:tickLblSkip val="2"/>
        <c:tickMarkSkip val="1"/>
        <c:noMultiLvlLbl val="0"/>
      </c:catAx>
      <c:valAx>
        <c:axId val="125182336"/>
        <c:scaling>
          <c:orientation val="minMax"/>
          <c:min val="0"/>
        </c:scaling>
        <c:delete val="0"/>
        <c:axPos val="l"/>
        <c:title>
          <c:tx>
            <c:rich>
              <a:bodyPr/>
              <a:lstStyle/>
              <a:p>
                <a:pPr>
                  <a:defRPr sz="800" b="1" i="0" u="none" strike="noStrike" baseline="0">
                    <a:solidFill>
                      <a:srgbClr val="000000"/>
                    </a:solidFill>
                    <a:latin typeface="Arial"/>
                    <a:ea typeface="Arial"/>
                    <a:cs typeface="Arial"/>
                  </a:defRPr>
                </a:pPr>
                <a:r>
                  <a:rPr lang="en-US"/>
                  <a:t>Recruits Distribution</a:t>
                </a:r>
              </a:p>
            </c:rich>
          </c:tx>
          <c:layout>
            <c:manualLayout>
              <c:xMode val="edge"/>
              <c:yMode val="edge"/>
              <c:x val="3.7974713945070612E-2"/>
              <c:y val="0.22980599235184623"/>
            </c:manualLayout>
          </c:layout>
          <c:overlay val="0"/>
          <c:spPr>
            <a:noFill/>
            <a:ln w="25400">
              <a:noFill/>
            </a:ln>
          </c:spPr>
        </c:title>
        <c:numFmt formatCode="0.00" sourceLinked="1"/>
        <c:majorTickMark val="out"/>
        <c:minorTickMark val="none"/>
        <c:tickLblPos val="nextTo"/>
        <c:spPr>
          <a:ln w="25400">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25179776"/>
        <c:crosses val="autoZero"/>
        <c:crossBetween val="between"/>
        <c:minorUnit val="0.05"/>
      </c:valAx>
      <c:spPr>
        <a:noFill/>
        <a:ln w="25400">
          <a:noFill/>
        </a:ln>
      </c:spPr>
    </c:plotArea>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3162729658674"/>
          <c:y val="0.1388888888888889"/>
          <c:w val="0.61448162729659395"/>
          <c:h val="0.65798118985126408"/>
        </c:manualLayout>
      </c:layout>
      <c:lineChart>
        <c:grouping val="standard"/>
        <c:varyColors val="0"/>
        <c:ser>
          <c:idx val="0"/>
          <c:order val="0"/>
          <c:tx>
            <c:strRef>
              <c:f>Retrospective!$B$3</c:f>
              <c:strCache>
                <c:ptCount val="1"/>
                <c:pt idx="0">
                  <c:v>2012</c:v>
                </c:pt>
              </c:strCache>
            </c:strRef>
          </c:tx>
          <c:spPr>
            <a:ln w="19050">
              <a:solidFill>
                <a:schemeClr val="tx1"/>
              </a:solidFill>
            </a:ln>
          </c:spPr>
          <c:marker>
            <c:symbol val="none"/>
          </c:marker>
          <c:cat>
            <c:numRef>
              <c:f>Retrospective!$A$4:$A$31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Retrospective!$B$4:$B$31</c:f>
              <c:numCache>
                <c:formatCode>General</c:formatCode>
                <c:ptCount val="28"/>
                <c:pt idx="0">
                  <c:v>7093.08</c:v>
                </c:pt>
                <c:pt idx="1">
                  <c:v>5447.08</c:v>
                </c:pt>
                <c:pt idx="2">
                  <c:v>5118.88</c:v>
                </c:pt>
                <c:pt idx="3">
                  <c:v>4578.1499999999996</c:v>
                </c:pt>
                <c:pt idx="4">
                  <c:v>2860.69</c:v>
                </c:pt>
                <c:pt idx="5">
                  <c:v>2517.11</c:v>
                </c:pt>
                <c:pt idx="6">
                  <c:v>2175.25</c:v>
                </c:pt>
                <c:pt idx="7">
                  <c:v>2230.98</c:v>
                </c:pt>
                <c:pt idx="8">
                  <c:v>2921.1</c:v>
                </c:pt>
                <c:pt idx="9">
                  <c:v>2474.83</c:v>
                </c:pt>
                <c:pt idx="10">
                  <c:v>2379.29</c:v>
                </c:pt>
                <c:pt idx="11">
                  <c:v>2288.4499999999998</c:v>
                </c:pt>
                <c:pt idx="12">
                  <c:v>2358.46</c:v>
                </c:pt>
                <c:pt idx="13">
                  <c:v>2546.3200000000002</c:v>
                </c:pt>
                <c:pt idx="14">
                  <c:v>2444.56</c:v>
                </c:pt>
                <c:pt idx="15">
                  <c:v>2378.08</c:v>
                </c:pt>
                <c:pt idx="16">
                  <c:v>2499.65</c:v>
                </c:pt>
                <c:pt idx="17">
                  <c:v>2825.89</c:v>
                </c:pt>
                <c:pt idx="18">
                  <c:v>3327.32</c:v>
                </c:pt>
                <c:pt idx="19">
                  <c:v>3673.5</c:v>
                </c:pt>
                <c:pt idx="20">
                  <c:v>3920.96</c:v>
                </c:pt>
                <c:pt idx="21">
                  <c:v>4421.18</c:v>
                </c:pt>
                <c:pt idx="22">
                  <c:v>4570.46</c:v>
                </c:pt>
                <c:pt idx="23">
                  <c:v>4817.72</c:v>
                </c:pt>
                <c:pt idx="24">
                  <c:v>4767.8100000000004</c:v>
                </c:pt>
                <c:pt idx="25">
                  <c:v>4773.71</c:v>
                </c:pt>
                <c:pt idx="26">
                  <c:v>4741.7</c:v>
                </c:pt>
                <c:pt idx="27">
                  <c:v>4863.9399999999996</c:v>
                </c:pt>
              </c:numCache>
            </c:numRef>
          </c:val>
          <c:smooth val="0"/>
        </c:ser>
        <c:ser>
          <c:idx val="1"/>
          <c:order val="1"/>
          <c:tx>
            <c:strRef>
              <c:f>Retrospective!$C$3</c:f>
              <c:strCache>
                <c:ptCount val="1"/>
                <c:pt idx="0">
                  <c:v>2011</c:v>
                </c:pt>
              </c:strCache>
            </c:strRef>
          </c:tx>
          <c:spPr>
            <a:ln w="19050"/>
          </c:spPr>
          <c:marker>
            <c:symbol val="none"/>
          </c:marker>
          <c:cat>
            <c:numRef>
              <c:f>Retrospective!$A$4:$A$31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Retrospective!$C$4:$C$31</c:f>
              <c:numCache>
                <c:formatCode>General</c:formatCode>
                <c:ptCount val="28"/>
                <c:pt idx="0">
                  <c:v>6880.17</c:v>
                </c:pt>
                <c:pt idx="1">
                  <c:v>5668.61</c:v>
                </c:pt>
                <c:pt idx="2">
                  <c:v>5289.23</c:v>
                </c:pt>
                <c:pt idx="3">
                  <c:v>4689.93</c:v>
                </c:pt>
                <c:pt idx="4">
                  <c:v>2962.64</c:v>
                </c:pt>
                <c:pt idx="5">
                  <c:v>2610.8000000000002</c:v>
                </c:pt>
                <c:pt idx="6">
                  <c:v>2263.92</c:v>
                </c:pt>
                <c:pt idx="7">
                  <c:v>2333.23</c:v>
                </c:pt>
                <c:pt idx="8">
                  <c:v>3012.64</c:v>
                </c:pt>
                <c:pt idx="9">
                  <c:v>2562.02</c:v>
                </c:pt>
                <c:pt idx="10">
                  <c:v>2465.61</c:v>
                </c:pt>
                <c:pt idx="11">
                  <c:v>2384.63</c:v>
                </c:pt>
                <c:pt idx="12">
                  <c:v>2455.92</c:v>
                </c:pt>
                <c:pt idx="13">
                  <c:v>2651.03</c:v>
                </c:pt>
                <c:pt idx="14">
                  <c:v>2557.12</c:v>
                </c:pt>
                <c:pt idx="15">
                  <c:v>2506.0700000000002</c:v>
                </c:pt>
                <c:pt idx="16">
                  <c:v>2647.04</c:v>
                </c:pt>
                <c:pt idx="17">
                  <c:v>3006.85</c:v>
                </c:pt>
                <c:pt idx="18">
                  <c:v>3552.51</c:v>
                </c:pt>
                <c:pt idx="19">
                  <c:v>3928.32</c:v>
                </c:pt>
                <c:pt idx="20">
                  <c:v>4217.5600000000004</c:v>
                </c:pt>
                <c:pt idx="21">
                  <c:v>4758.05</c:v>
                </c:pt>
                <c:pt idx="22">
                  <c:v>4938.05</c:v>
                </c:pt>
                <c:pt idx="23">
                  <c:v>5227.66</c:v>
                </c:pt>
                <c:pt idx="24">
                  <c:v>5192.18</c:v>
                </c:pt>
                <c:pt idx="25">
                  <c:v>4976.1000000000004</c:v>
                </c:pt>
                <c:pt idx="26">
                  <c:v>4651.79</c:v>
                </c:pt>
              </c:numCache>
            </c:numRef>
          </c:val>
          <c:smooth val="0"/>
        </c:ser>
        <c:ser>
          <c:idx val="2"/>
          <c:order val="2"/>
          <c:tx>
            <c:strRef>
              <c:f>Retrospective!$D$3</c:f>
              <c:strCache>
                <c:ptCount val="1"/>
                <c:pt idx="0">
                  <c:v>2010</c:v>
                </c:pt>
              </c:strCache>
            </c:strRef>
          </c:tx>
          <c:spPr>
            <a:ln w="19050">
              <a:solidFill>
                <a:srgbClr val="00B0F0"/>
              </a:solidFill>
            </a:ln>
          </c:spPr>
          <c:marker>
            <c:symbol val="none"/>
          </c:marker>
          <c:cat>
            <c:numRef>
              <c:f>Retrospective!$A$4:$A$31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Retrospective!$D$4:$D$31</c:f>
              <c:numCache>
                <c:formatCode>General</c:formatCode>
                <c:ptCount val="28"/>
                <c:pt idx="0">
                  <c:v>7083.32</c:v>
                </c:pt>
                <c:pt idx="1">
                  <c:v>5497.76</c:v>
                </c:pt>
                <c:pt idx="2">
                  <c:v>4931.7299999999996</c:v>
                </c:pt>
                <c:pt idx="3">
                  <c:v>4466.09</c:v>
                </c:pt>
                <c:pt idx="4">
                  <c:v>2759.96</c:v>
                </c:pt>
                <c:pt idx="5">
                  <c:v>2426.41</c:v>
                </c:pt>
                <c:pt idx="6">
                  <c:v>2093.71</c:v>
                </c:pt>
                <c:pt idx="7">
                  <c:v>2125.17</c:v>
                </c:pt>
                <c:pt idx="8">
                  <c:v>2816.57</c:v>
                </c:pt>
                <c:pt idx="9">
                  <c:v>2375.59</c:v>
                </c:pt>
                <c:pt idx="10">
                  <c:v>2288.92</c:v>
                </c:pt>
                <c:pt idx="11">
                  <c:v>2192.4899999999998</c:v>
                </c:pt>
                <c:pt idx="12">
                  <c:v>2266.8200000000002</c:v>
                </c:pt>
                <c:pt idx="13">
                  <c:v>2461.2199999999998</c:v>
                </c:pt>
                <c:pt idx="14">
                  <c:v>2361.56</c:v>
                </c:pt>
                <c:pt idx="15">
                  <c:v>2296.1</c:v>
                </c:pt>
                <c:pt idx="16">
                  <c:v>2415.94</c:v>
                </c:pt>
                <c:pt idx="17">
                  <c:v>2737.82</c:v>
                </c:pt>
                <c:pt idx="18">
                  <c:v>3252.9</c:v>
                </c:pt>
                <c:pt idx="19">
                  <c:v>3626.1</c:v>
                </c:pt>
                <c:pt idx="20">
                  <c:v>3894.82</c:v>
                </c:pt>
                <c:pt idx="21">
                  <c:v>4411.3500000000004</c:v>
                </c:pt>
                <c:pt idx="22">
                  <c:v>4592.16</c:v>
                </c:pt>
                <c:pt idx="23">
                  <c:v>4916.04</c:v>
                </c:pt>
                <c:pt idx="24">
                  <c:v>4802.03</c:v>
                </c:pt>
                <c:pt idx="25">
                  <c:v>4367.1899999999996</c:v>
                </c:pt>
              </c:numCache>
            </c:numRef>
          </c:val>
          <c:smooth val="0"/>
        </c:ser>
        <c:ser>
          <c:idx val="3"/>
          <c:order val="3"/>
          <c:tx>
            <c:strRef>
              <c:f>Retrospective!$E$3</c:f>
              <c:strCache>
                <c:ptCount val="1"/>
                <c:pt idx="0">
                  <c:v>2009</c:v>
                </c:pt>
              </c:strCache>
            </c:strRef>
          </c:tx>
          <c:spPr>
            <a:ln w="19050">
              <a:solidFill>
                <a:srgbClr val="7030A0"/>
              </a:solidFill>
            </a:ln>
          </c:spPr>
          <c:marker>
            <c:symbol val="none"/>
          </c:marker>
          <c:cat>
            <c:numRef>
              <c:f>Retrospective!$A$4:$A$31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Retrospective!$E$4:$E$31</c:f>
              <c:numCache>
                <c:formatCode>General</c:formatCode>
                <c:ptCount val="28"/>
                <c:pt idx="0">
                  <c:v>8300.19</c:v>
                </c:pt>
                <c:pt idx="1">
                  <c:v>5738.07</c:v>
                </c:pt>
                <c:pt idx="2">
                  <c:v>5333.94</c:v>
                </c:pt>
                <c:pt idx="3">
                  <c:v>4728.82</c:v>
                </c:pt>
                <c:pt idx="4">
                  <c:v>2991.06</c:v>
                </c:pt>
                <c:pt idx="5">
                  <c:v>2637.55</c:v>
                </c:pt>
                <c:pt idx="6">
                  <c:v>2287.1799999999998</c:v>
                </c:pt>
                <c:pt idx="7">
                  <c:v>2362.3200000000002</c:v>
                </c:pt>
                <c:pt idx="8">
                  <c:v>3042.77</c:v>
                </c:pt>
                <c:pt idx="9">
                  <c:v>2586.0500000000002</c:v>
                </c:pt>
                <c:pt idx="10">
                  <c:v>2488.6799999999998</c:v>
                </c:pt>
                <c:pt idx="11">
                  <c:v>2409.87</c:v>
                </c:pt>
                <c:pt idx="12">
                  <c:v>2481.63</c:v>
                </c:pt>
                <c:pt idx="13">
                  <c:v>2676.63</c:v>
                </c:pt>
                <c:pt idx="14">
                  <c:v>2584.81</c:v>
                </c:pt>
                <c:pt idx="15">
                  <c:v>2532.96</c:v>
                </c:pt>
                <c:pt idx="16">
                  <c:v>2673.99</c:v>
                </c:pt>
                <c:pt idx="17">
                  <c:v>3026.88</c:v>
                </c:pt>
                <c:pt idx="18">
                  <c:v>3551.07</c:v>
                </c:pt>
                <c:pt idx="19">
                  <c:v>3898.45</c:v>
                </c:pt>
                <c:pt idx="20">
                  <c:v>4164.84</c:v>
                </c:pt>
                <c:pt idx="21">
                  <c:v>4707.1099999999997</c:v>
                </c:pt>
                <c:pt idx="22">
                  <c:v>4922.0600000000004</c:v>
                </c:pt>
                <c:pt idx="23">
                  <c:v>5297.26</c:v>
                </c:pt>
                <c:pt idx="24">
                  <c:v>5393.09</c:v>
                </c:pt>
              </c:numCache>
            </c:numRef>
          </c:val>
          <c:smooth val="0"/>
        </c:ser>
        <c:ser>
          <c:idx val="4"/>
          <c:order val="4"/>
          <c:tx>
            <c:strRef>
              <c:f>Retrospective!$F$3</c:f>
              <c:strCache>
                <c:ptCount val="1"/>
                <c:pt idx="0">
                  <c:v>2008</c:v>
                </c:pt>
              </c:strCache>
            </c:strRef>
          </c:tx>
          <c:spPr>
            <a:ln w="19050">
              <a:solidFill>
                <a:schemeClr val="accent3"/>
              </a:solidFill>
            </a:ln>
          </c:spPr>
          <c:marker>
            <c:symbol val="none"/>
          </c:marker>
          <c:cat>
            <c:numRef>
              <c:f>Retrospective!$A$4:$A$31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Retrospective!$F$4:$F$31</c:f>
              <c:numCache>
                <c:formatCode>General</c:formatCode>
                <c:ptCount val="28"/>
                <c:pt idx="0">
                  <c:v>8485.3799999999992</c:v>
                </c:pt>
                <c:pt idx="1">
                  <c:v>5889.53</c:v>
                </c:pt>
                <c:pt idx="2">
                  <c:v>5437.93</c:v>
                </c:pt>
                <c:pt idx="3">
                  <c:v>4812.9799999999996</c:v>
                </c:pt>
                <c:pt idx="4">
                  <c:v>3064.79</c:v>
                </c:pt>
                <c:pt idx="5">
                  <c:v>2708.79</c:v>
                </c:pt>
                <c:pt idx="6">
                  <c:v>2354.87</c:v>
                </c:pt>
                <c:pt idx="7">
                  <c:v>2440.66</c:v>
                </c:pt>
                <c:pt idx="8">
                  <c:v>3114.14</c:v>
                </c:pt>
                <c:pt idx="9">
                  <c:v>2662.18</c:v>
                </c:pt>
                <c:pt idx="10">
                  <c:v>2559.96</c:v>
                </c:pt>
                <c:pt idx="11">
                  <c:v>2485.52</c:v>
                </c:pt>
                <c:pt idx="12">
                  <c:v>2551.5300000000002</c:v>
                </c:pt>
                <c:pt idx="13">
                  <c:v>2741.8</c:v>
                </c:pt>
                <c:pt idx="14">
                  <c:v>2644.05</c:v>
                </c:pt>
                <c:pt idx="15">
                  <c:v>2590.21</c:v>
                </c:pt>
                <c:pt idx="16">
                  <c:v>2725.11</c:v>
                </c:pt>
                <c:pt idx="17">
                  <c:v>3067.11</c:v>
                </c:pt>
                <c:pt idx="18">
                  <c:v>3540.87</c:v>
                </c:pt>
                <c:pt idx="19">
                  <c:v>3803.92</c:v>
                </c:pt>
                <c:pt idx="20">
                  <c:v>3981.93</c:v>
                </c:pt>
                <c:pt idx="21">
                  <c:v>4398.03</c:v>
                </c:pt>
                <c:pt idx="22">
                  <c:v>4523.2</c:v>
                </c:pt>
                <c:pt idx="23">
                  <c:v>5101.38</c:v>
                </c:pt>
              </c:numCache>
            </c:numRef>
          </c:val>
          <c:smooth val="0"/>
        </c:ser>
        <c:dLbls>
          <c:showLegendKey val="0"/>
          <c:showVal val="0"/>
          <c:showCatName val="0"/>
          <c:showSerName val="0"/>
          <c:showPercent val="0"/>
          <c:showBubbleSize val="0"/>
        </c:dLbls>
        <c:marker val="1"/>
        <c:smooth val="0"/>
        <c:axId val="125238272"/>
        <c:axId val="98317440"/>
      </c:lineChart>
      <c:catAx>
        <c:axId val="125238272"/>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spPr>
          <a:ln w="25400">
            <a:solidFill>
              <a:schemeClr val="tx1"/>
            </a:solidFill>
          </a:ln>
        </c:spPr>
        <c:txPr>
          <a:bodyPr/>
          <a:lstStyle/>
          <a:p>
            <a:pPr>
              <a:defRPr b="1">
                <a:latin typeface="Arial" pitchFamily="34" charset="0"/>
                <a:cs typeface="Arial" pitchFamily="34" charset="0"/>
              </a:defRPr>
            </a:pPr>
            <a:endParaRPr lang="en-US"/>
          </a:p>
        </c:txPr>
        <c:crossAx val="98317440"/>
        <c:crosses val="autoZero"/>
        <c:auto val="1"/>
        <c:lblAlgn val="ctr"/>
        <c:lblOffset val="100"/>
        <c:noMultiLvlLbl val="0"/>
      </c:catAx>
      <c:valAx>
        <c:axId val="98317440"/>
        <c:scaling>
          <c:orientation val="minMax"/>
        </c:scaling>
        <c:delete val="0"/>
        <c:axPos val="l"/>
        <c:title>
          <c:tx>
            <c:rich>
              <a:bodyPr rot="-5400000" vert="horz"/>
              <a:lstStyle/>
              <a:p>
                <a:pPr>
                  <a:defRPr/>
                </a:pPr>
                <a:r>
                  <a:rPr lang="en-US"/>
                  <a:t>MMB (t)</a:t>
                </a:r>
              </a:p>
            </c:rich>
          </c:tx>
          <c:overlay val="0"/>
        </c:title>
        <c:numFmt formatCode="General" sourceLinked="1"/>
        <c:majorTickMark val="none"/>
        <c:minorTickMark val="none"/>
        <c:tickLblPos val="nextTo"/>
        <c:spPr>
          <a:ln w="25400">
            <a:solidFill>
              <a:schemeClr val="tx1"/>
            </a:solidFill>
          </a:ln>
        </c:spPr>
        <c:txPr>
          <a:bodyPr/>
          <a:lstStyle/>
          <a:p>
            <a:pPr>
              <a:defRPr b="1">
                <a:latin typeface="Arial" pitchFamily="34" charset="0"/>
                <a:cs typeface="Arial" pitchFamily="34" charset="0"/>
              </a:defRPr>
            </a:pPr>
            <a:endParaRPr lang="en-US"/>
          </a:p>
        </c:txPr>
        <c:crossAx val="125238272"/>
        <c:crosses val="autoZero"/>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15215806357538"/>
          <c:y val="5.5443294307312832E-2"/>
          <c:w val="0.50256780402449697"/>
          <c:h val="0.6985559389346"/>
        </c:manualLayout>
      </c:layout>
      <c:barChart>
        <c:barDir val="col"/>
        <c:grouping val="clustered"/>
        <c:varyColors val="0"/>
        <c:ser>
          <c:idx val="1"/>
          <c:order val="0"/>
          <c:tx>
            <c:v>1999/00-2004/05</c:v>
          </c:tx>
          <c:spPr>
            <a:solidFill>
              <a:srgbClr val="FF0000"/>
            </a:solidFill>
          </c:spPr>
          <c:invertIfNegative val="0"/>
          <c:cat>
            <c:numRef>
              <c:f>'W_of_174_potSummary-RB99_10'!$U$5:$U$44</c:f>
              <c:numCache>
                <c:formatCode>General</c:formatCode>
                <c:ptCount val="40"/>
                <c:pt idx="0">
                  <c:v>24</c:v>
                </c:pt>
                <c:pt idx="1">
                  <c:v>48</c:v>
                </c:pt>
                <c:pt idx="2">
                  <c:v>72</c:v>
                </c:pt>
                <c:pt idx="3">
                  <c:v>96</c:v>
                </c:pt>
                <c:pt idx="4">
                  <c:v>120</c:v>
                </c:pt>
                <c:pt idx="5">
                  <c:v>144</c:v>
                </c:pt>
                <c:pt idx="6">
                  <c:v>168</c:v>
                </c:pt>
                <c:pt idx="7">
                  <c:v>192</c:v>
                </c:pt>
                <c:pt idx="8">
                  <c:v>216</c:v>
                </c:pt>
                <c:pt idx="9">
                  <c:v>240</c:v>
                </c:pt>
                <c:pt idx="10">
                  <c:v>264</c:v>
                </c:pt>
                <c:pt idx="11">
                  <c:v>288</c:v>
                </c:pt>
                <c:pt idx="12">
                  <c:v>312</c:v>
                </c:pt>
                <c:pt idx="13">
                  <c:v>336</c:v>
                </c:pt>
                <c:pt idx="14">
                  <c:v>360</c:v>
                </c:pt>
                <c:pt idx="15">
                  <c:v>384</c:v>
                </c:pt>
                <c:pt idx="16">
                  <c:v>408</c:v>
                </c:pt>
                <c:pt idx="17">
                  <c:v>432</c:v>
                </c:pt>
                <c:pt idx="18">
                  <c:v>456</c:v>
                </c:pt>
                <c:pt idx="19">
                  <c:v>480</c:v>
                </c:pt>
                <c:pt idx="20">
                  <c:v>504</c:v>
                </c:pt>
                <c:pt idx="21">
                  <c:v>528</c:v>
                </c:pt>
                <c:pt idx="22">
                  <c:v>552</c:v>
                </c:pt>
                <c:pt idx="23">
                  <c:v>576</c:v>
                </c:pt>
                <c:pt idx="24">
                  <c:v>600</c:v>
                </c:pt>
                <c:pt idx="25">
                  <c:v>624</c:v>
                </c:pt>
                <c:pt idx="26">
                  <c:v>648</c:v>
                </c:pt>
                <c:pt idx="27">
                  <c:v>672</c:v>
                </c:pt>
                <c:pt idx="28">
                  <c:v>696</c:v>
                </c:pt>
                <c:pt idx="29">
                  <c:v>720</c:v>
                </c:pt>
                <c:pt idx="30">
                  <c:v>744</c:v>
                </c:pt>
                <c:pt idx="31">
                  <c:v>768</c:v>
                </c:pt>
                <c:pt idx="32">
                  <c:v>792</c:v>
                </c:pt>
                <c:pt idx="33">
                  <c:v>816</c:v>
                </c:pt>
                <c:pt idx="34">
                  <c:v>840</c:v>
                </c:pt>
                <c:pt idx="35">
                  <c:v>864</c:v>
                </c:pt>
                <c:pt idx="36">
                  <c:v>888</c:v>
                </c:pt>
                <c:pt idx="37">
                  <c:v>912</c:v>
                </c:pt>
                <c:pt idx="38">
                  <c:v>936</c:v>
                </c:pt>
                <c:pt idx="39">
                  <c:v>960</c:v>
                </c:pt>
              </c:numCache>
            </c:numRef>
          </c:cat>
          <c:val>
            <c:numRef>
              <c:f>'W_of_174_potSummary-RB99_10'!$W$5:$W$44</c:f>
              <c:numCache>
                <c:formatCode>General</c:formatCode>
                <c:ptCount val="40"/>
                <c:pt idx="0">
                  <c:v>0.62851639718181351</c:v>
                </c:pt>
                <c:pt idx="1">
                  <c:v>2.2707689188504232</c:v>
                </c:pt>
                <c:pt idx="2">
                  <c:v>6.3713315423995125</c:v>
                </c:pt>
                <c:pt idx="3">
                  <c:v>7.8260428810380684</c:v>
                </c:pt>
                <c:pt idx="4">
                  <c:v>6.3611941811546524</c:v>
                </c:pt>
                <c:pt idx="5">
                  <c:v>5.352526737290269</c:v>
                </c:pt>
                <c:pt idx="6">
                  <c:v>6.4372243904911741</c:v>
                </c:pt>
                <c:pt idx="7">
                  <c:v>6.7869633534390994</c:v>
                </c:pt>
                <c:pt idx="8">
                  <c:v>5.970905773227229</c:v>
                </c:pt>
                <c:pt idx="9">
                  <c:v>8.4697653200871805</c:v>
                </c:pt>
                <c:pt idx="10">
                  <c:v>9.1489685234932914</c:v>
                </c:pt>
                <c:pt idx="11">
                  <c:v>9.9143392974808648</c:v>
                </c:pt>
                <c:pt idx="12">
                  <c:v>7.3343808606619545</c:v>
                </c:pt>
                <c:pt idx="13">
                  <c:v>6.2953013330630094</c:v>
                </c:pt>
                <c:pt idx="14">
                  <c:v>4.0549444979471847</c:v>
                </c:pt>
                <c:pt idx="15">
                  <c:v>2.1035024583101052</c:v>
                </c:pt>
                <c:pt idx="16">
                  <c:v>1.6473212022910408</c:v>
                </c:pt>
                <c:pt idx="17">
                  <c:v>1.6371838410461761</c:v>
                </c:pt>
                <c:pt idx="18">
                  <c:v>1.3888184905469105</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ser>
        <c:ser>
          <c:idx val="2"/>
          <c:order val="1"/>
          <c:tx>
            <c:v>2005/06-2010/11</c:v>
          </c:tx>
          <c:spPr>
            <a:solidFill>
              <a:srgbClr val="0070C0"/>
            </a:solidFill>
          </c:spPr>
          <c:invertIfNegative val="0"/>
          <c:cat>
            <c:numRef>
              <c:f>'W_of_174_potSummary-RB99_10'!$U$5:$U$44</c:f>
              <c:numCache>
                <c:formatCode>General</c:formatCode>
                <c:ptCount val="40"/>
                <c:pt idx="0">
                  <c:v>24</c:v>
                </c:pt>
                <c:pt idx="1">
                  <c:v>48</c:v>
                </c:pt>
                <c:pt idx="2">
                  <c:v>72</c:v>
                </c:pt>
                <c:pt idx="3">
                  <c:v>96</c:v>
                </c:pt>
                <c:pt idx="4">
                  <c:v>120</c:v>
                </c:pt>
                <c:pt idx="5">
                  <c:v>144</c:v>
                </c:pt>
                <c:pt idx="6">
                  <c:v>168</c:v>
                </c:pt>
                <c:pt idx="7">
                  <c:v>192</c:v>
                </c:pt>
                <c:pt idx="8">
                  <c:v>216</c:v>
                </c:pt>
                <c:pt idx="9">
                  <c:v>240</c:v>
                </c:pt>
                <c:pt idx="10">
                  <c:v>264</c:v>
                </c:pt>
                <c:pt idx="11">
                  <c:v>288</c:v>
                </c:pt>
                <c:pt idx="12">
                  <c:v>312</c:v>
                </c:pt>
                <c:pt idx="13">
                  <c:v>336</c:v>
                </c:pt>
                <c:pt idx="14">
                  <c:v>360</c:v>
                </c:pt>
                <c:pt idx="15">
                  <c:v>384</c:v>
                </c:pt>
                <c:pt idx="16">
                  <c:v>408</c:v>
                </c:pt>
                <c:pt idx="17">
                  <c:v>432</c:v>
                </c:pt>
                <c:pt idx="18">
                  <c:v>456</c:v>
                </c:pt>
                <c:pt idx="19">
                  <c:v>480</c:v>
                </c:pt>
                <c:pt idx="20">
                  <c:v>504</c:v>
                </c:pt>
                <c:pt idx="21">
                  <c:v>528</c:v>
                </c:pt>
                <c:pt idx="22">
                  <c:v>552</c:v>
                </c:pt>
                <c:pt idx="23">
                  <c:v>576</c:v>
                </c:pt>
                <c:pt idx="24">
                  <c:v>600</c:v>
                </c:pt>
                <c:pt idx="25">
                  <c:v>624</c:v>
                </c:pt>
                <c:pt idx="26">
                  <c:v>648</c:v>
                </c:pt>
                <c:pt idx="27">
                  <c:v>672</c:v>
                </c:pt>
                <c:pt idx="28">
                  <c:v>696</c:v>
                </c:pt>
                <c:pt idx="29">
                  <c:v>720</c:v>
                </c:pt>
                <c:pt idx="30">
                  <c:v>744</c:v>
                </c:pt>
                <c:pt idx="31">
                  <c:v>768</c:v>
                </c:pt>
                <c:pt idx="32">
                  <c:v>792</c:v>
                </c:pt>
                <c:pt idx="33">
                  <c:v>816</c:v>
                </c:pt>
                <c:pt idx="34">
                  <c:v>840</c:v>
                </c:pt>
                <c:pt idx="35">
                  <c:v>864</c:v>
                </c:pt>
                <c:pt idx="36">
                  <c:v>888</c:v>
                </c:pt>
                <c:pt idx="37">
                  <c:v>912</c:v>
                </c:pt>
                <c:pt idx="38">
                  <c:v>936</c:v>
                </c:pt>
                <c:pt idx="39">
                  <c:v>960</c:v>
                </c:pt>
              </c:numCache>
            </c:numRef>
          </c:cat>
          <c:val>
            <c:numRef>
              <c:f>'W_of_174_potSummary-RB99_10'!$Y$5:$Y$44</c:f>
              <c:numCache>
                <c:formatCode>General</c:formatCode>
                <c:ptCount val="40"/>
                <c:pt idx="0">
                  <c:v>0</c:v>
                </c:pt>
                <c:pt idx="1">
                  <c:v>8.4573748308525043E-2</c:v>
                </c:pt>
                <c:pt idx="2">
                  <c:v>8.4573748308525043E-2</c:v>
                </c:pt>
                <c:pt idx="3">
                  <c:v>0</c:v>
                </c:pt>
                <c:pt idx="4">
                  <c:v>0</c:v>
                </c:pt>
                <c:pt idx="5">
                  <c:v>1.0317997293640038</c:v>
                </c:pt>
                <c:pt idx="6">
                  <c:v>1.2516914749661698</c:v>
                </c:pt>
                <c:pt idx="7">
                  <c:v>2.0128552097428876</c:v>
                </c:pt>
                <c:pt idx="8">
                  <c:v>2.4018944519621166</c:v>
                </c:pt>
                <c:pt idx="9">
                  <c:v>1.6407307171853838</c:v>
                </c:pt>
                <c:pt idx="10">
                  <c:v>2.2158322056833559</c:v>
                </c:pt>
                <c:pt idx="11">
                  <c:v>2.7909336941813292</c:v>
                </c:pt>
                <c:pt idx="12">
                  <c:v>3.6197564276048628</c:v>
                </c:pt>
                <c:pt idx="13">
                  <c:v>3.247631935047369</c:v>
                </c:pt>
                <c:pt idx="14">
                  <c:v>3.6366711772665772</c:v>
                </c:pt>
                <c:pt idx="15">
                  <c:v>4.8207036535859267</c:v>
                </c:pt>
                <c:pt idx="16">
                  <c:v>6.5967523680649505</c:v>
                </c:pt>
                <c:pt idx="17">
                  <c:v>5.4803788903924344</c:v>
                </c:pt>
                <c:pt idx="18">
                  <c:v>6.1738836265223274</c:v>
                </c:pt>
                <c:pt idx="19">
                  <c:v>5.3281461434370767</c:v>
                </c:pt>
                <c:pt idx="20">
                  <c:v>5.9370771312584578</c:v>
                </c:pt>
                <c:pt idx="21">
                  <c:v>4.8207036535859267</c:v>
                </c:pt>
                <c:pt idx="22">
                  <c:v>3.5351826792963466</c:v>
                </c:pt>
                <c:pt idx="23">
                  <c:v>2.8416779431664407</c:v>
                </c:pt>
                <c:pt idx="24">
                  <c:v>2.5879566982408662</c:v>
                </c:pt>
                <c:pt idx="25">
                  <c:v>1.0825439783491204</c:v>
                </c:pt>
                <c:pt idx="26">
                  <c:v>1.9959404600811907</c:v>
                </c:pt>
                <c:pt idx="27">
                  <c:v>1.5899864682002707</c:v>
                </c:pt>
                <c:pt idx="28">
                  <c:v>1.7929634641407337</c:v>
                </c:pt>
                <c:pt idx="29">
                  <c:v>1.6914749661705035</c:v>
                </c:pt>
                <c:pt idx="30">
                  <c:v>2.1650879566982408</c:v>
                </c:pt>
                <c:pt idx="31">
                  <c:v>2.0297699594045997</c:v>
                </c:pt>
                <c:pt idx="32">
                  <c:v>2.3511502029770002</c:v>
                </c:pt>
                <c:pt idx="33">
                  <c:v>2.5710419485791607</c:v>
                </c:pt>
                <c:pt idx="34">
                  <c:v>2.5372124492557453</c:v>
                </c:pt>
                <c:pt idx="35">
                  <c:v>1.8606224627875507</c:v>
                </c:pt>
                <c:pt idx="36">
                  <c:v>2.0466847090663056</c:v>
                </c:pt>
                <c:pt idx="37">
                  <c:v>1.6576454668470921</c:v>
                </c:pt>
                <c:pt idx="38">
                  <c:v>2.486468200270636</c:v>
                </c:pt>
                <c:pt idx="39">
                  <c:v>0</c:v>
                </c:pt>
              </c:numCache>
            </c:numRef>
          </c:val>
        </c:ser>
        <c:dLbls>
          <c:showLegendKey val="0"/>
          <c:showVal val="0"/>
          <c:showCatName val="0"/>
          <c:showSerName val="0"/>
          <c:showPercent val="0"/>
          <c:showBubbleSize val="0"/>
        </c:dLbls>
        <c:gapWidth val="150"/>
        <c:axId val="97986048"/>
        <c:axId val="97987968"/>
      </c:barChart>
      <c:catAx>
        <c:axId val="97986048"/>
        <c:scaling>
          <c:orientation val="minMax"/>
        </c:scaling>
        <c:delete val="0"/>
        <c:axPos val="b"/>
        <c:title>
          <c:tx>
            <c:rich>
              <a:bodyPr/>
              <a:lstStyle/>
              <a:p>
                <a:pPr>
                  <a:defRPr/>
                </a:pPr>
                <a:r>
                  <a:rPr lang="en-US"/>
                  <a:t>Soak Time (hours)</a:t>
                </a:r>
              </a:p>
            </c:rich>
          </c:tx>
          <c:overlay val="0"/>
        </c:title>
        <c:numFmt formatCode="General" sourceLinked="1"/>
        <c:majorTickMark val="none"/>
        <c:minorTickMark val="none"/>
        <c:tickLblPos val="nextTo"/>
        <c:spPr>
          <a:noFill/>
          <a:ln w="25400">
            <a:solidFill>
              <a:sysClr val="windowText" lastClr="000000"/>
            </a:solidFill>
          </a:ln>
        </c:spPr>
        <c:txPr>
          <a:bodyPr/>
          <a:lstStyle/>
          <a:p>
            <a:pPr>
              <a:defRPr b="1"/>
            </a:pPr>
            <a:endParaRPr lang="en-US"/>
          </a:p>
        </c:txPr>
        <c:crossAx val="97987968"/>
        <c:crosses val="autoZero"/>
        <c:auto val="1"/>
        <c:lblAlgn val="ctr"/>
        <c:lblOffset val="100"/>
        <c:noMultiLvlLbl val="0"/>
      </c:catAx>
      <c:valAx>
        <c:axId val="97987968"/>
        <c:scaling>
          <c:orientation val="minMax"/>
        </c:scaling>
        <c:delete val="0"/>
        <c:axPos val="l"/>
        <c:title>
          <c:tx>
            <c:rich>
              <a:bodyPr rot="-5400000" vert="horz"/>
              <a:lstStyle/>
              <a:p>
                <a:pPr>
                  <a:defRPr/>
                </a:pPr>
                <a:r>
                  <a:rPr lang="en-US"/>
                  <a:t>Relative Frequency</a:t>
                </a:r>
              </a:p>
            </c:rich>
          </c:tx>
          <c:overlay val="0"/>
        </c:title>
        <c:numFmt formatCode="General" sourceLinked="1"/>
        <c:majorTickMark val="none"/>
        <c:minorTickMark val="none"/>
        <c:tickLblPos val="nextTo"/>
        <c:spPr>
          <a:ln w="25400">
            <a:solidFill>
              <a:schemeClr val="tx1"/>
            </a:solidFill>
          </a:ln>
        </c:spPr>
        <c:txPr>
          <a:bodyPr/>
          <a:lstStyle/>
          <a:p>
            <a:pPr>
              <a:defRPr b="1"/>
            </a:pPr>
            <a:endParaRPr lang="en-US"/>
          </a:p>
        </c:txPr>
        <c:crossAx val="9798604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13147220233841"/>
          <c:y val="4.0767394641707706E-2"/>
          <c:w val="0.53723464566929169"/>
          <c:h val="0.69628088941712452"/>
        </c:manualLayout>
      </c:layout>
      <c:barChart>
        <c:barDir val="col"/>
        <c:grouping val="clustered"/>
        <c:varyColors val="0"/>
        <c:ser>
          <c:idx val="1"/>
          <c:order val="0"/>
          <c:tx>
            <c:v>1999/00-2004/05</c:v>
          </c:tx>
          <c:spPr>
            <a:solidFill>
              <a:srgbClr val="FF0000"/>
            </a:solidFill>
          </c:spPr>
          <c:invertIfNegative val="0"/>
          <c:cat>
            <c:numRef>
              <c:f>'W_of_174_potSummary-RB99_10'!$U$50:$U$69</c:f>
              <c:numCache>
                <c:formatCode>General</c:formatCode>
                <c:ptCount val="20"/>
                <c:pt idx="0">
                  <c:v>25</c:v>
                </c:pt>
                <c:pt idx="1">
                  <c:v>50</c:v>
                </c:pt>
                <c:pt idx="2">
                  <c:v>75</c:v>
                </c:pt>
                <c:pt idx="3">
                  <c:v>100</c:v>
                </c:pt>
                <c:pt idx="4">
                  <c:v>125</c:v>
                </c:pt>
                <c:pt idx="5">
                  <c:v>150</c:v>
                </c:pt>
                <c:pt idx="6">
                  <c:v>175</c:v>
                </c:pt>
                <c:pt idx="7">
                  <c:v>200</c:v>
                </c:pt>
                <c:pt idx="8">
                  <c:v>225</c:v>
                </c:pt>
                <c:pt idx="9">
                  <c:v>250</c:v>
                </c:pt>
                <c:pt idx="10">
                  <c:v>275</c:v>
                </c:pt>
                <c:pt idx="11">
                  <c:v>300</c:v>
                </c:pt>
                <c:pt idx="12">
                  <c:v>325</c:v>
                </c:pt>
                <c:pt idx="13">
                  <c:v>350</c:v>
                </c:pt>
                <c:pt idx="14">
                  <c:v>375</c:v>
                </c:pt>
                <c:pt idx="15">
                  <c:v>400</c:v>
                </c:pt>
                <c:pt idx="16">
                  <c:v>425</c:v>
                </c:pt>
                <c:pt idx="17">
                  <c:v>450</c:v>
                </c:pt>
                <c:pt idx="18">
                  <c:v>475</c:v>
                </c:pt>
                <c:pt idx="19">
                  <c:v>500</c:v>
                </c:pt>
              </c:numCache>
            </c:numRef>
          </c:cat>
          <c:val>
            <c:numRef>
              <c:f>'W_of_174_potSummary-RB99_10'!$W$50:$W$69</c:f>
              <c:numCache>
                <c:formatCode>General</c:formatCode>
                <c:ptCount val="20"/>
                <c:pt idx="0">
                  <c:v>1.5206041867301942E-2</c:v>
                </c:pt>
                <c:pt idx="1">
                  <c:v>2.0274722489736018E-2</c:v>
                </c:pt>
                <c:pt idx="2">
                  <c:v>0.5575548684677375</c:v>
                </c:pt>
                <c:pt idx="3">
                  <c:v>3.0260023315930789</c:v>
                </c:pt>
                <c:pt idx="4">
                  <c:v>6.8477875209082919</c:v>
                </c:pt>
                <c:pt idx="5">
                  <c:v>19.225505600892088</c:v>
                </c:pt>
                <c:pt idx="6">
                  <c:v>20.289928531603174</c:v>
                </c:pt>
                <c:pt idx="7">
                  <c:v>19.159612752800445</c:v>
                </c:pt>
                <c:pt idx="8">
                  <c:v>14.217649145927314</c:v>
                </c:pt>
                <c:pt idx="9">
                  <c:v>8.8904658117492499</c:v>
                </c:pt>
                <c:pt idx="10">
                  <c:v>4.0498758173247476</c:v>
                </c:pt>
                <c:pt idx="11">
                  <c:v>2.1998073901363475</c:v>
                </c:pt>
                <c:pt idx="12">
                  <c:v>0.98839272137462453</c:v>
                </c:pt>
                <c:pt idx="13">
                  <c:v>0.37001368543768187</c:v>
                </c:pt>
                <c:pt idx="14">
                  <c:v>6.5892848091641823E-2</c:v>
                </c:pt>
                <c:pt idx="15">
                  <c:v>4.0549444979471841E-2</c:v>
                </c:pt>
                <c:pt idx="16">
                  <c:v>1.0137361244868E-2</c:v>
                </c:pt>
                <c:pt idx="17">
                  <c:v>1.0137361244868E-2</c:v>
                </c:pt>
                <c:pt idx="18">
                  <c:v>1.0137361244868E-2</c:v>
                </c:pt>
                <c:pt idx="19">
                  <c:v>5.0686806224339801E-3</c:v>
                </c:pt>
              </c:numCache>
            </c:numRef>
          </c:val>
        </c:ser>
        <c:ser>
          <c:idx val="2"/>
          <c:order val="1"/>
          <c:tx>
            <c:v>2005/06-2010/11</c:v>
          </c:tx>
          <c:spPr>
            <a:solidFill>
              <a:srgbClr val="0070C0"/>
            </a:solidFill>
          </c:spPr>
          <c:invertIfNegative val="0"/>
          <c:cat>
            <c:numRef>
              <c:f>'W_of_174_potSummary-RB99_10'!$U$50:$U$69</c:f>
              <c:numCache>
                <c:formatCode>General</c:formatCode>
                <c:ptCount val="20"/>
                <c:pt idx="0">
                  <c:v>25</c:v>
                </c:pt>
                <c:pt idx="1">
                  <c:v>50</c:v>
                </c:pt>
                <c:pt idx="2">
                  <c:v>75</c:v>
                </c:pt>
                <c:pt idx="3">
                  <c:v>100</c:v>
                </c:pt>
                <c:pt idx="4">
                  <c:v>125</c:v>
                </c:pt>
                <c:pt idx="5">
                  <c:v>150</c:v>
                </c:pt>
                <c:pt idx="6">
                  <c:v>175</c:v>
                </c:pt>
                <c:pt idx="7">
                  <c:v>200</c:v>
                </c:pt>
                <c:pt idx="8">
                  <c:v>225</c:v>
                </c:pt>
                <c:pt idx="9">
                  <c:v>250</c:v>
                </c:pt>
                <c:pt idx="10">
                  <c:v>275</c:v>
                </c:pt>
                <c:pt idx="11">
                  <c:v>300</c:v>
                </c:pt>
                <c:pt idx="12">
                  <c:v>325</c:v>
                </c:pt>
                <c:pt idx="13">
                  <c:v>350</c:v>
                </c:pt>
                <c:pt idx="14">
                  <c:v>375</c:v>
                </c:pt>
                <c:pt idx="15">
                  <c:v>400</c:v>
                </c:pt>
                <c:pt idx="16">
                  <c:v>425</c:v>
                </c:pt>
                <c:pt idx="17">
                  <c:v>450</c:v>
                </c:pt>
                <c:pt idx="18">
                  <c:v>475</c:v>
                </c:pt>
                <c:pt idx="19">
                  <c:v>500</c:v>
                </c:pt>
              </c:numCache>
            </c:numRef>
          </c:cat>
          <c:val>
            <c:numRef>
              <c:f>'W_of_174_potSummary-RB99_10'!$Y$50:$Y$69</c:f>
              <c:numCache>
                <c:formatCode>General</c:formatCode>
                <c:ptCount val="20"/>
                <c:pt idx="0">
                  <c:v>0</c:v>
                </c:pt>
                <c:pt idx="1">
                  <c:v>0</c:v>
                </c:pt>
                <c:pt idx="2">
                  <c:v>5.0744248985115016E-2</c:v>
                </c:pt>
                <c:pt idx="3">
                  <c:v>1.8267929634641407</c:v>
                </c:pt>
                <c:pt idx="4">
                  <c:v>6.9181326116373478</c:v>
                </c:pt>
                <c:pt idx="5">
                  <c:v>19.468876860622462</c:v>
                </c:pt>
                <c:pt idx="6">
                  <c:v>23.325439783491152</c:v>
                </c:pt>
                <c:pt idx="7">
                  <c:v>22.69959404600813</c:v>
                </c:pt>
                <c:pt idx="8">
                  <c:v>13.988497970230044</c:v>
                </c:pt>
                <c:pt idx="9">
                  <c:v>7.5947225981055455</c:v>
                </c:pt>
                <c:pt idx="10">
                  <c:v>3.0108254397834795</c:v>
                </c:pt>
                <c:pt idx="11">
                  <c:v>0.72733423545331677</c:v>
                </c:pt>
                <c:pt idx="12">
                  <c:v>0.25372124492557513</c:v>
                </c:pt>
                <c:pt idx="13">
                  <c:v>0.10148849797023006</c:v>
                </c:pt>
                <c:pt idx="14">
                  <c:v>1.6914749661705059E-2</c:v>
                </c:pt>
                <c:pt idx="15">
                  <c:v>1.6914749661705059E-2</c:v>
                </c:pt>
                <c:pt idx="16">
                  <c:v>0</c:v>
                </c:pt>
                <c:pt idx="17">
                  <c:v>0</c:v>
                </c:pt>
                <c:pt idx="18">
                  <c:v>0</c:v>
                </c:pt>
                <c:pt idx="19">
                  <c:v>0</c:v>
                </c:pt>
              </c:numCache>
            </c:numRef>
          </c:val>
        </c:ser>
        <c:dLbls>
          <c:showLegendKey val="0"/>
          <c:showVal val="0"/>
          <c:showCatName val="0"/>
          <c:showSerName val="0"/>
          <c:showPercent val="0"/>
          <c:showBubbleSize val="0"/>
        </c:dLbls>
        <c:gapWidth val="150"/>
        <c:axId val="98018432"/>
        <c:axId val="98020352"/>
      </c:barChart>
      <c:catAx>
        <c:axId val="98018432"/>
        <c:scaling>
          <c:orientation val="minMax"/>
        </c:scaling>
        <c:delete val="0"/>
        <c:axPos val="b"/>
        <c:title>
          <c:tx>
            <c:rich>
              <a:bodyPr/>
              <a:lstStyle/>
              <a:p>
                <a:pPr>
                  <a:defRPr/>
                </a:pPr>
                <a:r>
                  <a:rPr lang="en-US"/>
                  <a:t>Depth (fathom)</a:t>
                </a:r>
              </a:p>
            </c:rich>
          </c:tx>
          <c:overlay val="0"/>
        </c:title>
        <c:numFmt formatCode="General" sourceLinked="1"/>
        <c:majorTickMark val="none"/>
        <c:minorTickMark val="none"/>
        <c:tickLblPos val="nextTo"/>
        <c:spPr>
          <a:noFill/>
          <a:ln w="25400">
            <a:solidFill>
              <a:sysClr val="windowText" lastClr="000000"/>
            </a:solidFill>
          </a:ln>
        </c:spPr>
        <c:txPr>
          <a:bodyPr/>
          <a:lstStyle/>
          <a:p>
            <a:pPr>
              <a:defRPr b="1"/>
            </a:pPr>
            <a:endParaRPr lang="en-US"/>
          </a:p>
        </c:txPr>
        <c:crossAx val="98020352"/>
        <c:crosses val="autoZero"/>
        <c:auto val="1"/>
        <c:lblAlgn val="ctr"/>
        <c:lblOffset val="100"/>
        <c:noMultiLvlLbl val="0"/>
      </c:catAx>
      <c:valAx>
        <c:axId val="98020352"/>
        <c:scaling>
          <c:orientation val="minMax"/>
        </c:scaling>
        <c:delete val="0"/>
        <c:axPos val="l"/>
        <c:title>
          <c:tx>
            <c:rich>
              <a:bodyPr rot="-5400000" vert="horz"/>
              <a:lstStyle/>
              <a:p>
                <a:pPr>
                  <a:defRPr/>
                </a:pPr>
                <a:r>
                  <a:rPr lang="en-US"/>
                  <a:t>Relative Frequency</a:t>
                </a:r>
              </a:p>
            </c:rich>
          </c:tx>
          <c:overlay val="0"/>
        </c:title>
        <c:numFmt formatCode="General" sourceLinked="1"/>
        <c:majorTickMark val="none"/>
        <c:minorTickMark val="none"/>
        <c:tickLblPos val="nextTo"/>
        <c:spPr>
          <a:ln w="25400">
            <a:solidFill>
              <a:schemeClr val="tx1"/>
            </a:solidFill>
          </a:ln>
        </c:spPr>
        <c:txPr>
          <a:bodyPr/>
          <a:lstStyle/>
          <a:p>
            <a:pPr>
              <a:defRPr b="1"/>
            </a:pPr>
            <a:endParaRPr lang="en-US"/>
          </a:p>
        </c:txPr>
        <c:crossAx val="9801843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48428522797082"/>
          <c:y val="4.1222459132906904E-2"/>
          <c:w val="0.72105257254675492"/>
          <c:h val="0.83368869936034162"/>
        </c:manualLayout>
      </c:layout>
      <c:bubbleChart>
        <c:varyColors val="0"/>
        <c:ser>
          <c:idx val="0"/>
          <c:order val="0"/>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RetBubblePlot!$B$33:$B$60</c:f>
              <c:numCache>
                <c:formatCode>General</c:formatCode>
                <c:ptCount val="28"/>
              </c:numCache>
            </c:numRef>
          </c:yVal>
          <c:bubbleSize>
            <c:numRef>
              <c:f>RetBubblePlot!$B$4:$B$31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RetBubblePlot!$C$33:$C$60</c:f>
              <c:numCache>
                <c:formatCode>General</c:formatCode>
                <c:ptCount val="28"/>
              </c:numCache>
            </c:numRef>
          </c:yVal>
          <c:bubbleSize>
            <c:numRef>
              <c:f>RetBubblePlot!$C$4:$C$31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RetBubblePlot!$D$33:$D$60</c:f>
              <c:numCache>
                <c:formatCode>General</c:formatCode>
                <c:ptCount val="28"/>
              </c:numCache>
            </c:numRef>
          </c:yVal>
          <c:bubbleSize>
            <c:numRef>
              <c:f>RetBubblePlot!$D$4:$D$31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RetBubblePlot!$E$33:$E$60</c:f>
              <c:numCache>
                <c:formatCode>General</c:formatCode>
                <c:ptCount val="28"/>
              </c:numCache>
            </c:numRef>
          </c:yVal>
          <c:bubbleSize>
            <c:numRef>
              <c:f>RetBubblePlot!$E$4:$E$31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RetBubblePlot!$F$33:$F$60</c:f>
              <c:numCache>
                <c:formatCode>General</c:formatCode>
                <c:ptCount val="28"/>
              </c:numCache>
            </c:numRef>
          </c:yVal>
          <c:bubbleSize>
            <c:numRef>
              <c:f>RetBubblePlot!$F$4:$F$31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RetBubblePlot!$G$33:$G$60</c:f>
              <c:numCache>
                <c:formatCode>General</c:formatCode>
                <c:ptCount val="28"/>
                <c:pt idx="0">
                  <c:v>128</c:v>
                </c:pt>
                <c:pt idx="1">
                  <c:v>128</c:v>
                </c:pt>
                <c:pt idx="2">
                  <c:v>128</c:v>
                </c:pt>
                <c:pt idx="3">
                  <c:v>128</c:v>
                </c:pt>
                <c:pt idx="4">
                  <c:v>128</c:v>
                </c:pt>
                <c:pt idx="5">
                  <c:v>128</c:v>
                </c:pt>
                <c:pt idx="6">
                  <c:v>128</c:v>
                </c:pt>
                <c:pt idx="7">
                  <c:v>128</c:v>
                </c:pt>
                <c:pt idx="8">
                  <c:v>128</c:v>
                </c:pt>
                <c:pt idx="9">
                  <c:v>128</c:v>
                </c:pt>
                <c:pt idx="10">
                  <c:v>128</c:v>
                </c:pt>
                <c:pt idx="11">
                  <c:v>128</c:v>
                </c:pt>
                <c:pt idx="12">
                  <c:v>128</c:v>
                </c:pt>
                <c:pt idx="13">
                  <c:v>128</c:v>
                </c:pt>
                <c:pt idx="14">
                  <c:v>128</c:v>
                </c:pt>
                <c:pt idx="15">
                  <c:v>128</c:v>
                </c:pt>
                <c:pt idx="16">
                  <c:v>128</c:v>
                </c:pt>
                <c:pt idx="17">
                  <c:v>128</c:v>
                </c:pt>
                <c:pt idx="18">
                  <c:v>128</c:v>
                </c:pt>
                <c:pt idx="19">
                  <c:v>128</c:v>
                </c:pt>
                <c:pt idx="20">
                  <c:v>128</c:v>
                </c:pt>
                <c:pt idx="21">
                  <c:v>128</c:v>
                </c:pt>
                <c:pt idx="22">
                  <c:v>128</c:v>
                </c:pt>
                <c:pt idx="23">
                  <c:v>128</c:v>
                </c:pt>
                <c:pt idx="24">
                  <c:v>128</c:v>
                </c:pt>
                <c:pt idx="25">
                  <c:v>128</c:v>
                </c:pt>
                <c:pt idx="26">
                  <c:v>128</c:v>
                </c:pt>
                <c:pt idx="27">
                  <c:v>128</c:v>
                </c:pt>
              </c:numCache>
            </c:numRef>
          </c:yVal>
          <c:bubbleSize>
            <c:numRef>
              <c:f>RetBubblePlot!$G$4:$G$31</c:f>
              <c:numCache>
                <c:formatCode>0.00E+00</c:formatCode>
                <c:ptCount val="28"/>
                <c:pt idx="0">
                  <c:v>-0.25139299999999998</c:v>
                </c:pt>
                <c:pt idx="1">
                  <c:v>-0.174146</c:v>
                </c:pt>
                <c:pt idx="2">
                  <c:v>2.3937899999999998E-3</c:v>
                </c:pt>
                <c:pt idx="3">
                  <c:v>-0.17778099999999999</c:v>
                </c:pt>
                <c:pt idx="4">
                  <c:v>7.7744300000000002E-2</c:v>
                </c:pt>
                <c:pt idx="5">
                  <c:v>-8.0517000000000005E-2</c:v>
                </c:pt>
                <c:pt idx="6">
                  <c:v>-4.5389899999999997E-2</c:v>
                </c:pt>
                <c:pt idx="7">
                  <c:v>-0.53490000000000004</c:v>
                </c:pt>
                <c:pt idx="8">
                  <c:v>-4.39412E-2</c:v>
                </c:pt>
                <c:pt idx="9">
                  <c:v>-1.4383099999999999E-2</c:v>
                </c:pt>
                <c:pt idx="10">
                  <c:v>-0.32834400000000002</c:v>
                </c:pt>
                <c:pt idx="11">
                  <c:v>0.13622899999999999</c:v>
                </c:pt>
                <c:pt idx="12">
                  <c:v>-0.128299</c:v>
                </c:pt>
                <c:pt idx="13">
                  <c:v>-0.42415399999999998</c:v>
                </c:pt>
                <c:pt idx="14">
                  <c:v>-0.25107200000000002</c:v>
                </c:pt>
                <c:pt idx="15">
                  <c:v>-0.20236999999999999</c:v>
                </c:pt>
                <c:pt idx="16">
                  <c:v>-0.21387999999999999</c:v>
                </c:pt>
                <c:pt idx="17">
                  <c:v>-0.21335699999999999</c:v>
                </c:pt>
                <c:pt idx="18">
                  <c:v>-0.24457499999999999</c:v>
                </c:pt>
                <c:pt idx="19">
                  <c:v>-0.18546299999999999</c:v>
                </c:pt>
                <c:pt idx="20">
                  <c:v>-8.8261499999999996E-3</c:v>
                </c:pt>
                <c:pt idx="21">
                  <c:v>-4.53017E-2</c:v>
                </c:pt>
                <c:pt idx="22">
                  <c:v>-5.6976400000000003E-2</c:v>
                </c:pt>
                <c:pt idx="23">
                  <c:v>-1.6506799999999999E-2</c:v>
                </c:pt>
                <c:pt idx="24">
                  <c:v>-5.8511500000000001E-2</c:v>
                </c:pt>
                <c:pt idx="25">
                  <c:v>-3.3745200000000003E-2</c:v>
                </c:pt>
                <c:pt idx="26">
                  <c:v>-4.2630500000000002E-2</c:v>
                </c:pt>
                <c:pt idx="27">
                  <c:v>6.6172799999999997E-3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RetBubblePlot!$H$33:$H$60</c:f>
              <c:numCache>
                <c:formatCode>General</c:formatCode>
                <c:ptCount val="28"/>
                <c:pt idx="0">
                  <c:v>133</c:v>
                </c:pt>
                <c:pt idx="1">
                  <c:v>133</c:v>
                </c:pt>
                <c:pt idx="2">
                  <c:v>133</c:v>
                </c:pt>
                <c:pt idx="3">
                  <c:v>133</c:v>
                </c:pt>
                <c:pt idx="4">
                  <c:v>133</c:v>
                </c:pt>
                <c:pt idx="5">
                  <c:v>133</c:v>
                </c:pt>
                <c:pt idx="6">
                  <c:v>133</c:v>
                </c:pt>
                <c:pt idx="7">
                  <c:v>133</c:v>
                </c:pt>
                <c:pt idx="8">
                  <c:v>133</c:v>
                </c:pt>
                <c:pt idx="9">
                  <c:v>133</c:v>
                </c:pt>
                <c:pt idx="10">
                  <c:v>133</c:v>
                </c:pt>
                <c:pt idx="11">
                  <c:v>133</c:v>
                </c:pt>
                <c:pt idx="12">
                  <c:v>133</c:v>
                </c:pt>
                <c:pt idx="13">
                  <c:v>133</c:v>
                </c:pt>
                <c:pt idx="14">
                  <c:v>133</c:v>
                </c:pt>
                <c:pt idx="15">
                  <c:v>133</c:v>
                </c:pt>
                <c:pt idx="16">
                  <c:v>133</c:v>
                </c:pt>
                <c:pt idx="17">
                  <c:v>133</c:v>
                </c:pt>
                <c:pt idx="18">
                  <c:v>133</c:v>
                </c:pt>
                <c:pt idx="19">
                  <c:v>133</c:v>
                </c:pt>
                <c:pt idx="20">
                  <c:v>133</c:v>
                </c:pt>
                <c:pt idx="21">
                  <c:v>133</c:v>
                </c:pt>
                <c:pt idx="22">
                  <c:v>133</c:v>
                </c:pt>
                <c:pt idx="23">
                  <c:v>133</c:v>
                </c:pt>
                <c:pt idx="24">
                  <c:v>133</c:v>
                </c:pt>
                <c:pt idx="25">
                  <c:v>133</c:v>
                </c:pt>
                <c:pt idx="26">
                  <c:v>133</c:v>
                </c:pt>
                <c:pt idx="27">
                  <c:v>133</c:v>
                </c:pt>
              </c:numCache>
            </c:numRef>
          </c:yVal>
          <c:bubbleSize>
            <c:numRef>
              <c:f>RetBubblePlot!$H$4:$H$31</c:f>
              <c:numCache>
                <c:formatCode>0.00E+00</c:formatCode>
                <c:ptCount val="28"/>
                <c:pt idx="0">
                  <c:v>-8.1079300000000007E-2</c:v>
                </c:pt>
                <c:pt idx="1">
                  <c:v>8.0586500000000005E-2</c:v>
                </c:pt>
                <c:pt idx="2">
                  <c:v>0.35284599999999999</c:v>
                </c:pt>
                <c:pt idx="3">
                  <c:v>-0.24501600000000001</c:v>
                </c:pt>
                <c:pt idx="4">
                  <c:v>1.2552099999999999</c:v>
                </c:pt>
                <c:pt idx="5">
                  <c:v>0.661412</c:v>
                </c:pt>
                <c:pt idx="6">
                  <c:v>0.74033800000000005</c:v>
                </c:pt>
                <c:pt idx="7">
                  <c:v>-0.22387899999999999</c:v>
                </c:pt>
                <c:pt idx="8">
                  <c:v>-0.38072699999999998</c:v>
                </c:pt>
                <c:pt idx="9">
                  <c:v>0.131519</c:v>
                </c:pt>
                <c:pt idx="10">
                  <c:v>-8.3873699999999995E-2</c:v>
                </c:pt>
                <c:pt idx="11">
                  <c:v>0.215644</c:v>
                </c:pt>
                <c:pt idx="12">
                  <c:v>0.14127799999999999</c:v>
                </c:pt>
                <c:pt idx="13">
                  <c:v>-0.186639</c:v>
                </c:pt>
                <c:pt idx="14">
                  <c:v>-0.14757799999999999</c:v>
                </c:pt>
                <c:pt idx="15">
                  <c:v>-0.43129099999999998</c:v>
                </c:pt>
                <c:pt idx="16">
                  <c:v>-0.257855</c:v>
                </c:pt>
                <c:pt idx="17">
                  <c:v>-0.15082000000000001</c:v>
                </c:pt>
                <c:pt idx="18">
                  <c:v>-0.58212600000000003</c:v>
                </c:pt>
                <c:pt idx="19">
                  <c:v>-0.12466000000000001</c:v>
                </c:pt>
                <c:pt idx="20">
                  <c:v>0.12781000000000001</c:v>
                </c:pt>
                <c:pt idx="21">
                  <c:v>3.2408600000000003E-2</c:v>
                </c:pt>
                <c:pt idx="22">
                  <c:v>0.18193500000000001</c:v>
                </c:pt>
                <c:pt idx="23">
                  <c:v>-4.9703799999999999E-2</c:v>
                </c:pt>
                <c:pt idx="24">
                  <c:v>-7.31512E-2</c:v>
                </c:pt>
                <c:pt idx="25">
                  <c:v>6.1539700000000003E-2</c:v>
                </c:pt>
                <c:pt idx="26">
                  <c:v>-0.208705</c:v>
                </c:pt>
                <c:pt idx="27">
                  <c:v>4.9106900000000002E-2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RetBubblePlot!$I$33:$I$60</c:f>
              <c:numCache>
                <c:formatCode>General</c:formatCode>
                <c:ptCount val="28"/>
                <c:pt idx="0">
                  <c:v>138</c:v>
                </c:pt>
                <c:pt idx="1">
                  <c:v>138</c:v>
                </c:pt>
                <c:pt idx="2">
                  <c:v>138</c:v>
                </c:pt>
                <c:pt idx="3">
                  <c:v>138</c:v>
                </c:pt>
                <c:pt idx="4">
                  <c:v>138</c:v>
                </c:pt>
                <c:pt idx="5">
                  <c:v>138</c:v>
                </c:pt>
                <c:pt idx="6">
                  <c:v>138</c:v>
                </c:pt>
                <c:pt idx="7">
                  <c:v>138</c:v>
                </c:pt>
                <c:pt idx="8">
                  <c:v>138</c:v>
                </c:pt>
                <c:pt idx="9">
                  <c:v>138</c:v>
                </c:pt>
                <c:pt idx="10">
                  <c:v>138</c:v>
                </c:pt>
                <c:pt idx="11">
                  <c:v>138</c:v>
                </c:pt>
                <c:pt idx="12">
                  <c:v>138</c:v>
                </c:pt>
                <c:pt idx="13">
                  <c:v>138</c:v>
                </c:pt>
                <c:pt idx="14">
                  <c:v>138</c:v>
                </c:pt>
                <c:pt idx="15">
                  <c:v>138</c:v>
                </c:pt>
                <c:pt idx="16">
                  <c:v>138</c:v>
                </c:pt>
                <c:pt idx="17">
                  <c:v>138</c:v>
                </c:pt>
                <c:pt idx="18">
                  <c:v>138</c:v>
                </c:pt>
                <c:pt idx="19">
                  <c:v>138</c:v>
                </c:pt>
                <c:pt idx="20">
                  <c:v>138</c:v>
                </c:pt>
                <c:pt idx="21">
                  <c:v>138</c:v>
                </c:pt>
                <c:pt idx="22">
                  <c:v>138</c:v>
                </c:pt>
                <c:pt idx="23">
                  <c:v>138</c:v>
                </c:pt>
                <c:pt idx="24">
                  <c:v>138</c:v>
                </c:pt>
                <c:pt idx="25">
                  <c:v>138</c:v>
                </c:pt>
                <c:pt idx="26">
                  <c:v>138</c:v>
                </c:pt>
                <c:pt idx="27">
                  <c:v>138</c:v>
                </c:pt>
              </c:numCache>
            </c:numRef>
          </c:yVal>
          <c:bubbleSize>
            <c:numRef>
              <c:f>RetBubblePlot!$I$4:$I$31</c:f>
              <c:numCache>
                <c:formatCode>0.00E+00</c:formatCode>
                <c:ptCount val="28"/>
                <c:pt idx="0">
                  <c:v>-0.13145699999999999</c:v>
                </c:pt>
                <c:pt idx="1">
                  <c:v>-0.12536700000000001</c:v>
                </c:pt>
                <c:pt idx="2">
                  <c:v>-0.104894</c:v>
                </c:pt>
                <c:pt idx="3">
                  <c:v>-0.180122</c:v>
                </c:pt>
                <c:pt idx="4">
                  <c:v>0.207848</c:v>
                </c:pt>
                <c:pt idx="5">
                  <c:v>-1.5660899999999998E-2</c:v>
                </c:pt>
                <c:pt idx="6">
                  <c:v>0.39101200000000003</c:v>
                </c:pt>
                <c:pt idx="7">
                  <c:v>-0.87984399999999996</c:v>
                </c:pt>
                <c:pt idx="8">
                  <c:v>-0.60844200000000004</c:v>
                </c:pt>
                <c:pt idx="9">
                  <c:v>-2.1886200000000001E-4</c:v>
                </c:pt>
                <c:pt idx="10">
                  <c:v>-0.16206300000000001</c:v>
                </c:pt>
                <c:pt idx="11">
                  <c:v>-0.63327999999999995</c:v>
                </c:pt>
                <c:pt idx="12">
                  <c:v>-0.32293100000000002</c:v>
                </c:pt>
                <c:pt idx="13">
                  <c:v>-0.264627</c:v>
                </c:pt>
                <c:pt idx="14">
                  <c:v>-8.0508200000000002E-2</c:v>
                </c:pt>
                <c:pt idx="15">
                  <c:v>-0.122228</c:v>
                </c:pt>
                <c:pt idx="16">
                  <c:v>-0.21959799999999999</c:v>
                </c:pt>
                <c:pt idx="17">
                  <c:v>-8.5522600000000004E-2</c:v>
                </c:pt>
                <c:pt idx="18">
                  <c:v>-0.38010899999999997</c:v>
                </c:pt>
                <c:pt idx="19">
                  <c:v>-0.43488900000000003</c:v>
                </c:pt>
                <c:pt idx="20">
                  <c:v>0.37745200000000001</c:v>
                </c:pt>
                <c:pt idx="21">
                  <c:v>5.0952000000000003E-5</c:v>
                </c:pt>
                <c:pt idx="22">
                  <c:v>0.224995</c:v>
                </c:pt>
                <c:pt idx="23">
                  <c:v>0.157722</c:v>
                </c:pt>
                <c:pt idx="24">
                  <c:v>-9.0215500000000004E-2</c:v>
                </c:pt>
                <c:pt idx="25">
                  <c:v>0.25799699999999998</c:v>
                </c:pt>
                <c:pt idx="26">
                  <c:v>-0.11573600000000001</c:v>
                </c:pt>
                <c:pt idx="27">
                  <c:v>0.12933800000000001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RetBubblePlot!$J$33:$J$60</c:f>
              <c:numCache>
                <c:formatCode>General</c:formatCode>
                <c:ptCount val="28"/>
                <c:pt idx="0">
                  <c:v>143</c:v>
                </c:pt>
                <c:pt idx="1">
                  <c:v>143</c:v>
                </c:pt>
                <c:pt idx="2">
                  <c:v>143</c:v>
                </c:pt>
                <c:pt idx="3">
                  <c:v>143</c:v>
                </c:pt>
                <c:pt idx="4">
                  <c:v>143</c:v>
                </c:pt>
                <c:pt idx="5">
                  <c:v>143</c:v>
                </c:pt>
                <c:pt idx="6">
                  <c:v>143</c:v>
                </c:pt>
                <c:pt idx="7">
                  <c:v>143</c:v>
                </c:pt>
                <c:pt idx="8">
                  <c:v>143</c:v>
                </c:pt>
                <c:pt idx="9">
                  <c:v>143</c:v>
                </c:pt>
                <c:pt idx="10">
                  <c:v>143</c:v>
                </c:pt>
                <c:pt idx="11">
                  <c:v>143</c:v>
                </c:pt>
                <c:pt idx="12">
                  <c:v>143</c:v>
                </c:pt>
                <c:pt idx="13">
                  <c:v>143</c:v>
                </c:pt>
                <c:pt idx="14">
                  <c:v>143</c:v>
                </c:pt>
                <c:pt idx="15">
                  <c:v>143</c:v>
                </c:pt>
                <c:pt idx="16">
                  <c:v>143</c:v>
                </c:pt>
                <c:pt idx="17">
                  <c:v>143</c:v>
                </c:pt>
                <c:pt idx="18">
                  <c:v>143</c:v>
                </c:pt>
                <c:pt idx="19">
                  <c:v>143</c:v>
                </c:pt>
                <c:pt idx="20">
                  <c:v>143</c:v>
                </c:pt>
                <c:pt idx="21">
                  <c:v>143</c:v>
                </c:pt>
                <c:pt idx="22">
                  <c:v>143</c:v>
                </c:pt>
                <c:pt idx="23">
                  <c:v>143</c:v>
                </c:pt>
                <c:pt idx="24">
                  <c:v>143</c:v>
                </c:pt>
                <c:pt idx="25">
                  <c:v>143</c:v>
                </c:pt>
                <c:pt idx="26">
                  <c:v>143</c:v>
                </c:pt>
                <c:pt idx="27">
                  <c:v>143</c:v>
                </c:pt>
              </c:numCache>
            </c:numRef>
          </c:yVal>
          <c:bubbleSize>
            <c:numRef>
              <c:f>RetBubblePlot!$J$4:$J$31</c:f>
              <c:numCache>
                <c:formatCode>0.00E+00</c:formatCode>
                <c:ptCount val="28"/>
                <c:pt idx="0">
                  <c:v>-6.9085999999999995E-2</c:v>
                </c:pt>
                <c:pt idx="1">
                  <c:v>-0.228154</c:v>
                </c:pt>
                <c:pt idx="2">
                  <c:v>0.32281900000000002</c:v>
                </c:pt>
                <c:pt idx="3">
                  <c:v>0.19181999999999999</c:v>
                </c:pt>
                <c:pt idx="4">
                  <c:v>-0.78066500000000005</c:v>
                </c:pt>
                <c:pt idx="5">
                  <c:v>-0.32308500000000001</c:v>
                </c:pt>
                <c:pt idx="6">
                  <c:v>-6.14566E-2</c:v>
                </c:pt>
                <c:pt idx="7">
                  <c:v>0.23263400000000001</c:v>
                </c:pt>
                <c:pt idx="8">
                  <c:v>-0.28684999999999999</c:v>
                </c:pt>
                <c:pt idx="9">
                  <c:v>-5.9545500000000001E-2</c:v>
                </c:pt>
                <c:pt idx="10">
                  <c:v>0.29425299999999999</c:v>
                </c:pt>
                <c:pt idx="11">
                  <c:v>-0.35621999999999998</c:v>
                </c:pt>
                <c:pt idx="12">
                  <c:v>-0.196882</c:v>
                </c:pt>
                <c:pt idx="13">
                  <c:v>-8.3354200000000003E-2</c:v>
                </c:pt>
                <c:pt idx="14">
                  <c:v>0.11794399999999999</c:v>
                </c:pt>
                <c:pt idx="15">
                  <c:v>5.1845500000000003E-2</c:v>
                </c:pt>
                <c:pt idx="16">
                  <c:v>0.34665499999999999</c:v>
                </c:pt>
                <c:pt idx="17">
                  <c:v>0.13056699999999999</c:v>
                </c:pt>
                <c:pt idx="18">
                  <c:v>-1.6169099999999999E-2</c:v>
                </c:pt>
                <c:pt idx="19">
                  <c:v>0.130805</c:v>
                </c:pt>
                <c:pt idx="20">
                  <c:v>0.15077399999999999</c:v>
                </c:pt>
                <c:pt idx="21">
                  <c:v>0.13462399999999999</c:v>
                </c:pt>
                <c:pt idx="22">
                  <c:v>4.5976000000000003E-2</c:v>
                </c:pt>
                <c:pt idx="23">
                  <c:v>0.14421</c:v>
                </c:pt>
                <c:pt idx="24">
                  <c:v>-3.3503199999999997E-2</c:v>
                </c:pt>
                <c:pt idx="25">
                  <c:v>-5.4375999999999999E-3</c:v>
                </c:pt>
                <c:pt idx="26">
                  <c:v>-0.17441799999999999</c:v>
                </c:pt>
                <c:pt idx="27">
                  <c:v>2.5315399999999998E-2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RetBubblePlot!$K$33:$K$60</c:f>
              <c:numCache>
                <c:formatCode>General</c:formatCode>
                <c:ptCount val="28"/>
                <c:pt idx="0">
                  <c:v>148</c:v>
                </c:pt>
                <c:pt idx="1">
                  <c:v>148</c:v>
                </c:pt>
                <c:pt idx="2">
                  <c:v>148</c:v>
                </c:pt>
                <c:pt idx="3">
                  <c:v>148</c:v>
                </c:pt>
                <c:pt idx="4">
                  <c:v>148</c:v>
                </c:pt>
                <c:pt idx="5">
                  <c:v>148</c:v>
                </c:pt>
                <c:pt idx="6">
                  <c:v>148</c:v>
                </c:pt>
                <c:pt idx="7">
                  <c:v>148</c:v>
                </c:pt>
                <c:pt idx="8">
                  <c:v>148</c:v>
                </c:pt>
                <c:pt idx="9">
                  <c:v>148</c:v>
                </c:pt>
                <c:pt idx="10">
                  <c:v>148</c:v>
                </c:pt>
                <c:pt idx="11">
                  <c:v>148</c:v>
                </c:pt>
                <c:pt idx="12">
                  <c:v>148</c:v>
                </c:pt>
                <c:pt idx="13">
                  <c:v>148</c:v>
                </c:pt>
                <c:pt idx="14">
                  <c:v>148</c:v>
                </c:pt>
                <c:pt idx="15">
                  <c:v>148</c:v>
                </c:pt>
                <c:pt idx="16">
                  <c:v>148</c:v>
                </c:pt>
                <c:pt idx="17">
                  <c:v>148</c:v>
                </c:pt>
                <c:pt idx="18">
                  <c:v>148</c:v>
                </c:pt>
                <c:pt idx="19">
                  <c:v>148</c:v>
                </c:pt>
                <c:pt idx="20">
                  <c:v>148</c:v>
                </c:pt>
                <c:pt idx="21">
                  <c:v>148</c:v>
                </c:pt>
                <c:pt idx="22">
                  <c:v>148</c:v>
                </c:pt>
                <c:pt idx="23">
                  <c:v>148</c:v>
                </c:pt>
                <c:pt idx="24">
                  <c:v>148</c:v>
                </c:pt>
                <c:pt idx="25">
                  <c:v>148</c:v>
                </c:pt>
                <c:pt idx="26">
                  <c:v>148</c:v>
                </c:pt>
                <c:pt idx="27">
                  <c:v>148</c:v>
                </c:pt>
              </c:numCache>
            </c:numRef>
          </c:yVal>
          <c:bubbleSize>
            <c:numRef>
              <c:f>RetBubblePlot!$K$4:$K$31</c:f>
              <c:numCache>
                <c:formatCode>0.00E+00</c:formatCode>
                <c:ptCount val="28"/>
                <c:pt idx="0">
                  <c:v>-2.6666699999999999E-3</c:v>
                </c:pt>
                <c:pt idx="1">
                  <c:v>0.38319599999999998</c:v>
                </c:pt>
                <c:pt idx="2">
                  <c:v>-2.9918400000000001E-2</c:v>
                </c:pt>
                <c:pt idx="3">
                  <c:v>-0.151675</c:v>
                </c:pt>
                <c:pt idx="4">
                  <c:v>-0.47013300000000002</c:v>
                </c:pt>
                <c:pt idx="5">
                  <c:v>-0.22164200000000001</c:v>
                </c:pt>
                <c:pt idx="6">
                  <c:v>-5.2667100000000001E-2</c:v>
                </c:pt>
                <c:pt idx="7">
                  <c:v>0.541134</c:v>
                </c:pt>
                <c:pt idx="8">
                  <c:v>0.347051</c:v>
                </c:pt>
                <c:pt idx="9">
                  <c:v>0.13791300000000001</c:v>
                </c:pt>
                <c:pt idx="10">
                  <c:v>0.240033</c:v>
                </c:pt>
                <c:pt idx="11">
                  <c:v>0.123235</c:v>
                </c:pt>
                <c:pt idx="12">
                  <c:v>-0.12696199999999999</c:v>
                </c:pt>
                <c:pt idx="13">
                  <c:v>0.10474899999999999</c:v>
                </c:pt>
                <c:pt idx="14">
                  <c:v>6.9168499999999994E-2</c:v>
                </c:pt>
                <c:pt idx="15">
                  <c:v>2.2484000000000001E-2</c:v>
                </c:pt>
                <c:pt idx="16">
                  <c:v>0.21510799999999999</c:v>
                </c:pt>
                <c:pt idx="17">
                  <c:v>0.34132600000000002</c:v>
                </c:pt>
                <c:pt idx="18">
                  <c:v>0.38883299999999998</c:v>
                </c:pt>
                <c:pt idx="19">
                  <c:v>0.396818</c:v>
                </c:pt>
                <c:pt idx="20">
                  <c:v>9.0990500000000002E-2</c:v>
                </c:pt>
                <c:pt idx="21">
                  <c:v>3.2629900000000003E-2</c:v>
                </c:pt>
                <c:pt idx="22">
                  <c:v>1.62407E-2</c:v>
                </c:pt>
                <c:pt idx="23">
                  <c:v>-0.221576</c:v>
                </c:pt>
                <c:pt idx="24">
                  <c:v>0.12078700000000001</c:v>
                </c:pt>
                <c:pt idx="25">
                  <c:v>-3.7250199999999997E-2</c:v>
                </c:pt>
                <c:pt idx="26">
                  <c:v>0.128021</c:v>
                </c:pt>
                <c:pt idx="27">
                  <c:v>2.9718499999999998E-2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RetBubblePlot!$L$33:$L$60</c:f>
              <c:numCache>
                <c:formatCode>General</c:formatCode>
                <c:ptCount val="28"/>
                <c:pt idx="0">
                  <c:v>153</c:v>
                </c:pt>
                <c:pt idx="1">
                  <c:v>153</c:v>
                </c:pt>
                <c:pt idx="2">
                  <c:v>153</c:v>
                </c:pt>
                <c:pt idx="3">
                  <c:v>153</c:v>
                </c:pt>
                <c:pt idx="4">
                  <c:v>153</c:v>
                </c:pt>
                <c:pt idx="5">
                  <c:v>153</c:v>
                </c:pt>
                <c:pt idx="6">
                  <c:v>153</c:v>
                </c:pt>
                <c:pt idx="7">
                  <c:v>153</c:v>
                </c:pt>
                <c:pt idx="8">
                  <c:v>153</c:v>
                </c:pt>
                <c:pt idx="9">
                  <c:v>153</c:v>
                </c:pt>
                <c:pt idx="10">
                  <c:v>153</c:v>
                </c:pt>
                <c:pt idx="11">
                  <c:v>153</c:v>
                </c:pt>
                <c:pt idx="12">
                  <c:v>153</c:v>
                </c:pt>
                <c:pt idx="13">
                  <c:v>153</c:v>
                </c:pt>
                <c:pt idx="14">
                  <c:v>153</c:v>
                </c:pt>
                <c:pt idx="15">
                  <c:v>153</c:v>
                </c:pt>
                <c:pt idx="16">
                  <c:v>153</c:v>
                </c:pt>
                <c:pt idx="17">
                  <c:v>153</c:v>
                </c:pt>
                <c:pt idx="18">
                  <c:v>153</c:v>
                </c:pt>
                <c:pt idx="19">
                  <c:v>153</c:v>
                </c:pt>
                <c:pt idx="20">
                  <c:v>153</c:v>
                </c:pt>
                <c:pt idx="21">
                  <c:v>153</c:v>
                </c:pt>
                <c:pt idx="22">
                  <c:v>153</c:v>
                </c:pt>
                <c:pt idx="23">
                  <c:v>153</c:v>
                </c:pt>
                <c:pt idx="24">
                  <c:v>153</c:v>
                </c:pt>
                <c:pt idx="25">
                  <c:v>153</c:v>
                </c:pt>
                <c:pt idx="26">
                  <c:v>153</c:v>
                </c:pt>
                <c:pt idx="27">
                  <c:v>153</c:v>
                </c:pt>
              </c:numCache>
            </c:numRef>
          </c:yVal>
          <c:bubbleSize>
            <c:numRef>
              <c:f>RetBubblePlot!$L$4:$L$31</c:f>
              <c:numCache>
                <c:formatCode>0.00E+00</c:formatCode>
                <c:ptCount val="28"/>
                <c:pt idx="0">
                  <c:v>3.1355599999999997E-2</c:v>
                </c:pt>
                <c:pt idx="1">
                  <c:v>0.110828</c:v>
                </c:pt>
                <c:pt idx="2">
                  <c:v>-6.9451799999999994E-2</c:v>
                </c:pt>
                <c:pt idx="3">
                  <c:v>0.20372799999999999</c:v>
                </c:pt>
                <c:pt idx="4">
                  <c:v>-0.29228900000000002</c:v>
                </c:pt>
                <c:pt idx="5">
                  <c:v>0.35866100000000001</c:v>
                </c:pt>
                <c:pt idx="6">
                  <c:v>-0.64708100000000002</c:v>
                </c:pt>
                <c:pt idx="7">
                  <c:v>0.14160700000000001</c:v>
                </c:pt>
                <c:pt idx="8">
                  <c:v>0.47910199999999997</c:v>
                </c:pt>
                <c:pt idx="9">
                  <c:v>-0.47850700000000002</c:v>
                </c:pt>
                <c:pt idx="10">
                  <c:v>-0.53504200000000002</c:v>
                </c:pt>
                <c:pt idx="11">
                  <c:v>0.22753699999999999</c:v>
                </c:pt>
                <c:pt idx="12">
                  <c:v>8.2143300000000002E-2</c:v>
                </c:pt>
                <c:pt idx="13">
                  <c:v>4.7083699999999999E-2</c:v>
                </c:pt>
                <c:pt idx="14">
                  <c:v>-3.1456900000000003E-2</c:v>
                </c:pt>
                <c:pt idx="15">
                  <c:v>5.8369200000000003E-2</c:v>
                </c:pt>
                <c:pt idx="16">
                  <c:v>8.2007999999999998E-2</c:v>
                </c:pt>
                <c:pt idx="17">
                  <c:v>6.4319699999999994E-2</c:v>
                </c:pt>
                <c:pt idx="18">
                  <c:v>0.21306600000000001</c:v>
                </c:pt>
                <c:pt idx="19">
                  <c:v>0.22067999999999999</c:v>
                </c:pt>
                <c:pt idx="20">
                  <c:v>9.3593800000000005E-3</c:v>
                </c:pt>
                <c:pt idx="21">
                  <c:v>4.5446800000000002E-2</c:v>
                </c:pt>
                <c:pt idx="22">
                  <c:v>0.18310899999999999</c:v>
                </c:pt>
                <c:pt idx="23">
                  <c:v>5.6199100000000002E-2</c:v>
                </c:pt>
                <c:pt idx="24">
                  <c:v>0.155333</c:v>
                </c:pt>
                <c:pt idx="25">
                  <c:v>-1.39136E-2</c:v>
                </c:pt>
                <c:pt idx="26">
                  <c:v>0.16029299999999999</c:v>
                </c:pt>
                <c:pt idx="27">
                  <c:v>-0.14829100000000001</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RetBubblePlot!$M$33:$M$60</c:f>
              <c:numCache>
                <c:formatCode>General</c:formatCode>
                <c:ptCount val="28"/>
                <c:pt idx="0">
                  <c:v>158</c:v>
                </c:pt>
                <c:pt idx="1">
                  <c:v>158</c:v>
                </c:pt>
                <c:pt idx="2">
                  <c:v>158</c:v>
                </c:pt>
                <c:pt idx="3">
                  <c:v>158</c:v>
                </c:pt>
                <c:pt idx="4">
                  <c:v>158</c:v>
                </c:pt>
                <c:pt idx="5">
                  <c:v>158</c:v>
                </c:pt>
                <c:pt idx="6">
                  <c:v>158</c:v>
                </c:pt>
                <c:pt idx="7">
                  <c:v>158</c:v>
                </c:pt>
                <c:pt idx="8">
                  <c:v>158</c:v>
                </c:pt>
                <c:pt idx="9">
                  <c:v>158</c:v>
                </c:pt>
                <c:pt idx="10">
                  <c:v>158</c:v>
                </c:pt>
                <c:pt idx="11">
                  <c:v>158</c:v>
                </c:pt>
                <c:pt idx="12">
                  <c:v>158</c:v>
                </c:pt>
                <c:pt idx="13">
                  <c:v>158</c:v>
                </c:pt>
                <c:pt idx="14">
                  <c:v>158</c:v>
                </c:pt>
                <c:pt idx="15">
                  <c:v>158</c:v>
                </c:pt>
                <c:pt idx="16">
                  <c:v>158</c:v>
                </c:pt>
                <c:pt idx="17">
                  <c:v>158</c:v>
                </c:pt>
                <c:pt idx="18">
                  <c:v>158</c:v>
                </c:pt>
                <c:pt idx="19">
                  <c:v>158</c:v>
                </c:pt>
                <c:pt idx="20">
                  <c:v>158</c:v>
                </c:pt>
                <c:pt idx="21">
                  <c:v>158</c:v>
                </c:pt>
                <c:pt idx="22">
                  <c:v>158</c:v>
                </c:pt>
                <c:pt idx="23">
                  <c:v>158</c:v>
                </c:pt>
                <c:pt idx="24">
                  <c:v>158</c:v>
                </c:pt>
                <c:pt idx="25">
                  <c:v>158</c:v>
                </c:pt>
                <c:pt idx="26">
                  <c:v>158</c:v>
                </c:pt>
                <c:pt idx="27">
                  <c:v>158</c:v>
                </c:pt>
              </c:numCache>
            </c:numRef>
          </c:yVal>
          <c:bubbleSize>
            <c:numRef>
              <c:f>RetBubblePlot!$M$4:$M$31</c:f>
              <c:numCache>
                <c:formatCode>0.00E+00</c:formatCode>
                <c:ptCount val="28"/>
                <c:pt idx="0">
                  <c:v>7.7017699999999994E-2</c:v>
                </c:pt>
                <c:pt idx="1">
                  <c:v>7.1630700000000005E-2</c:v>
                </c:pt>
                <c:pt idx="2">
                  <c:v>-0.16817299999999999</c:v>
                </c:pt>
                <c:pt idx="3">
                  <c:v>0.37962200000000001</c:v>
                </c:pt>
                <c:pt idx="4">
                  <c:v>-0.40961700000000001</c:v>
                </c:pt>
                <c:pt idx="5">
                  <c:v>0.50500400000000001</c:v>
                </c:pt>
                <c:pt idx="6">
                  <c:v>-0.33637899999999998</c:v>
                </c:pt>
                <c:pt idx="7">
                  <c:v>5.6842299999999998E-2</c:v>
                </c:pt>
                <c:pt idx="8">
                  <c:v>0.26305600000000001</c:v>
                </c:pt>
                <c:pt idx="9">
                  <c:v>3.9830299999999999E-2</c:v>
                </c:pt>
                <c:pt idx="10">
                  <c:v>-0.48185</c:v>
                </c:pt>
                <c:pt idx="11">
                  <c:v>4.61149E-2</c:v>
                </c:pt>
                <c:pt idx="12">
                  <c:v>0.22281200000000001</c:v>
                </c:pt>
                <c:pt idx="13">
                  <c:v>3.92623E-2</c:v>
                </c:pt>
                <c:pt idx="14">
                  <c:v>-9.3564099999999997E-2</c:v>
                </c:pt>
                <c:pt idx="15">
                  <c:v>6.3296900000000003E-2</c:v>
                </c:pt>
                <c:pt idx="16">
                  <c:v>-0.204955</c:v>
                </c:pt>
                <c:pt idx="17">
                  <c:v>-0.15915799999999999</c:v>
                </c:pt>
                <c:pt idx="18">
                  <c:v>0.239264</c:v>
                </c:pt>
                <c:pt idx="19">
                  <c:v>0.106007</c:v>
                </c:pt>
                <c:pt idx="20">
                  <c:v>-7.5361200000000003E-3</c:v>
                </c:pt>
                <c:pt idx="21">
                  <c:v>0.129778</c:v>
                </c:pt>
                <c:pt idx="22">
                  <c:v>-2.15213E-2</c:v>
                </c:pt>
                <c:pt idx="23">
                  <c:v>0.13211500000000001</c:v>
                </c:pt>
                <c:pt idx="24">
                  <c:v>7.2588299999999994E-2</c:v>
                </c:pt>
                <c:pt idx="25">
                  <c:v>1.8378499999999999E-2</c:v>
                </c:pt>
                <c:pt idx="26">
                  <c:v>-4.9389599999999999E-2</c:v>
                </c:pt>
                <c:pt idx="27">
                  <c:v>-6.4044299999999998E-2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RetBubblePlot!$N$33:$N$60</c:f>
              <c:numCache>
                <c:formatCode>General</c:formatCode>
                <c:ptCount val="28"/>
                <c:pt idx="0">
                  <c:v>163</c:v>
                </c:pt>
                <c:pt idx="1">
                  <c:v>163</c:v>
                </c:pt>
                <c:pt idx="2">
                  <c:v>163</c:v>
                </c:pt>
                <c:pt idx="3">
                  <c:v>163</c:v>
                </c:pt>
                <c:pt idx="4">
                  <c:v>163</c:v>
                </c:pt>
                <c:pt idx="5">
                  <c:v>163</c:v>
                </c:pt>
                <c:pt idx="6">
                  <c:v>163</c:v>
                </c:pt>
                <c:pt idx="7">
                  <c:v>163</c:v>
                </c:pt>
                <c:pt idx="8">
                  <c:v>163</c:v>
                </c:pt>
                <c:pt idx="9">
                  <c:v>163</c:v>
                </c:pt>
                <c:pt idx="10">
                  <c:v>163</c:v>
                </c:pt>
                <c:pt idx="11">
                  <c:v>163</c:v>
                </c:pt>
                <c:pt idx="12">
                  <c:v>163</c:v>
                </c:pt>
                <c:pt idx="13">
                  <c:v>163</c:v>
                </c:pt>
                <c:pt idx="14">
                  <c:v>163</c:v>
                </c:pt>
                <c:pt idx="15">
                  <c:v>163</c:v>
                </c:pt>
                <c:pt idx="16">
                  <c:v>163</c:v>
                </c:pt>
                <c:pt idx="17">
                  <c:v>163</c:v>
                </c:pt>
                <c:pt idx="18">
                  <c:v>163</c:v>
                </c:pt>
                <c:pt idx="19">
                  <c:v>163</c:v>
                </c:pt>
                <c:pt idx="20">
                  <c:v>163</c:v>
                </c:pt>
                <c:pt idx="21">
                  <c:v>163</c:v>
                </c:pt>
                <c:pt idx="22">
                  <c:v>163</c:v>
                </c:pt>
                <c:pt idx="23">
                  <c:v>163</c:v>
                </c:pt>
                <c:pt idx="24">
                  <c:v>163</c:v>
                </c:pt>
                <c:pt idx="25">
                  <c:v>163</c:v>
                </c:pt>
                <c:pt idx="26">
                  <c:v>163</c:v>
                </c:pt>
                <c:pt idx="27">
                  <c:v>163</c:v>
                </c:pt>
              </c:numCache>
            </c:numRef>
          </c:yVal>
          <c:bubbleSize>
            <c:numRef>
              <c:f>RetBubblePlot!$N$4:$N$31</c:f>
              <c:numCache>
                <c:formatCode>0.00E+00</c:formatCode>
                <c:ptCount val="28"/>
                <c:pt idx="0">
                  <c:v>9.4285900000000006E-2</c:v>
                </c:pt>
                <c:pt idx="1">
                  <c:v>-9.5039899999999997E-2</c:v>
                </c:pt>
                <c:pt idx="2">
                  <c:v>-0.228243</c:v>
                </c:pt>
                <c:pt idx="3">
                  <c:v>-0.137126</c:v>
                </c:pt>
                <c:pt idx="4">
                  <c:v>-0.229217</c:v>
                </c:pt>
                <c:pt idx="5">
                  <c:v>0.105499</c:v>
                </c:pt>
                <c:pt idx="6">
                  <c:v>0.17643200000000001</c:v>
                </c:pt>
                <c:pt idx="7">
                  <c:v>0.140454</c:v>
                </c:pt>
                <c:pt idx="8">
                  <c:v>0.30326900000000001</c:v>
                </c:pt>
                <c:pt idx="9">
                  <c:v>0.16382099999999999</c:v>
                </c:pt>
                <c:pt idx="10">
                  <c:v>0.11611399999999999</c:v>
                </c:pt>
                <c:pt idx="11">
                  <c:v>-4.68984E-2</c:v>
                </c:pt>
                <c:pt idx="12">
                  <c:v>0.21559300000000001</c:v>
                </c:pt>
                <c:pt idx="13">
                  <c:v>0.15501300000000001</c:v>
                </c:pt>
                <c:pt idx="14">
                  <c:v>2.8382000000000001E-2</c:v>
                </c:pt>
                <c:pt idx="15">
                  <c:v>0.141017</c:v>
                </c:pt>
                <c:pt idx="16">
                  <c:v>-0.14191599999999999</c:v>
                </c:pt>
                <c:pt idx="17">
                  <c:v>-0.217197</c:v>
                </c:pt>
                <c:pt idx="18">
                  <c:v>-0.153866</c:v>
                </c:pt>
                <c:pt idx="19">
                  <c:v>-0.121991</c:v>
                </c:pt>
                <c:pt idx="20">
                  <c:v>-0.35154200000000002</c:v>
                </c:pt>
                <c:pt idx="21">
                  <c:v>-4.4691099999999997E-2</c:v>
                </c:pt>
                <c:pt idx="22">
                  <c:v>-0.16903099999999999</c:v>
                </c:pt>
                <c:pt idx="23">
                  <c:v>-2.3069699999999999E-2</c:v>
                </c:pt>
                <c:pt idx="24">
                  <c:v>8.1198000000000006E-2</c:v>
                </c:pt>
                <c:pt idx="25">
                  <c:v>-0.114814</c:v>
                </c:pt>
                <c:pt idx="26">
                  <c:v>0.19764599999999999</c:v>
                </c:pt>
                <c:pt idx="27">
                  <c:v>6.4772700000000002E-2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RetBubblePlot!$O$33:$O$60</c:f>
              <c:numCache>
                <c:formatCode>General</c:formatCode>
                <c:ptCount val="28"/>
                <c:pt idx="0">
                  <c:v>168</c:v>
                </c:pt>
                <c:pt idx="1">
                  <c:v>168</c:v>
                </c:pt>
                <c:pt idx="2">
                  <c:v>168</c:v>
                </c:pt>
                <c:pt idx="3">
                  <c:v>168</c:v>
                </c:pt>
                <c:pt idx="4">
                  <c:v>168</c:v>
                </c:pt>
                <c:pt idx="5">
                  <c:v>168</c:v>
                </c:pt>
                <c:pt idx="6">
                  <c:v>168</c:v>
                </c:pt>
                <c:pt idx="7">
                  <c:v>168</c:v>
                </c:pt>
                <c:pt idx="8">
                  <c:v>168</c:v>
                </c:pt>
                <c:pt idx="9">
                  <c:v>168</c:v>
                </c:pt>
                <c:pt idx="10">
                  <c:v>168</c:v>
                </c:pt>
                <c:pt idx="11">
                  <c:v>168</c:v>
                </c:pt>
                <c:pt idx="12">
                  <c:v>168</c:v>
                </c:pt>
                <c:pt idx="13">
                  <c:v>168</c:v>
                </c:pt>
                <c:pt idx="14">
                  <c:v>168</c:v>
                </c:pt>
                <c:pt idx="15">
                  <c:v>168</c:v>
                </c:pt>
                <c:pt idx="16">
                  <c:v>168</c:v>
                </c:pt>
                <c:pt idx="17">
                  <c:v>168</c:v>
                </c:pt>
                <c:pt idx="18">
                  <c:v>168</c:v>
                </c:pt>
                <c:pt idx="19">
                  <c:v>168</c:v>
                </c:pt>
                <c:pt idx="20">
                  <c:v>168</c:v>
                </c:pt>
                <c:pt idx="21">
                  <c:v>168</c:v>
                </c:pt>
                <c:pt idx="22">
                  <c:v>168</c:v>
                </c:pt>
                <c:pt idx="23">
                  <c:v>168</c:v>
                </c:pt>
                <c:pt idx="24">
                  <c:v>168</c:v>
                </c:pt>
                <c:pt idx="25">
                  <c:v>168</c:v>
                </c:pt>
                <c:pt idx="26">
                  <c:v>168</c:v>
                </c:pt>
                <c:pt idx="27">
                  <c:v>168</c:v>
                </c:pt>
              </c:numCache>
            </c:numRef>
          </c:yVal>
          <c:bubbleSize>
            <c:numRef>
              <c:f>RetBubblePlot!$O$4:$O$31</c:f>
              <c:numCache>
                <c:formatCode>0.00E+00</c:formatCode>
                <c:ptCount val="28"/>
                <c:pt idx="0">
                  <c:v>0.110356</c:v>
                </c:pt>
                <c:pt idx="1">
                  <c:v>-0.189418</c:v>
                </c:pt>
                <c:pt idx="2">
                  <c:v>-0.23272799999999999</c:v>
                </c:pt>
                <c:pt idx="3">
                  <c:v>-0.14974199999999999</c:v>
                </c:pt>
                <c:pt idx="4">
                  <c:v>0.72816899999999996</c:v>
                </c:pt>
                <c:pt idx="5">
                  <c:v>-1.14262</c:v>
                </c:pt>
                <c:pt idx="6">
                  <c:v>-0.147064</c:v>
                </c:pt>
                <c:pt idx="7">
                  <c:v>0.28931899999999999</c:v>
                </c:pt>
                <c:pt idx="8">
                  <c:v>0.27435599999999999</c:v>
                </c:pt>
                <c:pt idx="9">
                  <c:v>0.24693100000000001</c:v>
                </c:pt>
                <c:pt idx="10">
                  <c:v>0.78187600000000002</c:v>
                </c:pt>
                <c:pt idx="11">
                  <c:v>0.59349200000000002</c:v>
                </c:pt>
                <c:pt idx="12">
                  <c:v>0.455872</c:v>
                </c:pt>
                <c:pt idx="13">
                  <c:v>0.53364199999999995</c:v>
                </c:pt>
                <c:pt idx="14">
                  <c:v>0.222215</c:v>
                </c:pt>
                <c:pt idx="15">
                  <c:v>0.24510499999999999</c:v>
                </c:pt>
                <c:pt idx="16">
                  <c:v>-7.8705899999999995E-2</c:v>
                </c:pt>
                <c:pt idx="17">
                  <c:v>-0.16429099999999999</c:v>
                </c:pt>
                <c:pt idx="18">
                  <c:v>-9.5593499999999998E-2</c:v>
                </c:pt>
                <c:pt idx="19">
                  <c:v>-0.48656199999999999</c:v>
                </c:pt>
                <c:pt idx="20">
                  <c:v>-0.57934399999999997</c:v>
                </c:pt>
                <c:pt idx="21">
                  <c:v>-0.37969399999999998</c:v>
                </c:pt>
                <c:pt idx="22">
                  <c:v>-0.44398599999999999</c:v>
                </c:pt>
                <c:pt idx="23">
                  <c:v>-0.22121299999999999</c:v>
                </c:pt>
                <c:pt idx="24">
                  <c:v>-0.32828400000000002</c:v>
                </c:pt>
                <c:pt idx="25">
                  <c:v>-0.13650699999999999</c:v>
                </c:pt>
                <c:pt idx="26">
                  <c:v>-0.105434</c:v>
                </c:pt>
                <c:pt idx="27">
                  <c:v>-2.24268E-2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RetBubblePlot!$P$33:$P$60</c:f>
              <c:numCache>
                <c:formatCode>General</c:formatCode>
                <c:ptCount val="28"/>
              </c:numCache>
            </c:numRef>
          </c:yVal>
          <c:bubbleSize>
            <c:numRef>
              <c:f>RetBubblePlot!$P$4:$P$31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RetBubblePlot!$Q$33:$Q$60</c:f>
              <c:numCache>
                <c:formatCode>General</c:formatCode>
                <c:ptCount val="28"/>
              </c:numCache>
            </c:numRef>
          </c:yVal>
          <c:bubbleSize>
            <c:numRef>
              <c:f>RetBubblePlot!$Q$4:$Q$31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6"/>
          <c:order val="16"/>
          <c:tx>
            <c:v>Series 17</c:v>
          </c:tx>
          <c:spPr>
            <a:solidFill>
              <a:schemeClr val="tx1"/>
            </a:solidFill>
          </c:spPr>
          <c:invertIfNegative val="0"/>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RetBubblePlot!$R$33:$R$60</c:f>
              <c:numCache>
                <c:formatCode>General</c:formatCode>
                <c:ptCount val="28"/>
              </c:numCache>
            </c:numRef>
          </c:yVal>
          <c:bubbleSize>
            <c:numRef>
              <c:f>RetBubblePlot!$R$4:$R$31</c:f>
              <c:numCache>
                <c:formatCode>General</c:formatCode>
                <c:ptCount val="28"/>
              </c:numCache>
            </c:numRef>
          </c:bubbleSize>
          <c:bubble3D val="0"/>
        </c:ser>
        <c:dLbls>
          <c:showLegendKey val="0"/>
          <c:showVal val="0"/>
          <c:showCatName val="0"/>
          <c:showSerName val="0"/>
          <c:showPercent val="0"/>
          <c:showBubbleSize val="0"/>
        </c:dLbls>
        <c:bubbleScale val="20"/>
        <c:showNegBubbles val="1"/>
        <c:axId val="98273152"/>
        <c:axId val="98287616"/>
      </c:bubbleChart>
      <c:valAx>
        <c:axId val="98273152"/>
        <c:scaling>
          <c:orientation val="minMax"/>
          <c:max val="2013"/>
          <c:min val="1984"/>
        </c:scaling>
        <c:delete val="0"/>
        <c:axPos val="b"/>
        <c:title>
          <c:tx>
            <c:rich>
              <a:bodyPr/>
              <a:lstStyle/>
              <a:p>
                <a:pPr>
                  <a:defRPr sz="1200" b="1" i="0" u="none" strike="noStrike" baseline="0">
                    <a:solidFill>
                      <a:srgbClr val="000000"/>
                    </a:solidFill>
                    <a:latin typeface="Arial"/>
                    <a:ea typeface="Arial"/>
                    <a:cs typeface="Arial"/>
                  </a:defRPr>
                </a:pPr>
                <a:r>
                  <a:rPr lang="en-US" b="1"/>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98287616"/>
        <c:crosses val="autoZero"/>
        <c:crossBetween val="midCat"/>
      </c:valAx>
      <c:valAx>
        <c:axId val="98287616"/>
        <c:scaling>
          <c:orientation val="minMax"/>
          <c:max val="173"/>
          <c:min val="123"/>
        </c:scaling>
        <c:delete val="0"/>
        <c:axPos val="l"/>
        <c:title>
          <c:tx>
            <c:rich>
              <a:bodyPr/>
              <a:lstStyle/>
              <a:p>
                <a:pPr>
                  <a:defRPr sz="1200" b="1" i="0" u="none" strike="noStrike" baseline="0">
                    <a:solidFill>
                      <a:srgbClr val="000000"/>
                    </a:solidFill>
                    <a:latin typeface="Arial"/>
                    <a:ea typeface="Arial"/>
                    <a:cs typeface="Arial"/>
                  </a:defRPr>
                </a:pPr>
                <a:r>
                  <a:rPr lang="en-US" b="1"/>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98273152"/>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682502553289626"/>
          <c:y val="4.1222459132906904E-2"/>
          <c:w val="0.75534472939836494"/>
          <c:h val="0.83368869936034162"/>
        </c:manualLayout>
      </c:layout>
      <c:bubbleChart>
        <c:varyColors val="0"/>
        <c:ser>
          <c:idx val="0"/>
          <c:order val="0"/>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RetBubblePlot!$B$33:$B$60</c:f>
              <c:numCache>
                <c:formatCode>General</c:formatCode>
                <c:ptCount val="28"/>
              </c:numCache>
            </c:numRef>
          </c:yVal>
          <c:bubbleSize>
            <c:numRef>
              <c:f>RetBubblePlot!$B$4:$B$31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RetBubblePlot!$C$33:$C$60</c:f>
              <c:numCache>
                <c:formatCode>General</c:formatCode>
                <c:ptCount val="28"/>
              </c:numCache>
            </c:numRef>
          </c:yVal>
          <c:bubbleSize>
            <c:numRef>
              <c:f>RetBubblePlot!$C$4:$C$31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RetBubblePlot!$D$33:$D$60</c:f>
              <c:numCache>
                <c:formatCode>General</c:formatCode>
                <c:ptCount val="28"/>
              </c:numCache>
            </c:numRef>
          </c:yVal>
          <c:bubbleSize>
            <c:numRef>
              <c:f>RetBubblePlot!$D$4:$D$31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RetBubblePlot!$E$33:$E$60</c:f>
              <c:numCache>
                <c:formatCode>General</c:formatCode>
                <c:ptCount val="28"/>
              </c:numCache>
            </c:numRef>
          </c:yVal>
          <c:bubbleSize>
            <c:numRef>
              <c:f>RetBubblePlot!$E$4:$E$31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RetBubblePlot!$F$33:$F$60</c:f>
              <c:numCache>
                <c:formatCode>General</c:formatCode>
                <c:ptCount val="28"/>
              </c:numCache>
            </c:numRef>
          </c:yVal>
          <c:bubbleSize>
            <c:numRef>
              <c:f>RetBubblePlot!$F$4:$F$31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RetBubblePlot!$G$33:$G$60</c:f>
              <c:numCache>
                <c:formatCode>General</c:formatCode>
                <c:ptCount val="28"/>
                <c:pt idx="0">
                  <c:v>128</c:v>
                </c:pt>
                <c:pt idx="1">
                  <c:v>128</c:v>
                </c:pt>
                <c:pt idx="2">
                  <c:v>128</c:v>
                </c:pt>
                <c:pt idx="3">
                  <c:v>128</c:v>
                </c:pt>
                <c:pt idx="4">
                  <c:v>128</c:v>
                </c:pt>
                <c:pt idx="5">
                  <c:v>128</c:v>
                </c:pt>
                <c:pt idx="6">
                  <c:v>128</c:v>
                </c:pt>
                <c:pt idx="7">
                  <c:v>128</c:v>
                </c:pt>
                <c:pt idx="8">
                  <c:v>128</c:v>
                </c:pt>
                <c:pt idx="9">
                  <c:v>128</c:v>
                </c:pt>
                <c:pt idx="10">
                  <c:v>128</c:v>
                </c:pt>
                <c:pt idx="11">
                  <c:v>128</c:v>
                </c:pt>
                <c:pt idx="12">
                  <c:v>128</c:v>
                </c:pt>
                <c:pt idx="13">
                  <c:v>128</c:v>
                </c:pt>
                <c:pt idx="14">
                  <c:v>128</c:v>
                </c:pt>
                <c:pt idx="15">
                  <c:v>128</c:v>
                </c:pt>
                <c:pt idx="16">
                  <c:v>128</c:v>
                </c:pt>
                <c:pt idx="17">
                  <c:v>128</c:v>
                </c:pt>
                <c:pt idx="18">
                  <c:v>128</c:v>
                </c:pt>
                <c:pt idx="19">
                  <c:v>128</c:v>
                </c:pt>
                <c:pt idx="20">
                  <c:v>128</c:v>
                </c:pt>
                <c:pt idx="21">
                  <c:v>128</c:v>
                </c:pt>
                <c:pt idx="22">
                  <c:v>128</c:v>
                </c:pt>
                <c:pt idx="23">
                  <c:v>128</c:v>
                </c:pt>
                <c:pt idx="24">
                  <c:v>128</c:v>
                </c:pt>
                <c:pt idx="25">
                  <c:v>128</c:v>
                </c:pt>
                <c:pt idx="26">
                  <c:v>128</c:v>
                </c:pt>
                <c:pt idx="27">
                  <c:v>128</c:v>
                </c:pt>
              </c:numCache>
            </c:numRef>
          </c:yVal>
          <c:bubbleSize>
            <c:numRef>
              <c:f>RetBubblePlot!$G$4:$G$31</c:f>
              <c:numCache>
                <c:formatCode>0.00E+00</c:formatCode>
                <c:ptCount val="28"/>
                <c:pt idx="0">
                  <c:v>7.1595400000000003E-2</c:v>
                </c:pt>
                <c:pt idx="1">
                  <c:v>-0.169709</c:v>
                </c:pt>
                <c:pt idx="2">
                  <c:v>9.5788999999999996E-3</c:v>
                </c:pt>
                <c:pt idx="3">
                  <c:v>0.119035</c:v>
                </c:pt>
                <c:pt idx="4">
                  <c:v>7.55487E-3</c:v>
                </c:pt>
                <c:pt idx="5">
                  <c:v>0.103135</c:v>
                </c:pt>
                <c:pt idx="6">
                  <c:v>2.26552E-2</c:v>
                </c:pt>
                <c:pt idx="7">
                  <c:v>-0.31642799999999999</c:v>
                </c:pt>
                <c:pt idx="8">
                  <c:v>-4.6395699999999998E-2</c:v>
                </c:pt>
                <c:pt idx="9">
                  <c:v>6.3545199999999996E-2</c:v>
                </c:pt>
                <c:pt idx="10">
                  <c:v>-0.27706799999999998</c:v>
                </c:pt>
                <c:pt idx="11">
                  <c:v>0.19375000000000001</c:v>
                </c:pt>
                <c:pt idx="12">
                  <c:v>-2.8258499999999999E-2</c:v>
                </c:pt>
                <c:pt idx="13">
                  <c:v>-0.31172699999999998</c:v>
                </c:pt>
                <c:pt idx="14">
                  <c:v>-0.15845899999999999</c:v>
                </c:pt>
                <c:pt idx="15">
                  <c:v>-0.14318700000000001</c:v>
                </c:pt>
                <c:pt idx="16">
                  <c:v>-0.137631</c:v>
                </c:pt>
                <c:pt idx="17">
                  <c:v>-0.15115300000000001</c:v>
                </c:pt>
                <c:pt idx="18">
                  <c:v>-0.19062699999999999</c:v>
                </c:pt>
                <c:pt idx="19">
                  <c:v>-0.15044399999999999</c:v>
                </c:pt>
                <c:pt idx="20">
                  <c:v>5.7378099999999999E-4</c:v>
                </c:pt>
                <c:pt idx="21">
                  <c:v>-3.5288899999999998E-2</c:v>
                </c:pt>
                <c:pt idx="22">
                  <c:v>-4.7574999999999999E-2</c:v>
                </c:pt>
                <c:pt idx="23">
                  <c:v>-6.3182999999999998E-3</c:v>
                </c:pt>
                <c:pt idx="24">
                  <c:v>-4.72478E-2</c:v>
                </c:pt>
                <c:pt idx="25">
                  <c:v>-3.1924500000000001E-2</c:v>
                </c:pt>
                <c:pt idx="26">
                  <c:v>-3.8521199999999998E-2</c:v>
                </c:pt>
                <c:pt idx="27">
                  <c:v>9.1163200000000007E-3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RetBubblePlot!$H$33:$H$60</c:f>
              <c:numCache>
                <c:formatCode>General</c:formatCode>
                <c:ptCount val="28"/>
                <c:pt idx="0">
                  <c:v>133</c:v>
                </c:pt>
                <c:pt idx="1">
                  <c:v>133</c:v>
                </c:pt>
                <c:pt idx="2">
                  <c:v>133</c:v>
                </c:pt>
                <c:pt idx="3">
                  <c:v>133</c:v>
                </c:pt>
                <c:pt idx="4">
                  <c:v>133</c:v>
                </c:pt>
                <c:pt idx="5">
                  <c:v>133</c:v>
                </c:pt>
                <c:pt idx="6">
                  <c:v>133</c:v>
                </c:pt>
                <c:pt idx="7">
                  <c:v>133</c:v>
                </c:pt>
                <c:pt idx="8">
                  <c:v>133</c:v>
                </c:pt>
                <c:pt idx="9">
                  <c:v>133</c:v>
                </c:pt>
                <c:pt idx="10">
                  <c:v>133</c:v>
                </c:pt>
                <c:pt idx="11">
                  <c:v>133</c:v>
                </c:pt>
                <c:pt idx="12">
                  <c:v>133</c:v>
                </c:pt>
                <c:pt idx="13">
                  <c:v>133</c:v>
                </c:pt>
                <c:pt idx="14">
                  <c:v>133</c:v>
                </c:pt>
                <c:pt idx="15">
                  <c:v>133</c:v>
                </c:pt>
                <c:pt idx="16">
                  <c:v>133</c:v>
                </c:pt>
                <c:pt idx="17">
                  <c:v>133</c:v>
                </c:pt>
                <c:pt idx="18">
                  <c:v>133</c:v>
                </c:pt>
                <c:pt idx="19">
                  <c:v>133</c:v>
                </c:pt>
                <c:pt idx="20">
                  <c:v>133</c:v>
                </c:pt>
                <c:pt idx="21">
                  <c:v>133</c:v>
                </c:pt>
                <c:pt idx="22">
                  <c:v>133</c:v>
                </c:pt>
                <c:pt idx="23">
                  <c:v>133</c:v>
                </c:pt>
                <c:pt idx="24">
                  <c:v>133</c:v>
                </c:pt>
                <c:pt idx="25">
                  <c:v>133</c:v>
                </c:pt>
                <c:pt idx="26">
                  <c:v>133</c:v>
                </c:pt>
                <c:pt idx="27">
                  <c:v>133</c:v>
                </c:pt>
              </c:numCache>
            </c:numRef>
          </c:yVal>
          <c:bubbleSize>
            <c:numRef>
              <c:f>RetBubblePlot!$H$4:$H$31</c:f>
              <c:numCache>
                <c:formatCode>0.00E+00</c:formatCode>
                <c:ptCount val="28"/>
                <c:pt idx="0">
                  <c:v>-0.464306</c:v>
                </c:pt>
                <c:pt idx="1">
                  <c:v>-0.25401699999999999</c:v>
                </c:pt>
                <c:pt idx="2">
                  <c:v>0.35654799999999998</c:v>
                </c:pt>
                <c:pt idx="3">
                  <c:v>0.38600699999999999</c:v>
                </c:pt>
                <c:pt idx="4">
                  <c:v>0.78923299999999996</c:v>
                </c:pt>
                <c:pt idx="5">
                  <c:v>0.82589199999999996</c:v>
                </c:pt>
                <c:pt idx="6">
                  <c:v>0.52247200000000005</c:v>
                </c:pt>
                <c:pt idx="7">
                  <c:v>-0.41040100000000002</c:v>
                </c:pt>
                <c:pt idx="8">
                  <c:v>-0.57015499999999997</c:v>
                </c:pt>
                <c:pt idx="9">
                  <c:v>0.186588</c:v>
                </c:pt>
                <c:pt idx="10">
                  <c:v>-0.35064200000000001</c:v>
                </c:pt>
                <c:pt idx="11">
                  <c:v>0.18302599999999999</c:v>
                </c:pt>
                <c:pt idx="12">
                  <c:v>6.7782599999999998E-2</c:v>
                </c:pt>
                <c:pt idx="13">
                  <c:v>-0.25268000000000002</c:v>
                </c:pt>
                <c:pt idx="14">
                  <c:v>-0.121419</c:v>
                </c:pt>
                <c:pt idx="15">
                  <c:v>-0.48252</c:v>
                </c:pt>
                <c:pt idx="16">
                  <c:v>-0.29209200000000002</c:v>
                </c:pt>
                <c:pt idx="17">
                  <c:v>-0.10652499999999999</c:v>
                </c:pt>
                <c:pt idx="18">
                  <c:v>-0.709789</c:v>
                </c:pt>
                <c:pt idx="19">
                  <c:v>-0.12106600000000001</c:v>
                </c:pt>
                <c:pt idx="20">
                  <c:v>0.145042</c:v>
                </c:pt>
                <c:pt idx="21">
                  <c:v>4.9155799999999999E-2</c:v>
                </c:pt>
                <c:pt idx="22">
                  <c:v>0.204536</c:v>
                </c:pt>
                <c:pt idx="23">
                  <c:v>-2.48122E-2</c:v>
                </c:pt>
                <c:pt idx="24">
                  <c:v>-4.2286799999999999E-2</c:v>
                </c:pt>
                <c:pt idx="25">
                  <c:v>4.4866900000000001E-2</c:v>
                </c:pt>
                <c:pt idx="26">
                  <c:v>-0.21041199999999999</c:v>
                </c:pt>
                <c:pt idx="27">
                  <c:v>4.7186400000000003E-2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RetBubblePlot!$I$33:$I$60</c:f>
              <c:numCache>
                <c:formatCode>General</c:formatCode>
                <c:ptCount val="28"/>
                <c:pt idx="0">
                  <c:v>138</c:v>
                </c:pt>
                <c:pt idx="1">
                  <c:v>138</c:v>
                </c:pt>
                <c:pt idx="2">
                  <c:v>138</c:v>
                </c:pt>
                <c:pt idx="3">
                  <c:v>138</c:v>
                </c:pt>
                <c:pt idx="4">
                  <c:v>138</c:v>
                </c:pt>
                <c:pt idx="5">
                  <c:v>138</c:v>
                </c:pt>
                <c:pt idx="6">
                  <c:v>138</c:v>
                </c:pt>
                <c:pt idx="7">
                  <c:v>138</c:v>
                </c:pt>
                <c:pt idx="8">
                  <c:v>138</c:v>
                </c:pt>
                <c:pt idx="9">
                  <c:v>138</c:v>
                </c:pt>
                <c:pt idx="10">
                  <c:v>138</c:v>
                </c:pt>
                <c:pt idx="11">
                  <c:v>138</c:v>
                </c:pt>
                <c:pt idx="12">
                  <c:v>138</c:v>
                </c:pt>
                <c:pt idx="13">
                  <c:v>138</c:v>
                </c:pt>
                <c:pt idx="14">
                  <c:v>138</c:v>
                </c:pt>
                <c:pt idx="15">
                  <c:v>138</c:v>
                </c:pt>
                <c:pt idx="16">
                  <c:v>138</c:v>
                </c:pt>
                <c:pt idx="17">
                  <c:v>138</c:v>
                </c:pt>
                <c:pt idx="18">
                  <c:v>138</c:v>
                </c:pt>
                <c:pt idx="19">
                  <c:v>138</c:v>
                </c:pt>
                <c:pt idx="20">
                  <c:v>138</c:v>
                </c:pt>
                <c:pt idx="21">
                  <c:v>138</c:v>
                </c:pt>
                <c:pt idx="22">
                  <c:v>138</c:v>
                </c:pt>
                <c:pt idx="23">
                  <c:v>138</c:v>
                </c:pt>
                <c:pt idx="24">
                  <c:v>138</c:v>
                </c:pt>
                <c:pt idx="25">
                  <c:v>138</c:v>
                </c:pt>
                <c:pt idx="26">
                  <c:v>138</c:v>
                </c:pt>
                <c:pt idx="27">
                  <c:v>138</c:v>
                </c:pt>
              </c:numCache>
            </c:numRef>
          </c:yVal>
          <c:bubbleSize>
            <c:numRef>
              <c:f>RetBubblePlot!$I$4:$I$31</c:f>
              <c:numCache>
                <c:formatCode>0.00E+00</c:formatCode>
                <c:ptCount val="28"/>
                <c:pt idx="0">
                  <c:v>-0.61028400000000005</c:v>
                </c:pt>
                <c:pt idx="1">
                  <c:v>0.51538700000000004</c:v>
                </c:pt>
                <c:pt idx="2">
                  <c:v>8.9205300000000001E-2</c:v>
                </c:pt>
                <c:pt idx="3">
                  <c:v>-0.18892300000000001</c:v>
                </c:pt>
                <c:pt idx="4">
                  <c:v>0.51013600000000003</c:v>
                </c:pt>
                <c:pt idx="5">
                  <c:v>0.216197</c:v>
                </c:pt>
                <c:pt idx="6">
                  <c:v>0.34207900000000002</c:v>
                </c:pt>
                <c:pt idx="7">
                  <c:v>-1.2929299999999999</c:v>
                </c:pt>
                <c:pt idx="8">
                  <c:v>-0.31708500000000001</c:v>
                </c:pt>
                <c:pt idx="9">
                  <c:v>-7.0742999999999999E-4</c:v>
                </c:pt>
                <c:pt idx="10">
                  <c:v>-0.29078399999999999</c:v>
                </c:pt>
                <c:pt idx="11">
                  <c:v>-0.55443600000000004</c:v>
                </c:pt>
                <c:pt idx="12">
                  <c:v>-0.235148</c:v>
                </c:pt>
                <c:pt idx="13">
                  <c:v>-0.25050299999999998</c:v>
                </c:pt>
                <c:pt idx="14">
                  <c:v>6.5897899999999995E-2</c:v>
                </c:pt>
                <c:pt idx="15">
                  <c:v>-7.0971699999999999E-2</c:v>
                </c:pt>
                <c:pt idx="16">
                  <c:v>-0.25944099999999998</c:v>
                </c:pt>
                <c:pt idx="17">
                  <c:v>3.3871499999999999E-2</c:v>
                </c:pt>
                <c:pt idx="18">
                  <c:v>-0.54886699999999999</c:v>
                </c:pt>
                <c:pt idx="19">
                  <c:v>-0.36867299999999997</c:v>
                </c:pt>
                <c:pt idx="20">
                  <c:v>0.34944700000000001</c:v>
                </c:pt>
                <c:pt idx="21">
                  <c:v>-2.9798999999999999E-2</c:v>
                </c:pt>
                <c:pt idx="22">
                  <c:v>0.246999</c:v>
                </c:pt>
                <c:pt idx="23">
                  <c:v>0.14890999999999999</c:v>
                </c:pt>
                <c:pt idx="24">
                  <c:v>-9.2563199999999998E-2</c:v>
                </c:pt>
                <c:pt idx="25">
                  <c:v>0.21655099999999999</c:v>
                </c:pt>
                <c:pt idx="26">
                  <c:v>-0.17510600000000001</c:v>
                </c:pt>
                <c:pt idx="27">
                  <c:v>6.3111299999999995E-2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RetBubblePlot!$J$33:$J$60</c:f>
              <c:numCache>
                <c:formatCode>General</c:formatCode>
                <c:ptCount val="28"/>
                <c:pt idx="0">
                  <c:v>143</c:v>
                </c:pt>
                <c:pt idx="1">
                  <c:v>143</c:v>
                </c:pt>
                <c:pt idx="2">
                  <c:v>143</c:v>
                </c:pt>
                <c:pt idx="3">
                  <c:v>143</c:v>
                </c:pt>
                <c:pt idx="4">
                  <c:v>143</c:v>
                </c:pt>
                <c:pt idx="5">
                  <c:v>143</c:v>
                </c:pt>
                <c:pt idx="6">
                  <c:v>143</c:v>
                </c:pt>
                <c:pt idx="7">
                  <c:v>143</c:v>
                </c:pt>
                <c:pt idx="8">
                  <c:v>143</c:v>
                </c:pt>
                <c:pt idx="9">
                  <c:v>143</c:v>
                </c:pt>
                <c:pt idx="10">
                  <c:v>143</c:v>
                </c:pt>
                <c:pt idx="11">
                  <c:v>143</c:v>
                </c:pt>
                <c:pt idx="12">
                  <c:v>143</c:v>
                </c:pt>
                <c:pt idx="13">
                  <c:v>143</c:v>
                </c:pt>
                <c:pt idx="14">
                  <c:v>143</c:v>
                </c:pt>
                <c:pt idx="15">
                  <c:v>143</c:v>
                </c:pt>
                <c:pt idx="16">
                  <c:v>143</c:v>
                </c:pt>
                <c:pt idx="17">
                  <c:v>143</c:v>
                </c:pt>
                <c:pt idx="18">
                  <c:v>143</c:v>
                </c:pt>
                <c:pt idx="19">
                  <c:v>143</c:v>
                </c:pt>
                <c:pt idx="20">
                  <c:v>143</c:v>
                </c:pt>
                <c:pt idx="21">
                  <c:v>143</c:v>
                </c:pt>
                <c:pt idx="22">
                  <c:v>143</c:v>
                </c:pt>
                <c:pt idx="23">
                  <c:v>143</c:v>
                </c:pt>
                <c:pt idx="24">
                  <c:v>143</c:v>
                </c:pt>
                <c:pt idx="25">
                  <c:v>143</c:v>
                </c:pt>
                <c:pt idx="26">
                  <c:v>143</c:v>
                </c:pt>
                <c:pt idx="27">
                  <c:v>143</c:v>
                </c:pt>
              </c:numCache>
            </c:numRef>
          </c:yVal>
          <c:bubbleSize>
            <c:numRef>
              <c:f>RetBubblePlot!$J$4:$J$31</c:f>
              <c:numCache>
                <c:formatCode>0.00E+00</c:formatCode>
                <c:ptCount val="28"/>
                <c:pt idx="0">
                  <c:v>1.37496</c:v>
                </c:pt>
                <c:pt idx="1">
                  <c:v>0.96956500000000001</c:v>
                </c:pt>
                <c:pt idx="2">
                  <c:v>0.14883199999999999</c:v>
                </c:pt>
                <c:pt idx="3">
                  <c:v>-0.13694700000000001</c:v>
                </c:pt>
                <c:pt idx="4">
                  <c:v>-6.0466600000000002E-2</c:v>
                </c:pt>
                <c:pt idx="5">
                  <c:v>-0.32975300000000002</c:v>
                </c:pt>
                <c:pt idx="6">
                  <c:v>0.34721999999999997</c:v>
                </c:pt>
                <c:pt idx="7">
                  <c:v>4.8625300000000003E-2</c:v>
                </c:pt>
                <c:pt idx="8">
                  <c:v>-5.2397699999999998E-2</c:v>
                </c:pt>
                <c:pt idx="9">
                  <c:v>5.4954099999999999E-2</c:v>
                </c:pt>
                <c:pt idx="10">
                  <c:v>0.49786900000000001</c:v>
                </c:pt>
                <c:pt idx="11">
                  <c:v>-0.359736</c:v>
                </c:pt>
                <c:pt idx="12">
                  <c:v>5.1718300000000002E-2</c:v>
                </c:pt>
                <c:pt idx="13">
                  <c:v>3.9090600000000003E-2</c:v>
                </c:pt>
                <c:pt idx="14">
                  <c:v>0.24236199999999999</c:v>
                </c:pt>
                <c:pt idx="15">
                  <c:v>0.20710700000000001</c:v>
                </c:pt>
                <c:pt idx="16">
                  <c:v>0.38685700000000001</c:v>
                </c:pt>
                <c:pt idx="17">
                  <c:v>0.19833799999999999</c:v>
                </c:pt>
                <c:pt idx="18">
                  <c:v>1.47704E-2</c:v>
                </c:pt>
                <c:pt idx="19">
                  <c:v>0.113423</c:v>
                </c:pt>
                <c:pt idx="20">
                  <c:v>0.14457500000000001</c:v>
                </c:pt>
                <c:pt idx="21">
                  <c:v>9.5854700000000001E-2</c:v>
                </c:pt>
                <c:pt idx="22">
                  <c:v>6.7456699999999994E-2</c:v>
                </c:pt>
                <c:pt idx="23">
                  <c:v>0.183111</c:v>
                </c:pt>
                <c:pt idx="24">
                  <c:v>-1.3819100000000001E-2</c:v>
                </c:pt>
                <c:pt idx="25">
                  <c:v>1.8784499999999999E-2</c:v>
                </c:pt>
                <c:pt idx="26">
                  <c:v>-0.20888599999999999</c:v>
                </c:pt>
                <c:pt idx="27">
                  <c:v>-1.0469300000000001E-2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RetBubblePlot!$K$33:$K$60</c:f>
              <c:numCache>
                <c:formatCode>General</c:formatCode>
                <c:ptCount val="28"/>
                <c:pt idx="0">
                  <c:v>148</c:v>
                </c:pt>
                <c:pt idx="1">
                  <c:v>148</c:v>
                </c:pt>
                <c:pt idx="2">
                  <c:v>148</c:v>
                </c:pt>
                <c:pt idx="3">
                  <c:v>148</c:v>
                </c:pt>
                <c:pt idx="4">
                  <c:v>148</c:v>
                </c:pt>
                <c:pt idx="5">
                  <c:v>148</c:v>
                </c:pt>
                <c:pt idx="6">
                  <c:v>148</c:v>
                </c:pt>
                <c:pt idx="7">
                  <c:v>148</c:v>
                </c:pt>
                <c:pt idx="8">
                  <c:v>148</c:v>
                </c:pt>
                <c:pt idx="9">
                  <c:v>148</c:v>
                </c:pt>
                <c:pt idx="10">
                  <c:v>148</c:v>
                </c:pt>
                <c:pt idx="11">
                  <c:v>148</c:v>
                </c:pt>
                <c:pt idx="12">
                  <c:v>148</c:v>
                </c:pt>
                <c:pt idx="13">
                  <c:v>148</c:v>
                </c:pt>
                <c:pt idx="14">
                  <c:v>148</c:v>
                </c:pt>
                <c:pt idx="15">
                  <c:v>148</c:v>
                </c:pt>
                <c:pt idx="16">
                  <c:v>148</c:v>
                </c:pt>
                <c:pt idx="17">
                  <c:v>148</c:v>
                </c:pt>
                <c:pt idx="18">
                  <c:v>148</c:v>
                </c:pt>
                <c:pt idx="19">
                  <c:v>148</c:v>
                </c:pt>
                <c:pt idx="20">
                  <c:v>148</c:v>
                </c:pt>
                <c:pt idx="21">
                  <c:v>148</c:v>
                </c:pt>
                <c:pt idx="22">
                  <c:v>148</c:v>
                </c:pt>
                <c:pt idx="23">
                  <c:v>148</c:v>
                </c:pt>
                <c:pt idx="24">
                  <c:v>148</c:v>
                </c:pt>
                <c:pt idx="25">
                  <c:v>148</c:v>
                </c:pt>
                <c:pt idx="26">
                  <c:v>148</c:v>
                </c:pt>
                <c:pt idx="27">
                  <c:v>148</c:v>
                </c:pt>
              </c:numCache>
            </c:numRef>
          </c:yVal>
          <c:bubbleSize>
            <c:numRef>
              <c:f>RetBubblePlot!$K$4:$K$31</c:f>
              <c:numCache>
                <c:formatCode>0.00E+00</c:formatCode>
                <c:ptCount val="28"/>
                <c:pt idx="0">
                  <c:v>-0.59004699999999999</c:v>
                </c:pt>
                <c:pt idx="1">
                  <c:v>-5.7061800000000003E-2</c:v>
                </c:pt>
                <c:pt idx="2">
                  <c:v>-0.299209</c:v>
                </c:pt>
                <c:pt idx="3">
                  <c:v>-0.121338</c:v>
                </c:pt>
                <c:pt idx="4">
                  <c:v>-0.89037699999999997</c:v>
                </c:pt>
                <c:pt idx="5">
                  <c:v>-0.94997699999999996</c:v>
                </c:pt>
                <c:pt idx="6">
                  <c:v>0.20503299999999999</c:v>
                </c:pt>
                <c:pt idx="7">
                  <c:v>0.22146199999999999</c:v>
                </c:pt>
                <c:pt idx="8">
                  <c:v>-0.10721700000000001</c:v>
                </c:pt>
                <c:pt idx="9">
                  <c:v>0.22523000000000001</c:v>
                </c:pt>
                <c:pt idx="10">
                  <c:v>0.30097200000000002</c:v>
                </c:pt>
                <c:pt idx="11">
                  <c:v>-0.258996</c:v>
                </c:pt>
                <c:pt idx="12">
                  <c:v>-0.29334399999999999</c:v>
                </c:pt>
                <c:pt idx="13">
                  <c:v>-1.19288E-2</c:v>
                </c:pt>
                <c:pt idx="14">
                  <c:v>-0.115783</c:v>
                </c:pt>
                <c:pt idx="15">
                  <c:v>3.23982E-3</c:v>
                </c:pt>
                <c:pt idx="16">
                  <c:v>0.184617</c:v>
                </c:pt>
                <c:pt idx="17">
                  <c:v>0.20952200000000001</c:v>
                </c:pt>
                <c:pt idx="18">
                  <c:v>0.45006099999999999</c:v>
                </c:pt>
                <c:pt idx="19">
                  <c:v>0.229293</c:v>
                </c:pt>
                <c:pt idx="20">
                  <c:v>0.11422599999999999</c:v>
                </c:pt>
                <c:pt idx="21">
                  <c:v>-2.36835E-2</c:v>
                </c:pt>
                <c:pt idx="22">
                  <c:v>-8.8477899999999998E-2</c:v>
                </c:pt>
                <c:pt idx="23">
                  <c:v>-0.21434800000000001</c:v>
                </c:pt>
                <c:pt idx="24">
                  <c:v>0.101802</c:v>
                </c:pt>
                <c:pt idx="25">
                  <c:v>-5.8243000000000003E-2</c:v>
                </c:pt>
                <c:pt idx="26">
                  <c:v>8.9338600000000004E-2</c:v>
                </c:pt>
                <c:pt idx="27">
                  <c:v>1.51787E-2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RetBubblePlot!$L$33:$L$60</c:f>
              <c:numCache>
                <c:formatCode>General</c:formatCode>
                <c:ptCount val="28"/>
                <c:pt idx="0">
                  <c:v>153</c:v>
                </c:pt>
                <c:pt idx="1">
                  <c:v>153</c:v>
                </c:pt>
                <c:pt idx="2">
                  <c:v>153</c:v>
                </c:pt>
                <c:pt idx="3">
                  <c:v>153</c:v>
                </c:pt>
                <c:pt idx="4">
                  <c:v>153</c:v>
                </c:pt>
                <c:pt idx="5">
                  <c:v>153</c:v>
                </c:pt>
                <c:pt idx="6">
                  <c:v>153</c:v>
                </c:pt>
                <c:pt idx="7">
                  <c:v>153</c:v>
                </c:pt>
                <c:pt idx="8">
                  <c:v>153</c:v>
                </c:pt>
                <c:pt idx="9">
                  <c:v>153</c:v>
                </c:pt>
                <c:pt idx="10">
                  <c:v>153</c:v>
                </c:pt>
                <c:pt idx="11">
                  <c:v>153</c:v>
                </c:pt>
                <c:pt idx="12">
                  <c:v>153</c:v>
                </c:pt>
                <c:pt idx="13">
                  <c:v>153</c:v>
                </c:pt>
                <c:pt idx="14">
                  <c:v>153</c:v>
                </c:pt>
                <c:pt idx="15">
                  <c:v>153</c:v>
                </c:pt>
                <c:pt idx="16">
                  <c:v>153</c:v>
                </c:pt>
                <c:pt idx="17">
                  <c:v>153</c:v>
                </c:pt>
                <c:pt idx="18">
                  <c:v>153</c:v>
                </c:pt>
                <c:pt idx="19">
                  <c:v>153</c:v>
                </c:pt>
                <c:pt idx="20">
                  <c:v>153</c:v>
                </c:pt>
                <c:pt idx="21">
                  <c:v>153</c:v>
                </c:pt>
                <c:pt idx="22">
                  <c:v>153</c:v>
                </c:pt>
                <c:pt idx="23">
                  <c:v>153</c:v>
                </c:pt>
                <c:pt idx="24">
                  <c:v>153</c:v>
                </c:pt>
                <c:pt idx="25">
                  <c:v>153</c:v>
                </c:pt>
                <c:pt idx="26">
                  <c:v>153</c:v>
                </c:pt>
                <c:pt idx="27">
                  <c:v>153</c:v>
                </c:pt>
              </c:numCache>
            </c:numRef>
          </c:yVal>
          <c:bubbleSize>
            <c:numRef>
              <c:f>RetBubblePlot!$L$4:$L$31</c:f>
              <c:numCache>
                <c:formatCode>0.00E+00</c:formatCode>
                <c:ptCount val="28"/>
                <c:pt idx="0">
                  <c:v>-0.343949</c:v>
                </c:pt>
                <c:pt idx="1">
                  <c:v>-0.61850000000000005</c:v>
                </c:pt>
                <c:pt idx="2">
                  <c:v>-1.5734399999999999E-2</c:v>
                </c:pt>
                <c:pt idx="3">
                  <c:v>0.239289</c:v>
                </c:pt>
                <c:pt idx="4">
                  <c:v>-0.64151899999999995</c:v>
                </c:pt>
                <c:pt idx="5">
                  <c:v>-0.180341</c:v>
                </c:pt>
                <c:pt idx="6">
                  <c:v>-0.42917300000000003</c:v>
                </c:pt>
                <c:pt idx="7">
                  <c:v>0.42808800000000002</c:v>
                </c:pt>
                <c:pt idx="8">
                  <c:v>0.15362000000000001</c:v>
                </c:pt>
                <c:pt idx="9">
                  <c:v>-0.45530500000000002</c:v>
                </c:pt>
                <c:pt idx="10">
                  <c:v>-0.216645</c:v>
                </c:pt>
                <c:pt idx="11">
                  <c:v>0.11114599999999999</c:v>
                </c:pt>
                <c:pt idx="12">
                  <c:v>-9.1084300000000007E-2</c:v>
                </c:pt>
                <c:pt idx="13">
                  <c:v>6.1837299999999998E-2</c:v>
                </c:pt>
                <c:pt idx="14">
                  <c:v>-0.131823</c:v>
                </c:pt>
                <c:pt idx="15">
                  <c:v>4.0819099999999997E-2</c:v>
                </c:pt>
                <c:pt idx="16">
                  <c:v>0.150898</c:v>
                </c:pt>
                <c:pt idx="17">
                  <c:v>5.2422500000000004E-3</c:v>
                </c:pt>
                <c:pt idx="18">
                  <c:v>0.29362100000000002</c:v>
                </c:pt>
                <c:pt idx="19">
                  <c:v>0.17458399999999999</c:v>
                </c:pt>
                <c:pt idx="20">
                  <c:v>8.0184099999999997E-4</c:v>
                </c:pt>
                <c:pt idx="21">
                  <c:v>3.474E-2</c:v>
                </c:pt>
                <c:pt idx="22">
                  <c:v>1.38589E-2</c:v>
                </c:pt>
                <c:pt idx="23">
                  <c:v>-5.8065100000000001E-2</c:v>
                </c:pt>
                <c:pt idx="24">
                  <c:v>8.8609999999999994E-2</c:v>
                </c:pt>
                <c:pt idx="25">
                  <c:v>-0.102663</c:v>
                </c:pt>
                <c:pt idx="26">
                  <c:v>8.7609400000000004E-2</c:v>
                </c:pt>
                <c:pt idx="27">
                  <c:v>-0.195525</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RetBubblePlot!$M$33:$M$60</c:f>
              <c:numCache>
                <c:formatCode>General</c:formatCode>
                <c:ptCount val="28"/>
                <c:pt idx="0">
                  <c:v>158</c:v>
                </c:pt>
                <c:pt idx="1">
                  <c:v>158</c:v>
                </c:pt>
                <c:pt idx="2">
                  <c:v>158</c:v>
                </c:pt>
                <c:pt idx="3">
                  <c:v>158</c:v>
                </c:pt>
                <c:pt idx="4">
                  <c:v>158</c:v>
                </c:pt>
                <c:pt idx="5">
                  <c:v>158</c:v>
                </c:pt>
                <c:pt idx="6">
                  <c:v>158</c:v>
                </c:pt>
                <c:pt idx="7">
                  <c:v>158</c:v>
                </c:pt>
                <c:pt idx="8">
                  <c:v>158</c:v>
                </c:pt>
                <c:pt idx="9">
                  <c:v>158</c:v>
                </c:pt>
                <c:pt idx="10">
                  <c:v>158</c:v>
                </c:pt>
                <c:pt idx="11">
                  <c:v>158</c:v>
                </c:pt>
                <c:pt idx="12">
                  <c:v>158</c:v>
                </c:pt>
                <c:pt idx="13">
                  <c:v>158</c:v>
                </c:pt>
                <c:pt idx="14">
                  <c:v>158</c:v>
                </c:pt>
                <c:pt idx="15">
                  <c:v>158</c:v>
                </c:pt>
                <c:pt idx="16">
                  <c:v>158</c:v>
                </c:pt>
                <c:pt idx="17">
                  <c:v>158</c:v>
                </c:pt>
                <c:pt idx="18">
                  <c:v>158</c:v>
                </c:pt>
                <c:pt idx="19">
                  <c:v>158</c:v>
                </c:pt>
                <c:pt idx="20">
                  <c:v>158</c:v>
                </c:pt>
                <c:pt idx="21">
                  <c:v>158</c:v>
                </c:pt>
                <c:pt idx="22">
                  <c:v>158</c:v>
                </c:pt>
                <c:pt idx="23">
                  <c:v>158</c:v>
                </c:pt>
                <c:pt idx="24">
                  <c:v>158</c:v>
                </c:pt>
                <c:pt idx="25">
                  <c:v>158</c:v>
                </c:pt>
                <c:pt idx="26">
                  <c:v>158</c:v>
                </c:pt>
                <c:pt idx="27">
                  <c:v>158</c:v>
                </c:pt>
              </c:numCache>
            </c:numRef>
          </c:yVal>
          <c:bubbleSize>
            <c:numRef>
              <c:f>RetBubblePlot!$M$4:$M$31</c:f>
              <c:numCache>
                <c:formatCode>0.00E+00</c:formatCode>
                <c:ptCount val="28"/>
                <c:pt idx="0">
                  <c:v>-0.49040600000000001</c:v>
                </c:pt>
                <c:pt idx="1">
                  <c:v>-0.34315400000000001</c:v>
                </c:pt>
                <c:pt idx="2">
                  <c:v>-2.49248E-2</c:v>
                </c:pt>
                <c:pt idx="3">
                  <c:v>0.417883</c:v>
                </c:pt>
                <c:pt idx="4">
                  <c:v>-0.37544300000000003</c:v>
                </c:pt>
                <c:pt idx="5">
                  <c:v>0.53024300000000002</c:v>
                </c:pt>
                <c:pt idx="6">
                  <c:v>-0.67073199999999999</c:v>
                </c:pt>
                <c:pt idx="7">
                  <c:v>0.77250799999999997</c:v>
                </c:pt>
                <c:pt idx="8">
                  <c:v>0.34797600000000001</c:v>
                </c:pt>
                <c:pt idx="9">
                  <c:v>-0.13661699999999999</c:v>
                </c:pt>
                <c:pt idx="10">
                  <c:v>-0.217311</c:v>
                </c:pt>
                <c:pt idx="11">
                  <c:v>0.33180599999999999</c:v>
                </c:pt>
                <c:pt idx="12">
                  <c:v>0.13125400000000001</c:v>
                </c:pt>
                <c:pt idx="13">
                  <c:v>0.11035</c:v>
                </c:pt>
                <c:pt idx="14">
                  <c:v>-6.7391900000000005E-2</c:v>
                </c:pt>
                <c:pt idx="15">
                  <c:v>3.36966E-2</c:v>
                </c:pt>
                <c:pt idx="16">
                  <c:v>-0.111632</c:v>
                </c:pt>
                <c:pt idx="17">
                  <c:v>-0.11876399999999999</c:v>
                </c:pt>
                <c:pt idx="18">
                  <c:v>0.28693200000000002</c:v>
                </c:pt>
                <c:pt idx="19">
                  <c:v>0.18795100000000001</c:v>
                </c:pt>
                <c:pt idx="20">
                  <c:v>-4.5672999999999998E-2</c:v>
                </c:pt>
                <c:pt idx="21">
                  <c:v>0.15645300000000001</c:v>
                </c:pt>
                <c:pt idx="22">
                  <c:v>-7.1964200000000006E-2</c:v>
                </c:pt>
                <c:pt idx="23">
                  <c:v>-4.1905299999999996E-3</c:v>
                </c:pt>
                <c:pt idx="24">
                  <c:v>1.0382799999999999E-2</c:v>
                </c:pt>
                <c:pt idx="25">
                  <c:v>-2.1923399999999999E-2</c:v>
                </c:pt>
                <c:pt idx="26">
                  <c:v>-8.4929500000000005E-2</c:v>
                </c:pt>
                <c:pt idx="27">
                  <c:v>-9.4440399999999994E-2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RetBubblePlot!$N$33:$N$60</c:f>
              <c:numCache>
                <c:formatCode>General</c:formatCode>
                <c:ptCount val="28"/>
                <c:pt idx="0">
                  <c:v>163</c:v>
                </c:pt>
                <c:pt idx="1">
                  <c:v>163</c:v>
                </c:pt>
                <c:pt idx="2">
                  <c:v>163</c:v>
                </c:pt>
                <c:pt idx="3">
                  <c:v>163</c:v>
                </c:pt>
                <c:pt idx="4">
                  <c:v>163</c:v>
                </c:pt>
                <c:pt idx="5">
                  <c:v>163</c:v>
                </c:pt>
                <c:pt idx="6">
                  <c:v>163</c:v>
                </c:pt>
                <c:pt idx="7">
                  <c:v>163</c:v>
                </c:pt>
                <c:pt idx="8">
                  <c:v>163</c:v>
                </c:pt>
                <c:pt idx="9">
                  <c:v>163</c:v>
                </c:pt>
                <c:pt idx="10">
                  <c:v>163</c:v>
                </c:pt>
                <c:pt idx="11">
                  <c:v>163</c:v>
                </c:pt>
                <c:pt idx="12">
                  <c:v>163</c:v>
                </c:pt>
                <c:pt idx="13">
                  <c:v>163</c:v>
                </c:pt>
                <c:pt idx="14">
                  <c:v>163</c:v>
                </c:pt>
                <c:pt idx="15">
                  <c:v>163</c:v>
                </c:pt>
                <c:pt idx="16">
                  <c:v>163</c:v>
                </c:pt>
                <c:pt idx="17">
                  <c:v>163</c:v>
                </c:pt>
                <c:pt idx="18">
                  <c:v>163</c:v>
                </c:pt>
                <c:pt idx="19">
                  <c:v>163</c:v>
                </c:pt>
                <c:pt idx="20">
                  <c:v>163</c:v>
                </c:pt>
                <c:pt idx="21">
                  <c:v>163</c:v>
                </c:pt>
                <c:pt idx="22">
                  <c:v>163</c:v>
                </c:pt>
                <c:pt idx="23">
                  <c:v>163</c:v>
                </c:pt>
                <c:pt idx="24">
                  <c:v>163</c:v>
                </c:pt>
                <c:pt idx="25">
                  <c:v>163</c:v>
                </c:pt>
                <c:pt idx="26">
                  <c:v>163</c:v>
                </c:pt>
                <c:pt idx="27">
                  <c:v>163</c:v>
                </c:pt>
              </c:numCache>
            </c:numRef>
          </c:yVal>
          <c:bubbleSize>
            <c:numRef>
              <c:f>RetBubblePlot!$N$4:$N$31</c:f>
              <c:numCache>
                <c:formatCode>0.00E+00</c:formatCode>
                <c:ptCount val="28"/>
                <c:pt idx="0">
                  <c:v>1.0930800000000001</c:v>
                </c:pt>
                <c:pt idx="1">
                  <c:v>0.24892700000000001</c:v>
                </c:pt>
                <c:pt idx="2">
                  <c:v>5.5652100000000003E-2</c:v>
                </c:pt>
                <c:pt idx="3">
                  <c:v>-0.18781300000000001</c:v>
                </c:pt>
                <c:pt idx="4">
                  <c:v>-0.17680699999999999</c:v>
                </c:pt>
                <c:pt idx="5">
                  <c:v>0.56803599999999999</c:v>
                </c:pt>
                <c:pt idx="6">
                  <c:v>-0.59033100000000005</c:v>
                </c:pt>
                <c:pt idx="7">
                  <c:v>0.53326200000000001</c:v>
                </c:pt>
                <c:pt idx="8">
                  <c:v>0.52510699999999999</c:v>
                </c:pt>
                <c:pt idx="9">
                  <c:v>-7.6905699999999994E-2</c:v>
                </c:pt>
                <c:pt idx="10">
                  <c:v>-0.128523</c:v>
                </c:pt>
                <c:pt idx="11">
                  <c:v>0.288441</c:v>
                </c:pt>
                <c:pt idx="12">
                  <c:v>0.21757599999999999</c:v>
                </c:pt>
                <c:pt idx="13">
                  <c:v>9.0698299999999996E-2</c:v>
                </c:pt>
                <c:pt idx="14">
                  <c:v>8.16156E-3</c:v>
                </c:pt>
                <c:pt idx="15">
                  <c:v>5.4624899999999997E-2</c:v>
                </c:pt>
                <c:pt idx="16">
                  <c:v>-0.159085</c:v>
                </c:pt>
                <c:pt idx="17">
                  <c:v>-0.19593099999999999</c:v>
                </c:pt>
                <c:pt idx="18">
                  <c:v>-0.129908</c:v>
                </c:pt>
                <c:pt idx="19">
                  <c:v>-2.4828200000000002E-2</c:v>
                </c:pt>
                <c:pt idx="20">
                  <c:v>-0.34609400000000001</c:v>
                </c:pt>
                <c:pt idx="21">
                  <c:v>-2.0144100000000002E-2</c:v>
                </c:pt>
                <c:pt idx="22">
                  <c:v>-7.3389800000000005E-2</c:v>
                </c:pt>
                <c:pt idx="23">
                  <c:v>-5.8789800000000003E-2</c:v>
                </c:pt>
                <c:pt idx="24">
                  <c:v>2.8151900000000001E-2</c:v>
                </c:pt>
                <c:pt idx="25">
                  <c:v>-0.101922</c:v>
                </c:pt>
                <c:pt idx="26">
                  <c:v>0.22852900000000001</c:v>
                </c:pt>
                <c:pt idx="27">
                  <c:v>6.0016699999999999E-2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RetBubblePlot!$O$33:$O$60</c:f>
              <c:numCache>
                <c:formatCode>General</c:formatCode>
                <c:ptCount val="28"/>
                <c:pt idx="0">
                  <c:v>168</c:v>
                </c:pt>
                <c:pt idx="1">
                  <c:v>168</c:v>
                </c:pt>
                <c:pt idx="2">
                  <c:v>168</c:v>
                </c:pt>
                <c:pt idx="3">
                  <c:v>168</c:v>
                </c:pt>
                <c:pt idx="4">
                  <c:v>168</c:v>
                </c:pt>
                <c:pt idx="5">
                  <c:v>168</c:v>
                </c:pt>
                <c:pt idx="6">
                  <c:v>168</c:v>
                </c:pt>
                <c:pt idx="7">
                  <c:v>168</c:v>
                </c:pt>
                <c:pt idx="8">
                  <c:v>168</c:v>
                </c:pt>
                <c:pt idx="9">
                  <c:v>168</c:v>
                </c:pt>
                <c:pt idx="10">
                  <c:v>168</c:v>
                </c:pt>
                <c:pt idx="11">
                  <c:v>168</c:v>
                </c:pt>
                <c:pt idx="12">
                  <c:v>168</c:v>
                </c:pt>
                <c:pt idx="13">
                  <c:v>168</c:v>
                </c:pt>
                <c:pt idx="14">
                  <c:v>168</c:v>
                </c:pt>
                <c:pt idx="15">
                  <c:v>168</c:v>
                </c:pt>
                <c:pt idx="16">
                  <c:v>168</c:v>
                </c:pt>
                <c:pt idx="17">
                  <c:v>168</c:v>
                </c:pt>
                <c:pt idx="18">
                  <c:v>168</c:v>
                </c:pt>
                <c:pt idx="19">
                  <c:v>168</c:v>
                </c:pt>
                <c:pt idx="20">
                  <c:v>168</c:v>
                </c:pt>
                <c:pt idx="21">
                  <c:v>168</c:v>
                </c:pt>
                <c:pt idx="22">
                  <c:v>168</c:v>
                </c:pt>
                <c:pt idx="23">
                  <c:v>168</c:v>
                </c:pt>
                <c:pt idx="24">
                  <c:v>168</c:v>
                </c:pt>
                <c:pt idx="25">
                  <c:v>168</c:v>
                </c:pt>
                <c:pt idx="26">
                  <c:v>168</c:v>
                </c:pt>
                <c:pt idx="27">
                  <c:v>168</c:v>
                </c:pt>
              </c:numCache>
            </c:numRef>
          </c:yVal>
          <c:bubbleSize>
            <c:numRef>
              <c:f>RetBubblePlot!$O$4:$O$31</c:f>
              <c:numCache>
                <c:formatCode>0.00E+00</c:formatCode>
                <c:ptCount val="28"/>
                <c:pt idx="0">
                  <c:v>-0.18813099999999999</c:v>
                </c:pt>
                <c:pt idx="1">
                  <c:v>-0.68973600000000002</c:v>
                </c:pt>
                <c:pt idx="2">
                  <c:v>-0.30608999999999997</c:v>
                </c:pt>
                <c:pt idx="3">
                  <c:v>-0.36683100000000002</c:v>
                </c:pt>
                <c:pt idx="4">
                  <c:v>0.61311800000000005</c:v>
                </c:pt>
                <c:pt idx="5">
                  <c:v>-8.6419399999999993E-2</c:v>
                </c:pt>
                <c:pt idx="6">
                  <c:v>-0.30555500000000002</c:v>
                </c:pt>
                <c:pt idx="7">
                  <c:v>0.28681600000000002</c:v>
                </c:pt>
                <c:pt idx="8">
                  <c:v>0.467553</c:v>
                </c:pt>
                <c:pt idx="9">
                  <c:v>0.14136499999999999</c:v>
                </c:pt>
                <c:pt idx="10">
                  <c:v>0.22181500000000001</c:v>
                </c:pt>
                <c:pt idx="11">
                  <c:v>0.59865900000000005</c:v>
                </c:pt>
                <c:pt idx="12">
                  <c:v>0.51183599999999996</c:v>
                </c:pt>
                <c:pt idx="13">
                  <c:v>0.45636199999999999</c:v>
                </c:pt>
                <c:pt idx="14">
                  <c:v>9.4404100000000005E-2</c:v>
                </c:pt>
                <c:pt idx="15">
                  <c:v>6.6925700000000005E-2</c:v>
                </c:pt>
                <c:pt idx="16">
                  <c:v>-0.26342900000000002</c:v>
                </c:pt>
                <c:pt idx="17">
                  <c:v>-0.30799199999999999</c:v>
                </c:pt>
                <c:pt idx="18">
                  <c:v>-0.161495</c:v>
                </c:pt>
                <c:pt idx="19">
                  <c:v>-0.42638700000000002</c:v>
                </c:pt>
                <c:pt idx="20">
                  <c:v>-0.527729</c:v>
                </c:pt>
                <c:pt idx="21">
                  <c:v>-0.28589599999999998</c:v>
                </c:pt>
                <c:pt idx="22">
                  <c:v>-0.21107300000000001</c:v>
                </c:pt>
                <c:pt idx="23">
                  <c:v>1.6610099999999999E-2</c:v>
                </c:pt>
                <c:pt idx="24">
                  <c:v>-0.143618</c:v>
                </c:pt>
                <c:pt idx="25">
                  <c:v>3.6928900000000001E-2</c:v>
                </c:pt>
                <c:pt idx="26">
                  <c:v>0.121605</c:v>
                </c:pt>
                <c:pt idx="27">
                  <c:v>0.16862099999999999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RetBubblePlot!$P$33:$P$60</c:f>
              <c:numCache>
                <c:formatCode>General</c:formatCode>
                <c:ptCount val="28"/>
              </c:numCache>
            </c:numRef>
          </c:yVal>
          <c:bubbleSize>
            <c:numRef>
              <c:f>RetBubblePlot!$P$4:$P$31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RetBubblePlot!$Q$33:$Q$60</c:f>
              <c:numCache>
                <c:formatCode>General</c:formatCode>
                <c:ptCount val="28"/>
              </c:numCache>
            </c:numRef>
          </c:yVal>
          <c:bubbleSize>
            <c:numRef>
              <c:f>RetBubblePlot!$Q$4:$Q$31</c:f>
              <c:numCache>
                <c:formatCode>General</c:formatCode>
                <c:ptCount val="28"/>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6"/>
          <c:order val="16"/>
          <c:tx>
            <c:v>Series 17</c:v>
          </c:tx>
          <c:spPr>
            <a:solidFill>
              <a:schemeClr val="tx1"/>
            </a:solidFill>
          </c:spPr>
          <c:invertIfNegative val="0"/>
          <c:xVal>
            <c:numRef>
              <c:f>RetBubblePlot!$A$4:$A$31</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xVal>
          <c:yVal>
            <c:numRef>
              <c:f>RetBubblePlot!$R$33:$R$60</c:f>
              <c:numCache>
                <c:formatCode>General</c:formatCode>
                <c:ptCount val="28"/>
              </c:numCache>
            </c:numRef>
          </c:yVal>
          <c:bubbleSize>
            <c:numRef>
              <c:f>RetBubblePlot!$R$4:$R$31</c:f>
              <c:numCache>
                <c:formatCode>General</c:formatCode>
                <c:ptCount val="28"/>
              </c:numCache>
            </c:numRef>
          </c:bubbleSize>
          <c:bubble3D val="0"/>
        </c:ser>
        <c:dLbls>
          <c:showLegendKey val="0"/>
          <c:showVal val="0"/>
          <c:showCatName val="0"/>
          <c:showSerName val="0"/>
          <c:showPercent val="0"/>
          <c:showBubbleSize val="0"/>
        </c:dLbls>
        <c:bubbleScale val="20"/>
        <c:showNegBubbles val="1"/>
        <c:axId val="98521856"/>
        <c:axId val="98523776"/>
      </c:bubbleChart>
      <c:valAx>
        <c:axId val="98521856"/>
        <c:scaling>
          <c:orientation val="minMax"/>
          <c:max val="2013"/>
          <c:min val="1984"/>
        </c:scaling>
        <c:delete val="0"/>
        <c:axPos val="b"/>
        <c:title>
          <c:tx>
            <c:rich>
              <a:bodyPr/>
              <a:lstStyle/>
              <a:p>
                <a:pPr>
                  <a:defRPr sz="1200" b="1" i="0" u="none" strike="noStrike" baseline="0">
                    <a:solidFill>
                      <a:srgbClr val="000000"/>
                    </a:solidFill>
                    <a:latin typeface="Arial"/>
                    <a:ea typeface="Arial"/>
                    <a:cs typeface="Arial"/>
                  </a:defRPr>
                </a:pPr>
                <a:r>
                  <a:rPr lang="en-US" b="1"/>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98523776"/>
        <c:crosses val="autoZero"/>
        <c:crossBetween val="midCat"/>
      </c:valAx>
      <c:valAx>
        <c:axId val="98523776"/>
        <c:scaling>
          <c:orientation val="minMax"/>
          <c:max val="173"/>
          <c:min val="123"/>
        </c:scaling>
        <c:delete val="0"/>
        <c:axPos val="l"/>
        <c:title>
          <c:tx>
            <c:rich>
              <a:bodyPr/>
              <a:lstStyle/>
              <a:p>
                <a:pPr>
                  <a:defRPr sz="1200" b="1" i="0" u="none" strike="noStrike" baseline="0">
                    <a:solidFill>
                      <a:srgbClr val="000000"/>
                    </a:solidFill>
                    <a:latin typeface="Arial"/>
                    <a:ea typeface="Arial"/>
                    <a:cs typeface="Arial"/>
                  </a:defRPr>
                </a:pPr>
                <a:r>
                  <a:rPr lang="en-US" b="1"/>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98521856"/>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033095298912743"/>
          <c:y val="3.8379530916844352E-2"/>
          <c:w val="0.7390202458825228"/>
          <c:h val="0.79168781862287119"/>
        </c:manualLayout>
      </c:layout>
      <c:bubbleChart>
        <c:varyColors val="0"/>
        <c:ser>
          <c:idx val="0"/>
          <c:order val="0"/>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PotTotalBubblePlot!$B$28:$B$50</c:f>
              <c:numCache>
                <c:formatCode>General</c:formatCode>
                <c:ptCount val="23"/>
                <c:pt idx="0">
                  <c:v>103</c:v>
                </c:pt>
                <c:pt idx="1">
                  <c:v>103</c:v>
                </c:pt>
                <c:pt idx="2">
                  <c:v>103</c:v>
                </c:pt>
                <c:pt idx="3">
                  <c:v>103</c:v>
                </c:pt>
                <c:pt idx="4">
                  <c:v>103</c:v>
                </c:pt>
                <c:pt idx="5">
                  <c:v>103</c:v>
                </c:pt>
                <c:pt idx="6">
                  <c:v>103</c:v>
                </c:pt>
                <c:pt idx="7">
                  <c:v>103</c:v>
                </c:pt>
                <c:pt idx="8">
                  <c:v>103</c:v>
                </c:pt>
                <c:pt idx="9">
                  <c:v>103</c:v>
                </c:pt>
                <c:pt idx="10">
                  <c:v>103</c:v>
                </c:pt>
                <c:pt idx="11">
                  <c:v>103</c:v>
                </c:pt>
                <c:pt idx="12">
                  <c:v>103</c:v>
                </c:pt>
                <c:pt idx="13">
                  <c:v>103</c:v>
                </c:pt>
                <c:pt idx="14">
                  <c:v>103</c:v>
                </c:pt>
                <c:pt idx="15">
                  <c:v>103</c:v>
                </c:pt>
                <c:pt idx="16">
                  <c:v>103</c:v>
                </c:pt>
                <c:pt idx="17">
                  <c:v>103</c:v>
                </c:pt>
                <c:pt idx="18">
                  <c:v>103</c:v>
                </c:pt>
                <c:pt idx="19">
                  <c:v>103</c:v>
                </c:pt>
                <c:pt idx="20">
                  <c:v>103</c:v>
                </c:pt>
                <c:pt idx="21">
                  <c:v>103</c:v>
                </c:pt>
                <c:pt idx="22">
                  <c:v>103</c:v>
                </c:pt>
              </c:numCache>
            </c:numRef>
          </c:yVal>
          <c:bubbleSize>
            <c:numRef>
              <c:f>PotTotalBubblePlot!$B$4:$B$26</c:f>
              <c:numCache>
                <c:formatCode>0.000000</c:formatCode>
                <c:ptCount val="23"/>
                <c:pt idx="0">
                  <c:v>0.29141400000000001</c:v>
                </c:pt>
                <c:pt idx="1">
                  <c:v>0.15543499999999999</c:v>
                </c:pt>
                <c:pt idx="2">
                  <c:v>0.324181</c:v>
                </c:pt>
                <c:pt idx="3">
                  <c:v>0</c:v>
                </c:pt>
                <c:pt idx="4">
                  <c:v>0.241844</c:v>
                </c:pt>
                <c:pt idx="5">
                  <c:v>0.71217600000000003</c:v>
                </c:pt>
                <c:pt idx="6">
                  <c:v>0.48907499999999998</c:v>
                </c:pt>
                <c:pt idx="7">
                  <c:v>0.40003699999999998</c:v>
                </c:pt>
                <c:pt idx="8">
                  <c:v>0.373201</c:v>
                </c:pt>
                <c:pt idx="9">
                  <c:v>0.25753700000000002</c:v>
                </c:pt>
                <c:pt idx="10">
                  <c:v>9.8924999999999999E-2</c:v>
                </c:pt>
                <c:pt idx="11">
                  <c:v>9.0241699999999994E-2</c:v>
                </c:pt>
                <c:pt idx="12">
                  <c:v>5.5659699999999999E-2</c:v>
                </c:pt>
                <c:pt idx="13">
                  <c:v>8.0393800000000001E-2</c:v>
                </c:pt>
                <c:pt idx="14">
                  <c:v>2.71874E-2</c:v>
                </c:pt>
                <c:pt idx="15">
                  <c:v>0.134522</c:v>
                </c:pt>
                <c:pt idx="16">
                  <c:v>9.2370099999999997E-2</c:v>
                </c:pt>
                <c:pt idx="17">
                  <c:v>6.3288499999999998E-2</c:v>
                </c:pt>
                <c:pt idx="18">
                  <c:v>9.4808199999999995E-2</c:v>
                </c:pt>
                <c:pt idx="19">
                  <c:v>9.2371099999999998E-2</c:v>
                </c:pt>
                <c:pt idx="20">
                  <c:v>0.16413900000000001</c:v>
                </c:pt>
                <c:pt idx="21">
                  <c:v>0.13394600000000001</c:v>
                </c:pt>
                <c:pt idx="22">
                  <c:v>6.3544699999999996E-2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PotTotalBubblePlot!$C$28:$C$50</c:f>
              <c:numCache>
                <c:formatCode>General</c:formatCode>
                <c:ptCount val="23"/>
                <c:pt idx="0">
                  <c:v>108</c:v>
                </c:pt>
                <c:pt idx="1">
                  <c:v>108</c:v>
                </c:pt>
                <c:pt idx="2">
                  <c:v>108</c:v>
                </c:pt>
                <c:pt idx="3">
                  <c:v>108</c:v>
                </c:pt>
                <c:pt idx="4">
                  <c:v>108</c:v>
                </c:pt>
                <c:pt idx="5">
                  <c:v>108</c:v>
                </c:pt>
                <c:pt idx="6">
                  <c:v>108</c:v>
                </c:pt>
                <c:pt idx="7">
                  <c:v>108</c:v>
                </c:pt>
                <c:pt idx="8">
                  <c:v>108</c:v>
                </c:pt>
                <c:pt idx="9">
                  <c:v>108</c:v>
                </c:pt>
                <c:pt idx="10">
                  <c:v>108</c:v>
                </c:pt>
                <c:pt idx="11">
                  <c:v>108</c:v>
                </c:pt>
                <c:pt idx="12">
                  <c:v>108</c:v>
                </c:pt>
                <c:pt idx="13">
                  <c:v>108</c:v>
                </c:pt>
                <c:pt idx="14">
                  <c:v>108</c:v>
                </c:pt>
                <c:pt idx="15">
                  <c:v>108</c:v>
                </c:pt>
                <c:pt idx="16">
                  <c:v>108</c:v>
                </c:pt>
                <c:pt idx="17">
                  <c:v>108</c:v>
                </c:pt>
                <c:pt idx="18">
                  <c:v>108</c:v>
                </c:pt>
                <c:pt idx="19">
                  <c:v>108</c:v>
                </c:pt>
                <c:pt idx="20">
                  <c:v>108</c:v>
                </c:pt>
                <c:pt idx="21">
                  <c:v>108</c:v>
                </c:pt>
                <c:pt idx="22">
                  <c:v>108</c:v>
                </c:pt>
              </c:numCache>
            </c:numRef>
          </c:yVal>
          <c:bubbleSize>
            <c:numRef>
              <c:f>PotTotalBubblePlot!$C$4:$C$26</c:f>
              <c:numCache>
                <c:formatCode>0.000000</c:formatCode>
                <c:ptCount val="23"/>
                <c:pt idx="0">
                  <c:v>0.181145</c:v>
                </c:pt>
                <c:pt idx="1">
                  <c:v>2.21484E-3</c:v>
                </c:pt>
                <c:pt idx="2">
                  <c:v>0.24716099999999999</c:v>
                </c:pt>
                <c:pt idx="3">
                  <c:v>0</c:v>
                </c:pt>
                <c:pt idx="4">
                  <c:v>0.17100599999999999</c:v>
                </c:pt>
                <c:pt idx="5">
                  <c:v>0.26270500000000002</c:v>
                </c:pt>
                <c:pt idx="6">
                  <c:v>5.0377600000000002E-2</c:v>
                </c:pt>
                <c:pt idx="7">
                  <c:v>-0.15717200000000001</c:v>
                </c:pt>
                <c:pt idx="8">
                  <c:v>-6.0332900000000002E-2</c:v>
                </c:pt>
                <c:pt idx="9">
                  <c:v>-0.24527299999999999</c:v>
                </c:pt>
                <c:pt idx="10">
                  <c:v>-0.20990800000000001</c:v>
                </c:pt>
                <c:pt idx="11">
                  <c:v>-0.23108000000000001</c:v>
                </c:pt>
                <c:pt idx="12">
                  <c:v>-0.33211499999999999</c:v>
                </c:pt>
                <c:pt idx="13">
                  <c:v>-5.2866200000000002E-2</c:v>
                </c:pt>
                <c:pt idx="14">
                  <c:v>-0.21810599999999999</c:v>
                </c:pt>
                <c:pt idx="15">
                  <c:v>0.148233</c:v>
                </c:pt>
                <c:pt idx="16">
                  <c:v>0.12573899999999999</c:v>
                </c:pt>
                <c:pt idx="17">
                  <c:v>5.69823E-2</c:v>
                </c:pt>
                <c:pt idx="18">
                  <c:v>8.4794900000000006E-2</c:v>
                </c:pt>
                <c:pt idx="19">
                  <c:v>8.7811299999999995E-2</c:v>
                </c:pt>
                <c:pt idx="20">
                  <c:v>0.16863900000000001</c:v>
                </c:pt>
                <c:pt idx="21">
                  <c:v>0.163081</c:v>
                </c:pt>
                <c:pt idx="22">
                  <c:v>0.101816</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PotTotalBubblePlot!$D$28:$D$50</c:f>
              <c:numCache>
                <c:formatCode>General</c:formatCode>
                <c:ptCount val="23"/>
                <c:pt idx="0">
                  <c:v>113</c:v>
                </c:pt>
                <c:pt idx="1">
                  <c:v>113</c:v>
                </c:pt>
                <c:pt idx="2">
                  <c:v>113</c:v>
                </c:pt>
                <c:pt idx="3">
                  <c:v>113</c:v>
                </c:pt>
                <c:pt idx="4">
                  <c:v>113</c:v>
                </c:pt>
                <c:pt idx="5">
                  <c:v>113</c:v>
                </c:pt>
                <c:pt idx="6">
                  <c:v>113</c:v>
                </c:pt>
                <c:pt idx="7">
                  <c:v>113</c:v>
                </c:pt>
                <c:pt idx="8">
                  <c:v>113</c:v>
                </c:pt>
                <c:pt idx="9">
                  <c:v>113</c:v>
                </c:pt>
                <c:pt idx="10">
                  <c:v>113</c:v>
                </c:pt>
                <c:pt idx="11">
                  <c:v>113</c:v>
                </c:pt>
                <c:pt idx="12">
                  <c:v>113</c:v>
                </c:pt>
                <c:pt idx="13">
                  <c:v>113</c:v>
                </c:pt>
                <c:pt idx="14">
                  <c:v>113</c:v>
                </c:pt>
                <c:pt idx="15">
                  <c:v>113</c:v>
                </c:pt>
                <c:pt idx="16">
                  <c:v>113</c:v>
                </c:pt>
                <c:pt idx="17">
                  <c:v>113</c:v>
                </c:pt>
                <c:pt idx="18">
                  <c:v>113</c:v>
                </c:pt>
                <c:pt idx="19">
                  <c:v>113</c:v>
                </c:pt>
                <c:pt idx="20">
                  <c:v>113</c:v>
                </c:pt>
                <c:pt idx="21">
                  <c:v>113</c:v>
                </c:pt>
                <c:pt idx="22">
                  <c:v>113</c:v>
                </c:pt>
              </c:numCache>
            </c:numRef>
          </c:yVal>
          <c:bubbleSize>
            <c:numRef>
              <c:f>PotTotalBubblePlot!$D$4:$D$26</c:f>
              <c:numCache>
                <c:formatCode>0.000000</c:formatCode>
                <c:ptCount val="23"/>
                <c:pt idx="0">
                  <c:v>0.107776</c:v>
                </c:pt>
                <c:pt idx="1">
                  <c:v>-7.0870600000000006E-2</c:v>
                </c:pt>
                <c:pt idx="2">
                  <c:v>0.13440299999999999</c:v>
                </c:pt>
                <c:pt idx="3">
                  <c:v>0</c:v>
                </c:pt>
                <c:pt idx="4">
                  <c:v>8.9900300000000002E-2</c:v>
                </c:pt>
                <c:pt idx="5">
                  <c:v>0.30635099999999998</c:v>
                </c:pt>
                <c:pt idx="6">
                  <c:v>-9.1991399999999997E-3</c:v>
                </c:pt>
                <c:pt idx="7">
                  <c:v>-0.22637299999999999</c:v>
                </c:pt>
                <c:pt idx="8">
                  <c:v>-6.4225400000000002E-2</c:v>
                </c:pt>
                <c:pt idx="9">
                  <c:v>-0.41455799999999998</c:v>
                </c:pt>
                <c:pt idx="10">
                  <c:v>-0.26993699999999998</c:v>
                </c:pt>
                <c:pt idx="11">
                  <c:v>-0.333841</c:v>
                </c:pt>
                <c:pt idx="12">
                  <c:v>-0.54021300000000005</c:v>
                </c:pt>
                <c:pt idx="13">
                  <c:v>-0.19959399999999999</c:v>
                </c:pt>
                <c:pt idx="14">
                  <c:v>-0.29316599999999998</c:v>
                </c:pt>
                <c:pt idx="15">
                  <c:v>0.11408699999999999</c:v>
                </c:pt>
                <c:pt idx="16">
                  <c:v>0.116928</c:v>
                </c:pt>
                <c:pt idx="17">
                  <c:v>2.5855599999999999E-2</c:v>
                </c:pt>
                <c:pt idx="18">
                  <c:v>7.3811799999999997E-2</c:v>
                </c:pt>
                <c:pt idx="19">
                  <c:v>9.2999200000000004E-2</c:v>
                </c:pt>
                <c:pt idx="20">
                  <c:v>0.20124800000000001</c:v>
                </c:pt>
                <c:pt idx="21">
                  <c:v>0.187279</c:v>
                </c:pt>
                <c:pt idx="22">
                  <c:v>6.40989E-2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PotTotalBubblePlot!$E$28:$E$50</c:f>
              <c:numCache>
                <c:formatCode>General</c:formatCode>
                <c:ptCount val="23"/>
                <c:pt idx="0">
                  <c:v>118</c:v>
                </c:pt>
                <c:pt idx="1">
                  <c:v>118</c:v>
                </c:pt>
                <c:pt idx="2">
                  <c:v>118</c:v>
                </c:pt>
                <c:pt idx="3">
                  <c:v>118</c:v>
                </c:pt>
                <c:pt idx="4">
                  <c:v>118</c:v>
                </c:pt>
                <c:pt idx="5">
                  <c:v>118</c:v>
                </c:pt>
                <c:pt idx="6">
                  <c:v>118</c:v>
                </c:pt>
                <c:pt idx="7">
                  <c:v>118</c:v>
                </c:pt>
                <c:pt idx="8">
                  <c:v>118</c:v>
                </c:pt>
                <c:pt idx="9">
                  <c:v>118</c:v>
                </c:pt>
                <c:pt idx="10">
                  <c:v>118</c:v>
                </c:pt>
                <c:pt idx="11">
                  <c:v>118</c:v>
                </c:pt>
                <c:pt idx="12">
                  <c:v>118</c:v>
                </c:pt>
                <c:pt idx="13">
                  <c:v>118</c:v>
                </c:pt>
                <c:pt idx="14">
                  <c:v>118</c:v>
                </c:pt>
                <c:pt idx="15">
                  <c:v>118</c:v>
                </c:pt>
                <c:pt idx="16">
                  <c:v>118</c:v>
                </c:pt>
                <c:pt idx="17">
                  <c:v>118</c:v>
                </c:pt>
                <c:pt idx="18">
                  <c:v>118</c:v>
                </c:pt>
                <c:pt idx="19">
                  <c:v>118</c:v>
                </c:pt>
                <c:pt idx="20">
                  <c:v>118</c:v>
                </c:pt>
                <c:pt idx="21">
                  <c:v>118</c:v>
                </c:pt>
                <c:pt idx="22">
                  <c:v>118</c:v>
                </c:pt>
              </c:numCache>
            </c:numRef>
          </c:yVal>
          <c:bubbleSize>
            <c:numRef>
              <c:f>PotTotalBubblePlot!$E$4:$E$26</c:f>
              <c:numCache>
                <c:formatCode>0.000000</c:formatCode>
                <c:ptCount val="23"/>
                <c:pt idx="0">
                  <c:v>8.8477500000000001E-2</c:v>
                </c:pt>
                <c:pt idx="1">
                  <c:v>-5.7827900000000002E-2</c:v>
                </c:pt>
                <c:pt idx="2">
                  <c:v>0.10782899999999999</c:v>
                </c:pt>
                <c:pt idx="3">
                  <c:v>0</c:v>
                </c:pt>
                <c:pt idx="4">
                  <c:v>5.5291199999999999E-2</c:v>
                </c:pt>
                <c:pt idx="5">
                  <c:v>0.359016</c:v>
                </c:pt>
                <c:pt idx="6">
                  <c:v>9.1207700000000003E-2</c:v>
                </c:pt>
                <c:pt idx="7">
                  <c:v>-9.2014499999999999E-2</c:v>
                </c:pt>
                <c:pt idx="8">
                  <c:v>8.2723000000000005E-2</c:v>
                </c:pt>
                <c:pt idx="9">
                  <c:v>-0.24054600000000001</c:v>
                </c:pt>
                <c:pt idx="10">
                  <c:v>-0.16511500000000001</c:v>
                </c:pt>
                <c:pt idx="11">
                  <c:v>-0.37197000000000002</c:v>
                </c:pt>
                <c:pt idx="12">
                  <c:v>-0.532057</c:v>
                </c:pt>
                <c:pt idx="13">
                  <c:v>-0.32007200000000002</c:v>
                </c:pt>
                <c:pt idx="14">
                  <c:v>-0.27351199999999998</c:v>
                </c:pt>
                <c:pt idx="15">
                  <c:v>0.10085</c:v>
                </c:pt>
                <c:pt idx="16">
                  <c:v>5.1589799999999998E-2</c:v>
                </c:pt>
                <c:pt idx="17">
                  <c:v>-5.0385199999999998E-2</c:v>
                </c:pt>
                <c:pt idx="18">
                  <c:v>7.9457799999999995E-3</c:v>
                </c:pt>
                <c:pt idx="19">
                  <c:v>7.1625099999999997E-2</c:v>
                </c:pt>
                <c:pt idx="20">
                  <c:v>0.18668699999999999</c:v>
                </c:pt>
                <c:pt idx="21">
                  <c:v>0.15729499999999999</c:v>
                </c:pt>
                <c:pt idx="22">
                  <c:v>-6.9097800000000001E-2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PotTotalBubblePlot!$F$28:$F$50</c:f>
              <c:numCache>
                <c:formatCode>General</c:formatCode>
                <c:ptCount val="23"/>
                <c:pt idx="0">
                  <c:v>123</c:v>
                </c:pt>
                <c:pt idx="1">
                  <c:v>123</c:v>
                </c:pt>
                <c:pt idx="2">
                  <c:v>123</c:v>
                </c:pt>
                <c:pt idx="3">
                  <c:v>123</c:v>
                </c:pt>
                <c:pt idx="4">
                  <c:v>123</c:v>
                </c:pt>
                <c:pt idx="5">
                  <c:v>123</c:v>
                </c:pt>
                <c:pt idx="6">
                  <c:v>123</c:v>
                </c:pt>
                <c:pt idx="7">
                  <c:v>123</c:v>
                </c:pt>
                <c:pt idx="8">
                  <c:v>123</c:v>
                </c:pt>
                <c:pt idx="9">
                  <c:v>123</c:v>
                </c:pt>
                <c:pt idx="10">
                  <c:v>123</c:v>
                </c:pt>
                <c:pt idx="11">
                  <c:v>123</c:v>
                </c:pt>
                <c:pt idx="12">
                  <c:v>123</c:v>
                </c:pt>
                <c:pt idx="13">
                  <c:v>123</c:v>
                </c:pt>
                <c:pt idx="14">
                  <c:v>123</c:v>
                </c:pt>
                <c:pt idx="15">
                  <c:v>123</c:v>
                </c:pt>
                <c:pt idx="16">
                  <c:v>123</c:v>
                </c:pt>
                <c:pt idx="17">
                  <c:v>123</c:v>
                </c:pt>
                <c:pt idx="18">
                  <c:v>123</c:v>
                </c:pt>
                <c:pt idx="19">
                  <c:v>123</c:v>
                </c:pt>
                <c:pt idx="20">
                  <c:v>123</c:v>
                </c:pt>
                <c:pt idx="21">
                  <c:v>123</c:v>
                </c:pt>
                <c:pt idx="22">
                  <c:v>123</c:v>
                </c:pt>
              </c:numCache>
            </c:numRef>
          </c:yVal>
          <c:bubbleSize>
            <c:numRef>
              <c:f>PotTotalBubblePlot!$F$4:$F$26</c:f>
              <c:numCache>
                <c:formatCode>0.000000</c:formatCode>
                <c:ptCount val="23"/>
                <c:pt idx="0">
                  <c:v>0.11132</c:v>
                </c:pt>
                <c:pt idx="1">
                  <c:v>4.4769200000000002E-2</c:v>
                </c:pt>
                <c:pt idx="2">
                  <c:v>-6.4958100000000005E-2</c:v>
                </c:pt>
                <c:pt idx="3">
                  <c:v>0</c:v>
                </c:pt>
                <c:pt idx="4">
                  <c:v>5.7025100000000002E-2</c:v>
                </c:pt>
                <c:pt idx="5">
                  <c:v>0.25317899999999999</c:v>
                </c:pt>
                <c:pt idx="6">
                  <c:v>5.92074E-2</c:v>
                </c:pt>
                <c:pt idx="7">
                  <c:v>-2.4346799999999998E-3</c:v>
                </c:pt>
                <c:pt idx="8">
                  <c:v>8.9826900000000001E-2</c:v>
                </c:pt>
                <c:pt idx="9">
                  <c:v>-0.147871</c:v>
                </c:pt>
                <c:pt idx="10">
                  <c:v>-0.19707</c:v>
                </c:pt>
                <c:pt idx="11">
                  <c:v>-0.51011099999999998</c:v>
                </c:pt>
                <c:pt idx="12">
                  <c:v>-0.450127</c:v>
                </c:pt>
                <c:pt idx="13">
                  <c:v>-0.49858599999999997</c:v>
                </c:pt>
                <c:pt idx="14">
                  <c:v>-0.150558</c:v>
                </c:pt>
                <c:pt idx="15">
                  <c:v>5.36716E-2</c:v>
                </c:pt>
                <c:pt idx="16">
                  <c:v>-5.6213399999999997E-2</c:v>
                </c:pt>
                <c:pt idx="17">
                  <c:v>-0.137014</c:v>
                </c:pt>
                <c:pt idx="18">
                  <c:v>-0.10545599999999999</c:v>
                </c:pt>
                <c:pt idx="19">
                  <c:v>-9.4613299999999997E-2</c:v>
                </c:pt>
                <c:pt idx="20">
                  <c:v>0.14013700000000001</c:v>
                </c:pt>
                <c:pt idx="21">
                  <c:v>3.1130999999999999E-2</c:v>
                </c:pt>
                <c:pt idx="22">
                  <c:v>-2.79576E-3</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PotTotalBubblePlot!$G$28:$G$50</c:f>
              <c:numCache>
                <c:formatCode>General</c:formatCode>
                <c:ptCount val="23"/>
                <c:pt idx="0">
                  <c:v>128</c:v>
                </c:pt>
                <c:pt idx="1">
                  <c:v>128</c:v>
                </c:pt>
                <c:pt idx="2">
                  <c:v>128</c:v>
                </c:pt>
                <c:pt idx="3">
                  <c:v>128</c:v>
                </c:pt>
                <c:pt idx="4">
                  <c:v>128</c:v>
                </c:pt>
                <c:pt idx="5">
                  <c:v>128</c:v>
                </c:pt>
                <c:pt idx="6">
                  <c:v>128</c:v>
                </c:pt>
                <c:pt idx="7">
                  <c:v>128</c:v>
                </c:pt>
                <c:pt idx="8">
                  <c:v>128</c:v>
                </c:pt>
                <c:pt idx="9">
                  <c:v>128</c:v>
                </c:pt>
                <c:pt idx="10">
                  <c:v>128</c:v>
                </c:pt>
                <c:pt idx="11">
                  <c:v>128</c:v>
                </c:pt>
                <c:pt idx="12">
                  <c:v>128</c:v>
                </c:pt>
                <c:pt idx="13">
                  <c:v>128</c:v>
                </c:pt>
                <c:pt idx="14">
                  <c:v>128</c:v>
                </c:pt>
                <c:pt idx="15">
                  <c:v>128</c:v>
                </c:pt>
                <c:pt idx="16">
                  <c:v>128</c:v>
                </c:pt>
                <c:pt idx="17">
                  <c:v>128</c:v>
                </c:pt>
                <c:pt idx="18">
                  <c:v>128</c:v>
                </c:pt>
                <c:pt idx="19">
                  <c:v>128</c:v>
                </c:pt>
                <c:pt idx="20">
                  <c:v>128</c:v>
                </c:pt>
                <c:pt idx="21">
                  <c:v>128</c:v>
                </c:pt>
                <c:pt idx="22">
                  <c:v>128</c:v>
                </c:pt>
              </c:numCache>
            </c:numRef>
          </c:yVal>
          <c:bubbleSize>
            <c:numRef>
              <c:f>PotTotalBubblePlot!$G$4:$G$26</c:f>
              <c:numCache>
                <c:formatCode>0.000000</c:formatCode>
                <c:ptCount val="23"/>
                <c:pt idx="0">
                  <c:v>1.24311E-2</c:v>
                </c:pt>
                <c:pt idx="1">
                  <c:v>0.105172</c:v>
                </c:pt>
                <c:pt idx="2">
                  <c:v>-0.24379400000000001</c:v>
                </c:pt>
                <c:pt idx="3">
                  <c:v>0</c:v>
                </c:pt>
                <c:pt idx="4">
                  <c:v>6.1635200000000001E-2</c:v>
                </c:pt>
                <c:pt idx="5">
                  <c:v>0.37218699999999999</c:v>
                </c:pt>
                <c:pt idx="6">
                  <c:v>0.177953</c:v>
                </c:pt>
                <c:pt idx="7">
                  <c:v>0.18396899999999999</c:v>
                </c:pt>
                <c:pt idx="8">
                  <c:v>0.19156799999999999</c:v>
                </c:pt>
                <c:pt idx="9">
                  <c:v>0.112299</c:v>
                </c:pt>
                <c:pt idx="10">
                  <c:v>6.5839999999999996E-2</c:v>
                </c:pt>
                <c:pt idx="11">
                  <c:v>-0.27612300000000001</c:v>
                </c:pt>
                <c:pt idx="12">
                  <c:v>-0.119655</c:v>
                </c:pt>
                <c:pt idx="13">
                  <c:v>-0.24848700000000001</c:v>
                </c:pt>
                <c:pt idx="14">
                  <c:v>-4.7983600000000001E-2</c:v>
                </c:pt>
                <c:pt idx="15">
                  <c:v>-0.11909699999999999</c:v>
                </c:pt>
                <c:pt idx="16">
                  <c:v>-0.247165</c:v>
                </c:pt>
                <c:pt idx="17">
                  <c:v>-0.32129999999999997</c:v>
                </c:pt>
                <c:pt idx="18">
                  <c:v>-0.22281200000000001</c:v>
                </c:pt>
                <c:pt idx="19">
                  <c:v>-0.18622900000000001</c:v>
                </c:pt>
                <c:pt idx="20">
                  <c:v>-5.0623899999999999E-2</c:v>
                </c:pt>
                <c:pt idx="21">
                  <c:v>-0.132134</c:v>
                </c:pt>
                <c:pt idx="22">
                  <c:v>-1.74396E-2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PotTotalBubblePlot!$H$28:$H$50</c:f>
              <c:numCache>
                <c:formatCode>General</c:formatCode>
                <c:ptCount val="23"/>
                <c:pt idx="0">
                  <c:v>133</c:v>
                </c:pt>
                <c:pt idx="1">
                  <c:v>133</c:v>
                </c:pt>
                <c:pt idx="2">
                  <c:v>133</c:v>
                </c:pt>
                <c:pt idx="3">
                  <c:v>133</c:v>
                </c:pt>
                <c:pt idx="4">
                  <c:v>133</c:v>
                </c:pt>
                <c:pt idx="5">
                  <c:v>133</c:v>
                </c:pt>
                <c:pt idx="6">
                  <c:v>133</c:v>
                </c:pt>
                <c:pt idx="7">
                  <c:v>133</c:v>
                </c:pt>
                <c:pt idx="8">
                  <c:v>133</c:v>
                </c:pt>
                <c:pt idx="9">
                  <c:v>133</c:v>
                </c:pt>
                <c:pt idx="10">
                  <c:v>133</c:v>
                </c:pt>
                <c:pt idx="11">
                  <c:v>133</c:v>
                </c:pt>
                <c:pt idx="12">
                  <c:v>133</c:v>
                </c:pt>
                <c:pt idx="13">
                  <c:v>133</c:v>
                </c:pt>
                <c:pt idx="14">
                  <c:v>133</c:v>
                </c:pt>
                <c:pt idx="15">
                  <c:v>133</c:v>
                </c:pt>
                <c:pt idx="16">
                  <c:v>133</c:v>
                </c:pt>
                <c:pt idx="17">
                  <c:v>133</c:v>
                </c:pt>
                <c:pt idx="18">
                  <c:v>133</c:v>
                </c:pt>
                <c:pt idx="19">
                  <c:v>133</c:v>
                </c:pt>
                <c:pt idx="20">
                  <c:v>133</c:v>
                </c:pt>
                <c:pt idx="21">
                  <c:v>133</c:v>
                </c:pt>
                <c:pt idx="22">
                  <c:v>133</c:v>
                </c:pt>
              </c:numCache>
            </c:numRef>
          </c:yVal>
          <c:bubbleSize>
            <c:numRef>
              <c:f>PotTotalBubblePlot!$H$4:$H$26</c:f>
              <c:numCache>
                <c:formatCode>0.000000</c:formatCode>
                <c:ptCount val="23"/>
                <c:pt idx="0">
                  <c:v>-8.2623500000000002E-2</c:v>
                </c:pt>
                <c:pt idx="1">
                  <c:v>0.13369</c:v>
                </c:pt>
                <c:pt idx="2">
                  <c:v>-0.19345999999999999</c:v>
                </c:pt>
                <c:pt idx="3">
                  <c:v>0</c:v>
                </c:pt>
                <c:pt idx="4">
                  <c:v>-3.4830899999999999E-3</c:v>
                </c:pt>
                <c:pt idx="5">
                  <c:v>0.50978699999999999</c:v>
                </c:pt>
                <c:pt idx="6">
                  <c:v>0.12257899999999999</c:v>
                </c:pt>
                <c:pt idx="7">
                  <c:v>0.26458199999999998</c:v>
                </c:pt>
                <c:pt idx="8">
                  <c:v>0.27585100000000001</c:v>
                </c:pt>
                <c:pt idx="9">
                  <c:v>0.32163799999999998</c:v>
                </c:pt>
                <c:pt idx="10">
                  <c:v>0.236818</c:v>
                </c:pt>
                <c:pt idx="11">
                  <c:v>0.274121</c:v>
                </c:pt>
                <c:pt idx="12">
                  <c:v>9.4197600000000006E-2</c:v>
                </c:pt>
                <c:pt idx="13">
                  <c:v>-8.6919500000000004E-3</c:v>
                </c:pt>
                <c:pt idx="14">
                  <c:v>-2.5429400000000001E-2</c:v>
                </c:pt>
                <c:pt idx="15">
                  <c:v>-6.2258899999999999E-2</c:v>
                </c:pt>
                <c:pt idx="16">
                  <c:v>-8.9200299999999996E-2</c:v>
                </c:pt>
                <c:pt idx="17">
                  <c:v>-0.27651300000000001</c:v>
                </c:pt>
                <c:pt idx="18">
                  <c:v>-0.18890299999999999</c:v>
                </c:pt>
                <c:pt idx="19">
                  <c:v>-0.11275300000000001</c:v>
                </c:pt>
                <c:pt idx="20">
                  <c:v>-0.127271</c:v>
                </c:pt>
                <c:pt idx="21">
                  <c:v>-9.3116599999999994E-2</c:v>
                </c:pt>
                <c:pt idx="22">
                  <c:v>8.9614600000000003E-2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PotTotalBubblePlot!$I$28:$I$50</c:f>
              <c:numCache>
                <c:formatCode>General</c:formatCode>
                <c:ptCount val="23"/>
                <c:pt idx="0">
                  <c:v>138</c:v>
                </c:pt>
                <c:pt idx="1">
                  <c:v>138</c:v>
                </c:pt>
                <c:pt idx="2">
                  <c:v>138</c:v>
                </c:pt>
                <c:pt idx="3">
                  <c:v>138</c:v>
                </c:pt>
                <c:pt idx="4">
                  <c:v>138</c:v>
                </c:pt>
                <c:pt idx="5">
                  <c:v>138</c:v>
                </c:pt>
                <c:pt idx="6">
                  <c:v>138</c:v>
                </c:pt>
                <c:pt idx="7">
                  <c:v>138</c:v>
                </c:pt>
                <c:pt idx="8">
                  <c:v>138</c:v>
                </c:pt>
                <c:pt idx="9">
                  <c:v>138</c:v>
                </c:pt>
                <c:pt idx="10">
                  <c:v>138</c:v>
                </c:pt>
                <c:pt idx="11">
                  <c:v>138</c:v>
                </c:pt>
                <c:pt idx="12">
                  <c:v>138</c:v>
                </c:pt>
                <c:pt idx="13">
                  <c:v>138</c:v>
                </c:pt>
                <c:pt idx="14">
                  <c:v>138</c:v>
                </c:pt>
                <c:pt idx="15">
                  <c:v>138</c:v>
                </c:pt>
                <c:pt idx="16">
                  <c:v>138</c:v>
                </c:pt>
                <c:pt idx="17">
                  <c:v>138</c:v>
                </c:pt>
                <c:pt idx="18">
                  <c:v>138</c:v>
                </c:pt>
                <c:pt idx="19">
                  <c:v>138</c:v>
                </c:pt>
                <c:pt idx="20">
                  <c:v>138</c:v>
                </c:pt>
                <c:pt idx="21">
                  <c:v>138</c:v>
                </c:pt>
                <c:pt idx="22">
                  <c:v>138</c:v>
                </c:pt>
              </c:numCache>
            </c:numRef>
          </c:yVal>
          <c:bubbleSize>
            <c:numRef>
              <c:f>PotTotalBubblePlot!$I$4:$I$26</c:f>
              <c:numCache>
                <c:formatCode>0.000000</c:formatCode>
                <c:ptCount val="23"/>
                <c:pt idx="0">
                  <c:v>-0.193437</c:v>
                </c:pt>
                <c:pt idx="1">
                  <c:v>5.6569300000000003E-2</c:v>
                </c:pt>
                <c:pt idx="2">
                  <c:v>-0.141568</c:v>
                </c:pt>
                <c:pt idx="3">
                  <c:v>0</c:v>
                </c:pt>
                <c:pt idx="4">
                  <c:v>-0.138215</c:v>
                </c:pt>
                <c:pt idx="5">
                  <c:v>4.0784300000000002E-2</c:v>
                </c:pt>
                <c:pt idx="6">
                  <c:v>-0.27304899999999999</c:v>
                </c:pt>
                <c:pt idx="7">
                  <c:v>-2.9887299999999999E-2</c:v>
                </c:pt>
                <c:pt idx="8">
                  <c:v>2.5436299999999998E-2</c:v>
                </c:pt>
                <c:pt idx="9">
                  <c:v>0.118452</c:v>
                </c:pt>
                <c:pt idx="10">
                  <c:v>0.234657</c:v>
                </c:pt>
                <c:pt idx="11">
                  <c:v>0.40477600000000002</c:v>
                </c:pt>
                <c:pt idx="12">
                  <c:v>0.24576999999999999</c:v>
                </c:pt>
                <c:pt idx="13">
                  <c:v>0.22043699999999999</c:v>
                </c:pt>
                <c:pt idx="14">
                  <c:v>7.5517600000000004E-2</c:v>
                </c:pt>
                <c:pt idx="15">
                  <c:v>7.2636699999999998E-2</c:v>
                </c:pt>
                <c:pt idx="16">
                  <c:v>-7.05987E-2</c:v>
                </c:pt>
                <c:pt idx="17">
                  <c:v>-0.122363</c:v>
                </c:pt>
                <c:pt idx="18">
                  <c:v>-8.5679000000000005E-2</c:v>
                </c:pt>
                <c:pt idx="19">
                  <c:v>3.0816099999999999E-2</c:v>
                </c:pt>
                <c:pt idx="20">
                  <c:v>-8.3254800000000004E-2</c:v>
                </c:pt>
                <c:pt idx="21">
                  <c:v>4.6244399999999998E-2</c:v>
                </c:pt>
                <c:pt idx="22">
                  <c:v>8.3141800000000002E-2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PotTotalBubblePlot!$J$28:$J$50</c:f>
              <c:numCache>
                <c:formatCode>General</c:formatCode>
                <c:ptCount val="23"/>
                <c:pt idx="0">
                  <c:v>143</c:v>
                </c:pt>
                <c:pt idx="1">
                  <c:v>143</c:v>
                </c:pt>
                <c:pt idx="2">
                  <c:v>143</c:v>
                </c:pt>
                <c:pt idx="3">
                  <c:v>143</c:v>
                </c:pt>
                <c:pt idx="4">
                  <c:v>143</c:v>
                </c:pt>
                <c:pt idx="5">
                  <c:v>143</c:v>
                </c:pt>
                <c:pt idx="6">
                  <c:v>143</c:v>
                </c:pt>
                <c:pt idx="7">
                  <c:v>143</c:v>
                </c:pt>
                <c:pt idx="8">
                  <c:v>143</c:v>
                </c:pt>
                <c:pt idx="9">
                  <c:v>143</c:v>
                </c:pt>
                <c:pt idx="10">
                  <c:v>143</c:v>
                </c:pt>
                <c:pt idx="11">
                  <c:v>143</c:v>
                </c:pt>
                <c:pt idx="12">
                  <c:v>143</c:v>
                </c:pt>
                <c:pt idx="13">
                  <c:v>143</c:v>
                </c:pt>
                <c:pt idx="14">
                  <c:v>143</c:v>
                </c:pt>
                <c:pt idx="15">
                  <c:v>143</c:v>
                </c:pt>
                <c:pt idx="16">
                  <c:v>143</c:v>
                </c:pt>
                <c:pt idx="17">
                  <c:v>143</c:v>
                </c:pt>
                <c:pt idx="18">
                  <c:v>143</c:v>
                </c:pt>
                <c:pt idx="19">
                  <c:v>143</c:v>
                </c:pt>
                <c:pt idx="20">
                  <c:v>143</c:v>
                </c:pt>
                <c:pt idx="21">
                  <c:v>143</c:v>
                </c:pt>
                <c:pt idx="22">
                  <c:v>143</c:v>
                </c:pt>
              </c:numCache>
            </c:numRef>
          </c:yVal>
          <c:bubbleSize>
            <c:numRef>
              <c:f>PotTotalBubblePlot!$J$4:$J$26</c:f>
              <c:numCache>
                <c:formatCode>0.000000</c:formatCode>
                <c:ptCount val="23"/>
                <c:pt idx="0">
                  <c:v>-0.22698099999999999</c:v>
                </c:pt>
                <c:pt idx="1">
                  <c:v>-4.1533500000000001E-2</c:v>
                </c:pt>
                <c:pt idx="2">
                  <c:v>-7.5685500000000003E-2</c:v>
                </c:pt>
                <c:pt idx="3">
                  <c:v>0</c:v>
                </c:pt>
                <c:pt idx="4">
                  <c:v>-0.184335</c:v>
                </c:pt>
                <c:pt idx="5">
                  <c:v>-0.35188399999999997</c:v>
                </c:pt>
                <c:pt idx="6">
                  <c:v>-0.37353700000000001</c:v>
                </c:pt>
                <c:pt idx="7">
                  <c:v>-0.23302700000000001</c:v>
                </c:pt>
                <c:pt idx="8">
                  <c:v>-0.21213899999999999</c:v>
                </c:pt>
                <c:pt idx="9">
                  <c:v>2.9670200000000001E-2</c:v>
                </c:pt>
                <c:pt idx="10">
                  <c:v>5.9537199999999998E-2</c:v>
                </c:pt>
                <c:pt idx="11">
                  <c:v>0.40689500000000001</c:v>
                </c:pt>
                <c:pt idx="12">
                  <c:v>0.31625599999999998</c:v>
                </c:pt>
                <c:pt idx="13">
                  <c:v>0.276611</c:v>
                </c:pt>
                <c:pt idx="14">
                  <c:v>0.188504</c:v>
                </c:pt>
                <c:pt idx="15">
                  <c:v>1.9686100000000002E-2</c:v>
                </c:pt>
                <c:pt idx="16">
                  <c:v>0.13181799999999999</c:v>
                </c:pt>
                <c:pt idx="17">
                  <c:v>5.0826999999999999E-3</c:v>
                </c:pt>
                <c:pt idx="18">
                  <c:v>1.3065800000000001E-2</c:v>
                </c:pt>
                <c:pt idx="19">
                  <c:v>6.0659900000000003E-2</c:v>
                </c:pt>
                <c:pt idx="20">
                  <c:v>-6.2744400000000006E-2</c:v>
                </c:pt>
                <c:pt idx="21">
                  <c:v>-2.62346E-2</c:v>
                </c:pt>
                <c:pt idx="22">
                  <c:v>7.0293599999999998E-2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PotTotalBubblePlot!$K$28:$K$50</c:f>
              <c:numCache>
                <c:formatCode>General</c:formatCode>
                <c:ptCount val="23"/>
                <c:pt idx="0">
                  <c:v>148</c:v>
                </c:pt>
                <c:pt idx="1">
                  <c:v>148</c:v>
                </c:pt>
                <c:pt idx="2">
                  <c:v>148</c:v>
                </c:pt>
                <c:pt idx="3">
                  <c:v>148</c:v>
                </c:pt>
                <c:pt idx="4">
                  <c:v>148</c:v>
                </c:pt>
                <c:pt idx="5">
                  <c:v>148</c:v>
                </c:pt>
                <c:pt idx="6">
                  <c:v>148</c:v>
                </c:pt>
                <c:pt idx="7">
                  <c:v>148</c:v>
                </c:pt>
                <c:pt idx="8">
                  <c:v>148</c:v>
                </c:pt>
                <c:pt idx="9">
                  <c:v>148</c:v>
                </c:pt>
                <c:pt idx="10">
                  <c:v>148</c:v>
                </c:pt>
                <c:pt idx="11">
                  <c:v>148</c:v>
                </c:pt>
                <c:pt idx="12">
                  <c:v>148</c:v>
                </c:pt>
                <c:pt idx="13">
                  <c:v>148</c:v>
                </c:pt>
                <c:pt idx="14">
                  <c:v>148</c:v>
                </c:pt>
                <c:pt idx="15">
                  <c:v>148</c:v>
                </c:pt>
                <c:pt idx="16">
                  <c:v>148</c:v>
                </c:pt>
                <c:pt idx="17">
                  <c:v>148</c:v>
                </c:pt>
                <c:pt idx="18">
                  <c:v>148</c:v>
                </c:pt>
                <c:pt idx="19">
                  <c:v>148</c:v>
                </c:pt>
                <c:pt idx="20">
                  <c:v>148</c:v>
                </c:pt>
                <c:pt idx="21">
                  <c:v>148</c:v>
                </c:pt>
                <c:pt idx="22">
                  <c:v>148</c:v>
                </c:pt>
              </c:numCache>
            </c:numRef>
          </c:yVal>
          <c:bubbleSize>
            <c:numRef>
              <c:f>PotTotalBubblePlot!$K$4:$K$26</c:f>
              <c:numCache>
                <c:formatCode>0.000000</c:formatCode>
                <c:ptCount val="23"/>
                <c:pt idx="0">
                  <c:v>-0.122276</c:v>
                </c:pt>
                <c:pt idx="1">
                  <c:v>-9.84598E-2</c:v>
                </c:pt>
                <c:pt idx="2">
                  <c:v>1.4822800000000001E-2</c:v>
                </c:pt>
                <c:pt idx="3">
                  <c:v>0</c:v>
                </c:pt>
                <c:pt idx="4">
                  <c:v>-0.25089899999999998</c:v>
                </c:pt>
                <c:pt idx="5">
                  <c:v>-0.62959500000000002</c:v>
                </c:pt>
                <c:pt idx="6">
                  <c:v>-7.6806100000000002E-2</c:v>
                </c:pt>
                <c:pt idx="7">
                  <c:v>-0.16931099999999999</c:v>
                </c:pt>
                <c:pt idx="8">
                  <c:v>-0.25924900000000001</c:v>
                </c:pt>
                <c:pt idx="9">
                  <c:v>6.0084199999999997E-2</c:v>
                </c:pt>
                <c:pt idx="10">
                  <c:v>-7.8494400000000006E-2</c:v>
                </c:pt>
                <c:pt idx="11">
                  <c:v>0.22703999999999999</c:v>
                </c:pt>
                <c:pt idx="12">
                  <c:v>0.34412300000000001</c:v>
                </c:pt>
                <c:pt idx="13">
                  <c:v>0.30132799999999998</c:v>
                </c:pt>
                <c:pt idx="14">
                  <c:v>0.29367399999999999</c:v>
                </c:pt>
                <c:pt idx="15">
                  <c:v>2.1638299999999999E-2</c:v>
                </c:pt>
                <c:pt idx="16">
                  <c:v>0.12764</c:v>
                </c:pt>
                <c:pt idx="17">
                  <c:v>0.13448199999999999</c:v>
                </c:pt>
                <c:pt idx="18">
                  <c:v>9.3281500000000003E-2</c:v>
                </c:pt>
                <c:pt idx="19">
                  <c:v>4.3125499999999997E-2</c:v>
                </c:pt>
                <c:pt idx="20">
                  <c:v>-1.32388E-2</c:v>
                </c:pt>
                <c:pt idx="21">
                  <c:v>-3.05256E-2</c:v>
                </c:pt>
                <c:pt idx="22">
                  <c:v>-3.86209E-2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PotTotalBubblePlot!$L$28:$L$50</c:f>
              <c:numCache>
                <c:formatCode>General</c:formatCode>
                <c:ptCount val="23"/>
                <c:pt idx="0">
                  <c:v>153</c:v>
                </c:pt>
                <c:pt idx="1">
                  <c:v>153</c:v>
                </c:pt>
                <c:pt idx="2">
                  <c:v>153</c:v>
                </c:pt>
                <c:pt idx="3">
                  <c:v>153</c:v>
                </c:pt>
                <c:pt idx="4">
                  <c:v>153</c:v>
                </c:pt>
                <c:pt idx="5">
                  <c:v>153</c:v>
                </c:pt>
                <c:pt idx="6">
                  <c:v>153</c:v>
                </c:pt>
                <c:pt idx="7">
                  <c:v>153</c:v>
                </c:pt>
                <c:pt idx="8">
                  <c:v>153</c:v>
                </c:pt>
                <c:pt idx="9">
                  <c:v>153</c:v>
                </c:pt>
                <c:pt idx="10">
                  <c:v>153</c:v>
                </c:pt>
                <c:pt idx="11">
                  <c:v>153</c:v>
                </c:pt>
                <c:pt idx="12">
                  <c:v>153</c:v>
                </c:pt>
                <c:pt idx="13">
                  <c:v>153</c:v>
                </c:pt>
                <c:pt idx="14">
                  <c:v>153</c:v>
                </c:pt>
                <c:pt idx="15">
                  <c:v>153</c:v>
                </c:pt>
                <c:pt idx="16">
                  <c:v>153</c:v>
                </c:pt>
                <c:pt idx="17">
                  <c:v>153</c:v>
                </c:pt>
                <c:pt idx="18">
                  <c:v>153</c:v>
                </c:pt>
                <c:pt idx="19">
                  <c:v>153</c:v>
                </c:pt>
                <c:pt idx="20">
                  <c:v>153</c:v>
                </c:pt>
                <c:pt idx="21">
                  <c:v>153</c:v>
                </c:pt>
                <c:pt idx="22">
                  <c:v>153</c:v>
                </c:pt>
              </c:numCache>
            </c:numRef>
          </c:yVal>
          <c:bubbleSize>
            <c:numRef>
              <c:f>PotTotalBubblePlot!$L$4:$L$26</c:f>
              <c:numCache>
                <c:formatCode>0.000000</c:formatCode>
                <c:ptCount val="23"/>
                <c:pt idx="0">
                  <c:v>-9.92088E-2</c:v>
                </c:pt>
                <c:pt idx="1">
                  <c:v>-0.208567</c:v>
                </c:pt>
                <c:pt idx="2">
                  <c:v>-1.18467E-2</c:v>
                </c:pt>
                <c:pt idx="3">
                  <c:v>0</c:v>
                </c:pt>
                <c:pt idx="4">
                  <c:v>-0.20188200000000001</c:v>
                </c:pt>
                <c:pt idx="5">
                  <c:v>-1.06603</c:v>
                </c:pt>
                <c:pt idx="6">
                  <c:v>-4.3382299999999999E-2</c:v>
                </c:pt>
                <c:pt idx="7">
                  <c:v>-0.13966899999999999</c:v>
                </c:pt>
                <c:pt idx="8">
                  <c:v>-0.39147100000000001</c:v>
                </c:pt>
                <c:pt idx="9">
                  <c:v>-5.3247700000000002E-2</c:v>
                </c:pt>
                <c:pt idx="10">
                  <c:v>-7.5758099999999995E-2</c:v>
                </c:pt>
                <c:pt idx="11">
                  <c:v>-5.3486100000000002E-2</c:v>
                </c:pt>
                <c:pt idx="12">
                  <c:v>0.19413</c:v>
                </c:pt>
                <c:pt idx="13">
                  <c:v>0.14954500000000001</c:v>
                </c:pt>
                <c:pt idx="14">
                  <c:v>0.12908800000000001</c:v>
                </c:pt>
                <c:pt idx="15">
                  <c:v>2.7885500000000001E-2</c:v>
                </c:pt>
                <c:pt idx="16">
                  <c:v>8.0322199999999996E-2</c:v>
                </c:pt>
                <c:pt idx="17">
                  <c:v>0.25242300000000001</c:v>
                </c:pt>
                <c:pt idx="18">
                  <c:v>0.13089999999999999</c:v>
                </c:pt>
                <c:pt idx="19">
                  <c:v>7.9718399999999995E-2</c:v>
                </c:pt>
                <c:pt idx="20">
                  <c:v>-3.1758200000000002E-3</c:v>
                </c:pt>
                <c:pt idx="21">
                  <c:v>3.2690900000000002E-2</c:v>
                </c:pt>
                <c:pt idx="22">
                  <c:v>-5.2693400000000001E-2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PotTotalBubblePlot!$M$28:$M$50</c:f>
              <c:numCache>
                <c:formatCode>General</c:formatCode>
                <c:ptCount val="23"/>
                <c:pt idx="0">
                  <c:v>158</c:v>
                </c:pt>
                <c:pt idx="1">
                  <c:v>158</c:v>
                </c:pt>
                <c:pt idx="2">
                  <c:v>158</c:v>
                </c:pt>
                <c:pt idx="3">
                  <c:v>158</c:v>
                </c:pt>
                <c:pt idx="4">
                  <c:v>158</c:v>
                </c:pt>
                <c:pt idx="5">
                  <c:v>158</c:v>
                </c:pt>
                <c:pt idx="6">
                  <c:v>158</c:v>
                </c:pt>
                <c:pt idx="7">
                  <c:v>158</c:v>
                </c:pt>
                <c:pt idx="8">
                  <c:v>158</c:v>
                </c:pt>
                <c:pt idx="9">
                  <c:v>158</c:v>
                </c:pt>
                <c:pt idx="10">
                  <c:v>158</c:v>
                </c:pt>
                <c:pt idx="11">
                  <c:v>158</c:v>
                </c:pt>
                <c:pt idx="12">
                  <c:v>158</c:v>
                </c:pt>
                <c:pt idx="13">
                  <c:v>158</c:v>
                </c:pt>
                <c:pt idx="14">
                  <c:v>158</c:v>
                </c:pt>
                <c:pt idx="15">
                  <c:v>158</c:v>
                </c:pt>
                <c:pt idx="16">
                  <c:v>158</c:v>
                </c:pt>
                <c:pt idx="17">
                  <c:v>158</c:v>
                </c:pt>
                <c:pt idx="18">
                  <c:v>158</c:v>
                </c:pt>
                <c:pt idx="19">
                  <c:v>158</c:v>
                </c:pt>
                <c:pt idx="20">
                  <c:v>158</c:v>
                </c:pt>
                <c:pt idx="21">
                  <c:v>158</c:v>
                </c:pt>
                <c:pt idx="22">
                  <c:v>158</c:v>
                </c:pt>
              </c:numCache>
            </c:numRef>
          </c:yVal>
          <c:bubbleSize>
            <c:numRef>
              <c:f>PotTotalBubblePlot!$M$4:$M$26</c:f>
              <c:numCache>
                <c:formatCode>0.000000</c:formatCode>
                <c:ptCount val="23"/>
                <c:pt idx="0">
                  <c:v>-7.5732599999999997E-2</c:v>
                </c:pt>
                <c:pt idx="1">
                  <c:v>-0.11870699999999999</c:v>
                </c:pt>
                <c:pt idx="2">
                  <c:v>-3.9216800000000003E-2</c:v>
                </c:pt>
                <c:pt idx="3">
                  <c:v>0</c:v>
                </c:pt>
                <c:pt idx="4">
                  <c:v>-0.11966300000000001</c:v>
                </c:pt>
                <c:pt idx="5">
                  <c:v>-1.0932599999999999</c:v>
                </c:pt>
                <c:pt idx="6">
                  <c:v>-0.185672</c:v>
                </c:pt>
                <c:pt idx="7">
                  <c:v>8.2552200000000006E-3</c:v>
                </c:pt>
                <c:pt idx="8">
                  <c:v>-0.20799100000000001</c:v>
                </c:pt>
                <c:pt idx="9">
                  <c:v>-0.14496000000000001</c:v>
                </c:pt>
                <c:pt idx="10">
                  <c:v>-4.4344099999999997E-2</c:v>
                </c:pt>
                <c:pt idx="11">
                  <c:v>-0.17027100000000001</c:v>
                </c:pt>
                <c:pt idx="12">
                  <c:v>9.3720599999999998E-3</c:v>
                </c:pt>
                <c:pt idx="13">
                  <c:v>6.5605699999999999E-3</c:v>
                </c:pt>
                <c:pt idx="14">
                  <c:v>1.69418E-2</c:v>
                </c:pt>
                <c:pt idx="15">
                  <c:v>-7.4494900000000003E-2</c:v>
                </c:pt>
                <c:pt idx="16">
                  <c:v>-2.9902100000000001E-2</c:v>
                </c:pt>
                <c:pt idx="17">
                  <c:v>8.1344100000000003E-2</c:v>
                </c:pt>
                <c:pt idx="18">
                  <c:v>0.115606</c:v>
                </c:pt>
                <c:pt idx="19">
                  <c:v>5.5698600000000001E-2</c:v>
                </c:pt>
                <c:pt idx="20">
                  <c:v>4.4663799999999997E-2</c:v>
                </c:pt>
                <c:pt idx="21">
                  <c:v>5.1263700000000003E-4</c:v>
                </c:pt>
                <c:pt idx="22">
                  <c:v>-6.0298299999999999E-2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PotTotalBubblePlot!$N$28:$N$50</c:f>
              <c:numCache>
                <c:formatCode>General</c:formatCode>
                <c:ptCount val="23"/>
                <c:pt idx="0">
                  <c:v>163</c:v>
                </c:pt>
                <c:pt idx="1">
                  <c:v>163</c:v>
                </c:pt>
                <c:pt idx="2">
                  <c:v>163</c:v>
                </c:pt>
                <c:pt idx="3">
                  <c:v>163</c:v>
                </c:pt>
                <c:pt idx="4">
                  <c:v>163</c:v>
                </c:pt>
                <c:pt idx="5">
                  <c:v>163</c:v>
                </c:pt>
                <c:pt idx="6">
                  <c:v>163</c:v>
                </c:pt>
                <c:pt idx="7">
                  <c:v>163</c:v>
                </c:pt>
                <c:pt idx="8">
                  <c:v>163</c:v>
                </c:pt>
                <c:pt idx="9">
                  <c:v>163</c:v>
                </c:pt>
                <c:pt idx="10">
                  <c:v>163</c:v>
                </c:pt>
                <c:pt idx="11">
                  <c:v>163</c:v>
                </c:pt>
                <c:pt idx="12">
                  <c:v>163</c:v>
                </c:pt>
                <c:pt idx="13">
                  <c:v>163</c:v>
                </c:pt>
                <c:pt idx="14">
                  <c:v>163</c:v>
                </c:pt>
                <c:pt idx="15">
                  <c:v>163</c:v>
                </c:pt>
                <c:pt idx="16">
                  <c:v>163</c:v>
                </c:pt>
                <c:pt idx="17">
                  <c:v>163</c:v>
                </c:pt>
                <c:pt idx="18">
                  <c:v>163</c:v>
                </c:pt>
                <c:pt idx="19">
                  <c:v>163</c:v>
                </c:pt>
                <c:pt idx="20">
                  <c:v>163</c:v>
                </c:pt>
                <c:pt idx="21">
                  <c:v>163</c:v>
                </c:pt>
                <c:pt idx="22">
                  <c:v>163</c:v>
                </c:pt>
              </c:numCache>
            </c:numRef>
          </c:yVal>
          <c:bubbleSize>
            <c:numRef>
              <c:f>PotTotalBubblePlot!$N$4:$N$26</c:f>
              <c:numCache>
                <c:formatCode>0.000000</c:formatCode>
                <c:ptCount val="23"/>
                <c:pt idx="0">
                  <c:v>-5.0871E-2</c:v>
                </c:pt>
                <c:pt idx="1">
                  <c:v>2.2310699999999999E-2</c:v>
                </c:pt>
                <c:pt idx="2">
                  <c:v>-1.5465800000000001E-3</c:v>
                </c:pt>
                <c:pt idx="3">
                  <c:v>0</c:v>
                </c:pt>
                <c:pt idx="4">
                  <c:v>-7.1628300000000006E-2</c:v>
                </c:pt>
                <c:pt idx="5">
                  <c:v>-0.52737800000000001</c:v>
                </c:pt>
                <c:pt idx="6">
                  <c:v>-0.16883300000000001</c:v>
                </c:pt>
                <c:pt idx="7">
                  <c:v>5.4138899999999997E-2</c:v>
                </c:pt>
                <c:pt idx="8">
                  <c:v>-4.7150499999999998E-2</c:v>
                </c:pt>
                <c:pt idx="9">
                  <c:v>-1.7851499999999999E-2</c:v>
                </c:pt>
                <c:pt idx="10">
                  <c:v>-1.8144500000000001E-2</c:v>
                </c:pt>
                <c:pt idx="11">
                  <c:v>-0.13001099999999999</c:v>
                </c:pt>
                <c:pt idx="12">
                  <c:v>-1.44027E-4</c:v>
                </c:pt>
                <c:pt idx="13">
                  <c:v>-9.7014400000000001E-2</c:v>
                </c:pt>
                <c:pt idx="14">
                  <c:v>-3.1197699999999998E-2</c:v>
                </c:pt>
                <c:pt idx="15">
                  <c:v>-4.0408399999999997E-2</c:v>
                </c:pt>
                <c:pt idx="16">
                  <c:v>-2.7862700000000001E-2</c:v>
                </c:pt>
                <c:pt idx="17">
                  <c:v>6.6812399999999994E-2</c:v>
                </c:pt>
                <c:pt idx="18">
                  <c:v>7.6568300000000006E-2</c:v>
                </c:pt>
                <c:pt idx="19">
                  <c:v>6.0978999999999998E-2</c:v>
                </c:pt>
                <c:pt idx="20">
                  <c:v>-1.38297E-2</c:v>
                </c:pt>
                <c:pt idx="21">
                  <c:v>-6.5267099999999998E-3</c:v>
                </c:pt>
                <c:pt idx="22">
                  <c:v>-5.8578100000000001E-2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PotTotalBubblePlot!$O$28:$O$50</c:f>
              <c:numCache>
                <c:formatCode>General</c:formatCode>
                <c:ptCount val="23"/>
                <c:pt idx="0">
                  <c:v>168</c:v>
                </c:pt>
                <c:pt idx="1">
                  <c:v>168</c:v>
                </c:pt>
                <c:pt idx="2">
                  <c:v>168</c:v>
                </c:pt>
                <c:pt idx="3">
                  <c:v>168</c:v>
                </c:pt>
                <c:pt idx="4">
                  <c:v>168</c:v>
                </c:pt>
                <c:pt idx="5">
                  <c:v>168</c:v>
                </c:pt>
                <c:pt idx="6">
                  <c:v>168</c:v>
                </c:pt>
                <c:pt idx="7">
                  <c:v>168</c:v>
                </c:pt>
                <c:pt idx="8">
                  <c:v>168</c:v>
                </c:pt>
                <c:pt idx="9">
                  <c:v>168</c:v>
                </c:pt>
                <c:pt idx="10">
                  <c:v>168</c:v>
                </c:pt>
                <c:pt idx="11">
                  <c:v>168</c:v>
                </c:pt>
                <c:pt idx="12">
                  <c:v>168</c:v>
                </c:pt>
                <c:pt idx="13">
                  <c:v>168</c:v>
                </c:pt>
                <c:pt idx="14">
                  <c:v>168</c:v>
                </c:pt>
                <c:pt idx="15">
                  <c:v>168</c:v>
                </c:pt>
                <c:pt idx="16">
                  <c:v>168</c:v>
                </c:pt>
                <c:pt idx="17">
                  <c:v>168</c:v>
                </c:pt>
                <c:pt idx="18">
                  <c:v>168</c:v>
                </c:pt>
                <c:pt idx="19">
                  <c:v>168</c:v>
                </c:pt>
                <c:pt idx="20">
                  <c:v>168</c:v>
                </c:pt>
                <c:pt idx="21">
                  <c:v>168</c:v>
                </c:pt>
                <c:pt idx="22">
                  <c:v>168</c:v>
                </c:pt>
              </c:numCache>
            </c:numRef>
          </c:yVal>
          <c:bubbleSize>
            <c:numRef>
              <c:f>PotTotalBubblePlot!$O$4:$O$26</c:f>
              <c:numCache>
                <c:formatCode>0.000000</c:formatCode>
                <c:ptCount val="23"/>
                <c:pt idx="0">
                  <c:v>-0.19184999999999999</c:v>
                </c:pt>
                <c:pt idx="1">
                  <c:v>-7.1976399999999996E-2</c:v>
                </c:pt>
                <c:pt idx="2">
                  <c:v>-4.47071E-2</c:v>
                </c:pt>
                <c:pt idx="3">
                  <c:v>0</c:v>
                </c:pt>
                <c:pt idx="4">
                  <c:v>-8.82106E-2</c:v>
                </c:pt>
                <c:pt idx="5">
                  <c:v>-6.6570400000000002E-2</c:v>
                </c:pt>
                <c:pt idx="6">
                  <c:v>0.29241200000000001</c:v>
                </c:pt>
                <c:pt idx="7">
                  <c:v>0.22978100000000001</c:v>
                </c:pt>
                <c:pt idx="8">
                  <c:v>3.2312500000000001E-2</c:v>
                </c:pt>
                <c:pt idx="9">
                  <c:v>0.12726699999999999</c:v>
                </c:pt>
                <c:pt idx="10">
                  <c:v>0.144395</c:v>
                </c:pt>
                <c:pt idx="11">
                  <c:v>-5.5137800000000001E-2</c:v>
                </c:pt>
                <c:pt idx="12">
                  <c:v>-3.8942499999999998E-2</c:v>
                </c:pt>
                <c:pt idx="13">
                  <c:v>-4.1931799999999998E-2</c:v>
                </c:pt>
                <c:pt idx="14">
                  <c:v>-0.21676899999999999</c:v>
                </c:pt>
                <c:pt idx="15">
                  <c:v>-0.19194900000000001</c:v>
                </c:pt>
                <c:pt idx="16">
                  <c:v>-0.168403</c:v>
                </c:pt>
                <c:pt idx="17">
                  <c:v>1.9888800000000002E-2</c:v>
                </c:pt>
                <c:pt idx="18">
                  <c:v>-7.1022299999999997E-2</c:v>
                </c:pt>
                <c:pt idx="19">
                  <c:v>-0.208314</c:v>
                </c:pt>
                <c:pt idx="20">
                  <c:v>-0.107945</c:v>
                </c:pt>
                <c:pt idx="21">
                  <c:v>-0.12615699999999999</c:v>
                </c:pt>
                <c:pt idx="22">
                  <c:v>-7.8992999999999994E-2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PotTotalBubblePlot!$P$28:$P$50</c:f>
              <c:numCache>
                <c:formatCode>General</c:formatCode>
                <c:ptCount val="23"/>
              </c:numCache>
            </c:numRef>
          </c:yVal>
          <c:bubbleSize>
            <c:numRef>
              <c:f>PotTotalBubblePlot!$P$4:$P$26</c:f>
              <c:numCache>
                <c:formatCode>General</c:formatCode>
                <c:ptCount val="23"/>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PotTotalBubblePlot!$Q$28:$Q$50</c:f>
              <c:numCache>
                <c:formatCode>General</c:formatCode>
                <c:ptCount val="23"/>
              </c:numCache>
            </c:numRef>
          </c:yVal>
          <c:bubbleSize>
            <c:numRef>
              <c:f>PotTotalBubblePlot!$Q$4:$Q$26</c:f>
              <c:numCache>
                <c:formatCode>General</c:formatCode>
                <c:ptCount val="23"/>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6"/>
          <c:order val="16"/>
          <c:spPr>
            <a:solidFill>
              <a:schemeClr val="tx1"/>
            </a:solidFill>
          </c:spPr>
          <c:invertIfNegative val="0"/>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PotTotalBubblePlot!$R$28:$R$50</c:f>
              <c:numCache>
                <c:formatCode>General</c:formatCode>
                <c:ptCount val="23"/>
              </c:numCache>
            </c:numRef>
          </c:yVal>
          <c:bubbleSize>
            <c:numRef>
              <c:f>PotTotalBubblePlot!$R$4:$R$26</c:f>
              <c:numCache>
                <c:formatCode>General</c:formatCode>
                <c:ptCount val="23"/>
              </c:numCache>
            </c:numRef>
          </c:bubbleSize>
          <c:bubble3D val="0"/>
        </c:ser>
        <c:dLbls>
          <c:showLegendKey val="0"/>
          <c:showVal val="0"/>
          <c:showCatName val="0"/>
          <c:showSerName val="0"/>
          <c:showPercent val="0"/>
          <c:showBubbleSize val="0"/>
        </c:dLbls>
        <c:bubbleScale val="20"/>
        <c:showNegBubbles val="1"/>
        <c:axId val="98701696"/>
        <c:axId val="98703616"/>
      </c:bubbleChart>
      <c:valAx>
        <c:axId val="98701696"/>
        <c:scaling>
          <c:orientation val="minMax"/>
          <c:max val="2013"/>
          <c:min val="1989"/>
        </c:scaling>
        <c:delete val="0"/>
        <c:axPos val="b"/>
        <c:title>
          <c:tx>
            <c:rich>
              <a:bodyPr/>
              <a:lstStyle/>
              <a:p>
                <a:pPr>
                  <a:defRPr sz="1200" b="1" i="0" u="none" strike="noStrike" baseline="0">
                    <a:solidFill>
                      <a:srgbClr val="000000"/>
                    </a:solidFill>
                    <a:latin typeface="Arial"/>
                    <a:ea typeface="Arial"/>
                    <a:cs typeface="Arial"/>
                  </a:defRPr>
                </a:pPr>
                <a:r>
                  <a:rPr lang="en-US" b="1"/>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98703616"/>
        <c:crosses val="autoZero"/>
        <c:crossBetween val="midCat"/>
        <c:majorUnit val="4"/>
      </c:valAx>
      <c:valAx>
        <c:axId val="98703616"/>
        <c:scaling>
          <c:orientation val="minMax"/>
          <c:max val="173"/>
          <c:min val="98"/>
        </c:scaling>
        <c:delete val="0"/>
        <c:axPos val="l"/>
        <c:title>
          <c:tx>
            <c:rich>
              <a:bodyPr/>
              <a:lstStyle/>
              <a:p>
                <a:pPr>
                  <a:defRPr sz="1200" b="1" i="0" u="none" strike="noStrike" baseline="0">
                    <a:solidFill>
                      <a:srgbClr val="000000"/>
                    </a:solidFill>
                    <a:latin typeface="Arial"/>
                    <a:ea typeface="Arial"/>
                    <a:cs typeface="Arial"/>
                  </a:defRPr>
                </a:pPr>
                <a:r>
                  <a:rPr lang="en-US" b="1"/>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98701696"/>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073855818342926"/>
          <c:y val="3.8379530916844352E-2"/>
          <c:w val="0.72844716917247188"/>
          <c:h val="0.79864287185204319"/>
        </c:manualLayout>
      </c:layout>
      <c:bubbleChart>
        <c:varyColors val="0"/>
        <c:ser>
          <c:idx val="0"/>
          <c:order val="0"/>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PotTotalBubblePlot!$B$28:$B$50</c:f>
              <c:numCache>
                <c:formatCode>General</c:formatCode>
                <c:ptCount val="23"/>
                <c:pt idx="0">
                  <c:v>103</c:v>
                </c:pt>
                <c:pt idx="1">
                  <c:v>103</c:v>
                </c:pt>
                <c:pt idx="2">
                  <c:v>103</c:v>
                </c:pt>
                <c:pt idx="3">
                  <c:v>103</c:v>
                </c:pt>
                <c:pt idx="4">
                  <c:v>103</c:v>
                </c:pt>
                <c:pt idx="5">
                  <c:v>103</c:v>
                </c:pt>
                <c:pt idx="6">
                  <c:v>103</c:v>
                </c:pt>
                <c:pt idx="7">
                  <c:v>103</c:v>
                </c:pt>
                <c:pt idx="8">
                  <c:v>103</c:v>
                </c:pt>
                <c:pt idx="9">
                  <c:v>103</c:v>
                </c:pt>
                <c:pt idx="10">
                  <c:v>103</c:v>
                </c:pt>
                <c:pt idx="11">
                  <c:v>103</c:v>
                </c:pt>
                <c:pt idx="12">
                  <c:v>103</c:v>
                </c:pt>
                <c:pt idx="13">
                  <c:v>103</c:v>
                </c:pt>
                <c:pt idx="14">
                  <c:v>103</c:v>
                </c:pt>
                <c:pt idx="15">
                  <c:v>103</c:v>
                </c:pt>
                <c:pt idx="16">
                  <c:v>103</c:v>
                </c:pt>
                <c:pt idx="17">
                  <c:v>103</c:v>
                </c:pt>
                <c:pt idx="18">
                  <c:v>103</c:v>
                </c:pt>
                <c:pt idx="19">
                  <c:v>103</c:v>
                </c:pt>
                <c:pt idx="20">
                  <c:v>103</c:v>
                </c:pt>
                <c:pt idx="21">
                  <c:v>103</c:v>
                </c:pt>
                <c:pt idx="22">
                  <c:v>103</c:v>
                </c:pt>
              </c:numCache>
            </c:numRef>
          </c:yVal>
          <c:bubbleSize>
            <c:numRef>
              <c:f>PotTotalBubblePlot!$B$4:$B$26</c:f>
              <c:numCache>
                <c:formatCode>0.000000</c:formatCode>
                <c:ptCount val="23"/>
                <c:pt idx="0">
                  <c:v>0.29031600000000002</c:v>
                </c:pt>
                <c:pt idx="1">
                  <c:v>0.16984099999999999</c:v>
                </c:pt>
                <c:pt idx="2">
                  <c:v>0.27909299999999998</c:v>
                </c:pt>
                <c:pt idx="3">
                  <c:v>0</c:v>
                </c:pt>
                <c:pt idx="4">
                  <c:v>0.238898</c:v>
                </c:pt>
                <c:pt idx="5">
                  <c:v>0.73451999999999995</c:v>
                </c:pt>
                <c:pt idx="6">
                  <c:v>0.52056100000000005</c:v>
                </c:pt>
                <c:pt idx="7">
                  <c:v>0.43228499999999997</c:v>
                </c:pt>
                <c:pt idx="8">
                  <c:v>0.43198399999999998</c:v>
                </c:pt>
                <c:pt idx="9">
                  <c:v>0.27691900000000003</c:v>
                </c:pt>
                <c:pt idx="10">
                  <c:v>0.138492</c:v>
                </c:pt>
                <c:pt idx="11">
                  <c:v>0.14127000000000001</c:v>
                </c:pt>
                <c:pt idx="12">
                  <c:v>6.9604299999999994E-2</c:v>
                </c:pt>
                <c:pt idx="13">
                  <c:v>8.6977899999999997E-2</c:v>
                </c:pt>
                <c:pt idx="14">
                  <c:v>9.22621E-2</c:v>
                </c:pt>
                <c:pt idx="15">
                  <c:v>0.13478499999999999</c:v>
                </c:pt>
                <c:pt idx="16">
                  <c:v>9.2450400000000002E-2</c:v>
                </c:pt>
                <c:pt idx="17">
                  <c:v>6.3974299999999998E-2</c:v>
                </c:pt>
                <c:pt idx="18">
                  <c:v>9.5733399999999996E-2</c:v>
                </c:pt>
                <c:pt idx="19">
                  <c:v>9.0789800000000004E-2</c:v>
                </c:pt>
                <c:pt idx="20">
                  <c:v>0.16384399999999999</c:v>
                </c:pt>
                <c:pt idx="21">
                  <c:v>0.133879</c:v>
                </c:pt>
                <c:pt idx="22">
                  <c:v>6.4476800000000001E-2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
          <c:order val="1"/>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PotTotalBubblePlot!$C$28:$C$50</c:f>
              <c:numCache>
                <c:formatCode>General</c:formatCode>
                <c:ptCount val="23"/>
                <c:pt idx="0">
                  <c:v>108</c:v>
                </c:pt>
                <c:pt idx="1">
                  <c:v>108</c:v>
                </c:pt>
                <c:pt idx="2">
                  <c:v>108</c:v>
                </c:pt>
                <c:pt idx="3">
                  <c:v>108</c:v>
                </c:pt>
                <c:pt idx="4">
                  <c:v>108</c:v>
                </c:pt>
                <c:pt idx="5">
                  <c:v>108</c:v>
                </c:pt>
                <c:pt idx="6">
                  <c:v>108</c:v>
                </c:pt>
                <c:pt idx="7">
                  <c:v>108</c:v>
                </c:pt>
                <c:pt idx="8">
                  <c:v>108</c:v>
                </c:pt>
                <c:pt idx="9">
                  <c:v>108</c:v>
                </c:pt>
                <c:pt idx="10">
                  <c:v>108</c:v>
                </c:pt>
                <c:pt idx="11">
                  <c:v>108</c:v>
                </c:pt>
                <c:pt idx="12">
                  <c:v>108</c:v>
                </c:pt>
                <c:pt idx="13">
                  <c:v>108</c:v>
                </c:pt>
                <c:pt idx="14">
                  <c:v>108</c:v>
                </c:pt>
                <c:pt idx="15">
                  <c:v>108</c:v>
                </c:pt>
                <c:pt idx="16">
                  <c:v>108</c:v>
                </c:pt>
                <c:pt idx="17">
                  <c:v>108</c:v>
                </c:pt>
                <c:pt idx="18">
                  <c:v>108</c:v>
                </c:pt>
                <c:pt idx="19">
                  <c:v>108</c:v>
                </c:pt>
                <c:pt idx="20">
                  <c:v>108</c:v>
                </c:pt>
                <c:pt idx="21">
                  <c:v>108</c:v>
                </c:pt>
                <c:pt idx="22">
                  <c:v>108</c:v>
                </c:pt>
              </c:numCache>
            </c:numRef>
          </c:yVal>
          <c:bubbleSize>
            <c:numRef>
              <c:f>PotTotalBubblePlot!$C$4:$C$26</c:f>
              <c:numCache>
                <c:formatCode>0.000000</c:formatCode>
                <c:ptCount val="23"/>
                <c:pt idx="0">
                  <c:v>0.173874</c:v>
                </c:pt>
                <c:pt idx="1">
                  <c:v>2.29369E-2</c:v>
                </c:pt>
                <c:pt idx="2">
                  <c:v>0.143207</c:v>
                </c:pt>
                <c:pt idx="3">
                  <c:v>0</c:v>
                </c:pt>
                <c:pt idx="4">
                  <c:v>0.160774</c:v>
                </c:pt>
                <c:pt idx="5">
                  <c:v>0.27351599999999998</c:v>
                </c:pt>
                <c:pt idx="6">
                  <c:v>8.1122799999999995E-2</c:v>
                </c:pt>
                <c:pt idx="7">
                  <c:v>-0.12595799999999999</c:v>
                </c:pt>
                <c:pt idx="8">
                  <c:v>2.2668899999999999E-2</c:v>
                </c:pt>
                <c:pt idx="9">
                  <c:v>-0.24346400000000001</c:v>
                </c:pt>
                <c:pt idx="10">
                  <c:v>-0.151838</c:v>
                </c:pt>
                <c:pt idx="11">
                  <c:v>-0.14865300000000001</c:v>
                </c:pt>
                <c:pt idx="12">
                  <c:v>-0.32746999999999998</c:v>
                </c:pt>
                <c:pt idx="13">
                  <c:v>-5.9663599999999997E-2</c:v>
                </c:pt>
                <c:pt idx="14">
                  <c:v>-9.1644199999999995E-2</c:v>
                </c:pt>
                <c:pt idx="15">
                  <c:v>0.14962300000000001</c:v>
                </c:pt>
                <c:pt idx="16">
                  <c:v>0.126224</c:v>
                </c:pt>
                <c:pt idx="17">
                  <c:v>6.0217E-2</c:v>
                </c:pt>
                <c:pt idx="18">
                  <c:v>8.9181899999999995E-2</c:v>
                </c:pt>
                <c:pt idx="19">
                  <c:v>8.1266699999999997E-2</c:v>
                </c:pt>
                <c:pt idx="20">
                  <c:v>0.16743</c:v>
                </c:pt>
                <c:pt idx="21">
                  <c:v>0.16284499999999999</c:v>
                </c:pt>
                <c:pt idx="22">
                  <c:v>0.10609399999999999</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2"/>
          <c:order val="2"/>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PotTotalBubblePlot!$D$28:$D$50</c:f>
              <c:numCache>
                <c:formatCode>General</c:formatCode>
                <c:ptCount val="23"/>
                <c:pt idx="0">
                  <c:v>113</c:v>
                </c:pt>
                <c:pt idx="1">
                  <c:v>113</c:v>
                </c:pt>
                <c:pt idx="2">
                  <c:v>113</c:v>
                </c:pt>
                <c:pt idx="3">
                  <c:v>113</c:v>
                </c:pt>
                <c:pt idx="4">
                  <c:v>113</c:v>
                </c:pt>
                <c:pt idx="5">
                  <c:v>113</c:v>
                </c:pt>
                <c:pt idx="6">
                  <c:v>113</c:v>
                </c:pt>
                <c:pt idx="7">
                  <c:v>113</c:v>
                </c:pt>
                <c:pt idx="8">
                  <c:v>113</c:v>
                </c:pt>
                <c:pt idx="9">
                  <c:v>113</c:v>
                </c:pt>
                <c:pt idx="10">
                  <c:v>113</c:v>
                </c:pt>
                <c:pt idx="11">
                  <c:v>113</c:v>
                </c:pt>
                <c:pt idx="12">
                  <c:v>113</c:v>
                </c:pt>
                <c:pt idx="13">
                  <c:v>113</c:v>
                </c:pt>
                <c:pt idx="14">
                  <c:v>113</c:v>
                </c:pt>
                <c:pt idx="15">
                  <c:v>113</c:v>
                </c:pt>
                <c:pt idx="16">
                  <c:v>113</c:v>
                </c:pt>
                <c:pt idx="17">
                  <c:v>113</c:v>
                </c:pt>
                <c:pt idx="18">
                  <c:v>113</c:v>
                </c:pt>
                <c:pt idx="19">
                  <c:v>113</c:v>
                </c:pt>
                <c:pt idx="20">
                  <c:v>113</c:v>
                </c:pt>
                <c:pt idx="21">
                  <c:v>113</c:v>
                </c:pt>
                <c:pt idx="22">
                  <c:v>113</c:v>
                </c:pt>
              </c:numCache>
            </c:numRef>
          </c:yVal>
          <c:bubbleSize>
            <c:numRef>
              <c:f>PotTotalBubblePlot!$D$4:$D$26</c:f>
              <c:numCache>
                <c:formatCode>0.000000</c:formatCode>
                <c:ptCount val="23"/>
                <c:pt idx="0">
                  <c:v>8.7199100000000002E-2</c:v>
                </c:pt>
                <c:pt idx="1">
                  <c:v>-7.3819099999999999E-2</c:v>
                </c:pt>
                <c:pt idx="2">
                  <c:v>-1.9504500000000001E-2</c:v>
                </c:pt>
                <c:pt idx="3">
                  <c:v>0</c:v>
                </c:pt>
                <c:pt idx="4">
                  <c:v>6.7065799999999995E-2</c:v>
                </c:pt>
                <c:pt idx="5">
                  <c:v>0.23341100000000001</c:v>
                </c:pt>
                <c:pt idx="6">
                  <c:v>-5.1993499999999998E-2</c:v>
                </c:pt>
                <c:pt idx="7">
                  <c:v>-0.27820499999999998</c:v>
                </c:pt>
                <c:pt idx="8">
                  <c:v>-4.8222599999999997E-2</c:v>
                </c:pt>
                <c:pt idx="9">
                  <c:v>-0.49867099999999998</c:v>
                </c:pt>
                <c:pt idx="10">
                  <c:v>-0.25786700000000001</c:v>
                </c:pt>
                <c:pt idx="11">
                  <c:v>-0.28486499999999998</c:v>
                </c:pt>
                <c:pt idx="12">
                  <c:v>-0.60150800000000004</c:v>
                </c:pt>
                <c:pt idx="13">
                  <c:v>-0.248228</c:v>
                </c:pt>
                <c:pt idx="14">
                  <c:v>-0.17524000000000001</c:v>
                </c:pt>
                <c:pt idx="15">
                  <c:v>0.115606</c:v>
                </c:pt>
                <c:pt idx="16">
                  <c:v>0.11622399999999999</c:v>
                </c:pt>
                <c:pt idx="17">
                  <c:v>3.14486E-2</c:v>
                </c:pt>
                <c:pt idx="18">
                  <c:v>8.1706799999999996E-2</c:v>
                </c:pt>
                <c:pt idx="19">
                  <c:v>7.3955199999999999E-2</c:v>
                </c:pt>
                <c:pt idx="20">
                  <c:v>0.19572999999999999</c:v>
                </c:pt>
                <c:pt idx="21">
                  <c:v>0.18504599999999999</c:v>
                </c:pt>
                <c:pt idx="22">
                  <c:v>7.0360400000000003E-2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3"/>
          <c:order val="3"/>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PotTotalBubblePlot!$E$28:$E$50</c:f>
              <c:numCache>
                <c:formatCode>General</c:formatCode>
                <c:ptCount val="23"/>
                <c:pt idx="0">
                  <c:v>118</c:v>
                </c:pt>
                <c:pt idx="1">
                  <c:v>118</c:v>
                </c:pt>
                <c:pt idx="2">
                  <c:v>118</c:v>
                </c:pt>
                <c:pt idx="3">
                  <c:v>118</c:v>
                </c:pt>
                <c:pt idx="4">
                  <c:v>118</c:v>
                </c:pt>
                <c:pt idx="5">
                  <c:v>118</c:v>
                </c:pt>
                <c:pt idx="6">
                  <c:v>118</c:v>
                </c:pt>
                <c:pt idx="7">
                  <c:v>118</c:v>
                </c:pt>
                <c:pt idx="8">
                  <c:v>118</c:v>
                </c:pt>
                <c:pt idx="9">
                  <c:v>118</c:v>
                </c:pt>
                <c:pt idx="10">
                  <c:v>118</c:v>
                </c:pt>
                <c:pt idx="11">
                  <c:v>118</c:v>
                </c:pt>
                <c:pt idx="12">
                  <c:v>118</c:v>
                </c:pt>
                <c:pt idx="13">
                  <c:v>118</c:v>
                </c:pt>
                <c:pt idx="14">
                  <c:v>118</c:v>
                </c:pt>
                <c:pt idx="15">
                  <c:v>118</c:v>
                </c:pt>
                <c:pt idx="16">
                  <c:v>118</c:v>
                </c:pt>
                <c:pt idx="17">
                  <c:v>118</c:v>
                </c:pt>
                <c:pt idx="18">
                  <c:v>118</c:v>
                </c:pt>
                <c:pt idx="19">
                  <c:v>118</c:v>
                </c:pt>
                <c:pt idx="20">
                  <c:v>118</c:v>
                </c:pt>
                <c:pt idx="21">
                  <c:v>118</c:v>
                </c:pt>
                <c:pt idx="22">
                  <c:v>118</c:v>
                </c:pt>
              </c:numCache>
            </c:numRef>
          </c:yVal>
          <c:bubbleSize>
            <c:numRef>
              <c:f>PotTotalBubblePlot!$E$4:$E$26</c:f>
              <c:numCache>
                <c:formatCode>0.000000</c:formatCode>
                <c:ptCount val="23"/>
                <c:pt idx="0">
                  <c:v>8.33097E-2</c:v>
                </c:pt>
                <c:pt idx="1">
                  <c:v>-9.1774800000000004E-2</c:v>
                </c:pt>
                <c:pt idx="2">
                  <c:v>2.2797499999999998E-2</c:v>
                </c:pt>
                <c:pt idx="3">
                  <c:v>0</c:v>
                </c:pt>
                <c:pt idx="4">
                  <c:v>4.38857E-2</c:v>
                </c:pt>
                <c:pt idx="5">
                  <c:v>0.219169</c:v>
                </c:pt>
                <c:pt idx="6">
                  <c:v>2.81023E-2</c:v>
                </c:pt>
                <c:pt idx="7">
                  <c:v>-0.17005200000000001</c:v>
                </c:pt>
                <c:pt idx="8">
                  <c:v>7.1654800000000005E-2</c:v>
                </c:pt>
                <c:pt idx="9">
                  <c:v>-0.30796600000000002</c:v>
                </c:pt>
                <c:pt idx="10">
                  <c:v>-0.19123299999999999</c:v>
                </c:pt>
                <c:pt idx="11">
                  <c:v>-0.330042</c:v>
                </c:pt>
                <c:pt idx="12">
                  <c:v>-0.60886899999999999</c:v>
                </c:pt>
                <c:pt idx="13">
                  <c:v>-0.35091</c:v>
                </c:pt>
                <c:pt idx="14">
                  <c:v>-0.220193</c:v>
                </c:pt>
                <c:pt idx="15">
                  <c:v>0.10587100000000001</c:v>
                </c:pt>
                <c:pt idx="16">
                  <c:v>5.0808499999999999E-2</c:v>
                </c:pt>
                <c:pt idx="17">
                  <c:v>-4.4323500000000002E-2</c:v>
                </c:pt>
                <c:pt idx="18">
                  <c:v>2.01648E-2</c:v>
                </c:pt>
                <c:pt idx="19">
                  <c:v>4.5148599999999997E-2</c:v>
                </c:pt>
                <c:pt idx="20">
                  <c:v>0.16982</c:v>
                </c:pt>
                <c:pt idx="21">
                  <c:v>0.15165799999999999</c:v>
                </c:pt>
                <c:pt idx="22">
                  <c:v>-7.3932700000000004E-2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4"/>
          <c:order val="4"/>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PotTotalBubblePlot!$F$28:$F$50</c:f>
              <c:numCache>
                <c:formatCode>General</c:formatCode>
                <c:ptCount val="23"/>
                <c:pt idx="0">
                  <c:v>123</c:v>
                </c:pt>
                <c:pt idx="1">
                  <c:v>123</c:v>
                </c:pt>
                <c:pt idx="2">
                  <c:v>123</c:v>
                </c:pt>
                <c:pt idx="3">
                  <c:v>123</c:v>
                </c:pt>
                <c:pt idx="4">
                  <c:v>123</c:v>
                </c:pt>
                <c:pt idx="5">
                  <c:v>123</c:v>
                </c:pt>
                <c:pt idx="6">
                  <c:v>123</c:v>
                </c:pt>
                <c:pt idx="7">
                  <c:v>123</c:v>
                </c:pt>
                <c:pt idx="8">
                  <c:v>123</c:v>
                </c:pt>
                <c:pt idx="9">
                  <c:v>123</c:v>
                </c:pt>
                <c:pt idx="10">
                  <c:v>123</c:v>
                </c:pt>
                <c:pt idx="11">
                  <c:v>123</c:v>
                </c:pt>
                <c:pt idx="12">
                  <c:v>123</c:v>
                </c:pt>
                <c:pt idx="13">
                  <c:v>123</c:v>
                </c:pt>
                <c:pt idx="14">
                  <c:v>123</c:v>
                </c:pt>
                <c:pt idx="15">
                  <c:v>123</c:v>
                </c:pt>
                <c:pt idx="16">
                  <c:v>123</c:v>
                </c:pt>
                <c:pt idx="17">
                  <c:v>123</c:v>
                </c:pt>
                <c:pt idx="18">
                  <c:v>123</c:v>
                </c:pt>
                <c:pt idx="19">
                  <c:v>123</c:v>
                </c:pt>
                <c:pt idx="20">
                  <c:v>123</c:v>
                </c:pt>
                <c:pt idx="21">
                  <c:v>123</c:v>
                </c:pt>
                <c:pt idx="22">
                  <c:v>123</c:v>
                </c:pt>
              </c:numCache>
            </c:numRef>
          </c:yVal>
          <c:bubbleSize>
            <c:numRef>
              <c:f>PotTotalBubblePlot!$F$4:$F$26</c:f>
              <c:numCache>
                <c:formatCode>0.000000</c:formatCode>
                <c:ptCount val="23"/>
                <c:pt idx="0">
                  <c:v>0.13720099999999999</c:v>
                </c:pt>
                <c:pt idx="1">
                  <c:v>-2.4567899999999999E-3</c:v>
                </c:pt>
                <c:pt idx="2">
                  <c:v>-3.7553099999999999E-2</c:v>
                </c:pt>
                <c:pt idx="3">
                  <c:v>0</c:v>
                </c:pt>
                <c:pt idx="4">
                  <c:v>7.5120300000000001E-2</c:v>
                </c:pt>
                <c:pt idx="5">
                  <c:v>6.0160999999999999E-2</c:v>
                </c:pt>
                <c:pt idx="6">
                  <c:v>5.75436E-3</c:v>
                </c:pt>
                <c:pt idx="7">
                  <c:v>-5.3447799999999997E-2</c:v>
                </c:pt>
                <c:pt idx="8">
                  <c:v>8.5247199999999995E-2</c:v>
                </c:pt>
                <c:pt idx="9">
                  <c:v>-0.14438699999999999</c:v>
                </c:pt>
                <c:pt idx="10">
                  <c:v>-0.24249499999999999</c:v>
                </c:pt>
                <c:pt idx="11">
                  <c:v>-0.463063</c:v>
                </c:pt>
                <c:pt idx="12">
                  <c:v>-0.47821399999999997</c:v>
                </c:pt>
                <c:pt idx="13">
                  <c:v>-0.49494899999999997</c:v>
                </c:pt>
                <c:pt idx="14">
                  <c:v>-0.186167</c:v>
                </c:pt>
                <c:pt idx="15">
                  <c:v>7.4728500000000003E-2</c:v>
                </c:pt>
                <c:pt idx="16">
                  <c:v>-5.1912399999999997E-2</c:v>
                </c:pt>
                <c:pt idx="17">
                  <c:v>-0.13777</c:v>
                </c:pt>
                <c:pt idx="18">
                  <c:v>-8.6855000000000002E-2</c:v>
                </c:pt>
                <c:pt idx="19">
                  <c:v>-0.104084</c:v>
                </c:pt>
                <c:pt idx="20">
                  <c:v>9.2678399999999994E-2</c:v>
                </c:pt>
                <c:pt idx="21">
                  <c:v>8.1215899999999997E-3</c:v>
                </c:pt>
                <c:pt idx="22">
                  <c:v>-3.80985E-2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5"/>
          <c:order val="5"/>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PotTotalBubblePlot!$G$28:$G$50</c:f>
              <c:numCache>
                <c:formatCode>General</c:formatCode>
                <c:ptCount val="23"/>
                <c:pt idx="0">
                  <c:v>128</c:v>
                </c:pt>
                <c:pt idx="1">
                  <c:v>128</c:v>
                </c:pt>
                <c:pt idx="2">
                  <c:v>128</c:v>
                </c:pt>
                <c:pt idx="3">
                  <c:v>128</c:v>
                </c:pt>
                <c:pt idx="4">
                  <c:v>128</c:v>
                </c:pt>
                <c:pt idx="5">
                  <c:v>128</c:v>
                </c:pt>
                <c:pt idx="6">
                  <c:v>128</c:v>
                </c:pt>
                <c:pt idx="7">
                  <c:v>128</c:v>
                </c:pt>
                <c:pt idx="8">
                  <c:v>128</c:v>
                </c:pt>
                <c:pt idx="9">
                  <c:v>128</c:v>
                </c:pt>
                <c:pt idx="10">
                  <c:v>128</c:v>
                </c:pt>
                <c:pt idx="11">
                  <c:v>128</c:v>
                </c:pt>
                <c:pt idx="12">
                  <c:v>128</c:v>
                </c:pt>
                <c:pt idx="13">
                  <c:v>128</c:v>
                </c:pt>
                <c:pt idx="14">
                  <c:v>128</c:v>
                </c:pt>
                <c:pt idx="15">
                  <c:v>128</c:v>
                </c:pt>
                <c:pt idx="16">
                  <c:v>128</c:v>
                </c:pt>
                <c:pt idx="17">
                  <c:v>128</c:v>
                </c:pt>
                <c:pt idx="18">
                  <c:v>128</c:v>
                </c:pt>
                <c:pt idx="19">
                  <c:v>128</c:v>
                </c:pt>
                <c:pt idx="20">
                  <c:v>128</c:v>
                </c:pt>
                <c:pt idx="21">
                  <c:v>128</c:v>
                </c:pt>
                <c:pt idx="22">
                  <c:v>128</c:v>
                </c:pt>
              </c:numCache>
            </c:numRef>
          </c:yVal>
          <c:bubbleSize>
            <c:numRef>
              <c:f>PotTotalBubblePlot!$G$4:$G$26</c:f>
              <c:numCache>
                <c:formatCode>0.000000</c:formatCode>
                <c:ptCount val="23"/>
                <c:pt idx="0">
                  <c:v>4.1531100000000001E-2</c:v>
                </c:pt>
                <c:pt idx="1">
                  <c:v>4.8014399999999999E-2</c:v>
                </c:pt>
                <c:pt idx="2">
                  <c:v>-0.18133199999999999</c:v>
                </c:pt>
                <c:pt idx="3">
                  <c:v>0</c:v>
                </c:pt>
                <c:pt idx="4">
                  <c:v>8.5164400000000001E-2</c:v>
                </c:pt>
                <c:pt idx="5">
                  <c:v>9.5130000000000006E-2</c:v>
                </c:pt>
                <c:pt idx="6">
                  <c:v>7.4135499999999993E-2</c:v>
                </c:pt>
                <c:pt idx="7">
                  <c:v>9.4092400000000007E-2</c:v>
                </c:pt>
                <c:pt idx="8">
                  <c:v>0.10691199999999999</c:v>
                </c:pt>
                <c:pt idx="9">
                  <c:v>9.4450099999999995E-2</c:v>
                </c:pt>
                <c:pt idx="10">
                  <c:v>-1.3063699999999999E-2</c:v>
                </c:pt>
                <c:pt idx="11">
                  <c:v>-0.30679600000000001</c:v>
                </c:pt>
                <c:pt idx="12">
                  <c:v>-0.12812999999999999</c:v>
                </c:pt>
                <c:pt idx="13">
                  <c:v>-0.29947299999999999</c:v>
                </c:pt>
                <c:pt idx="14">
                  <c:v>-0.13372500000000001</c:v>
                </c:pt>
                <c:pt idx="15">
                  <c:v>-0.10149900000000001</c:v>
                </c:pt>
                <c:pt idx="16">
                  <c:v>-0.26011600000000001</c:v>
                </c:pt>
                <c:pt idx="17">
                  <c:v>-0.35242000000000001</c:v>
                </c:pt>
                <c:pt idx="18">
                  <c:v>-0.22594400000000001</c:v>
                </c:pt>
                <c:pt idx="19">
                  <c:v>-0.18988099999999999</c:v>
                </c:pt>
                <c:pt idx="20">
                  <c:v>-0.16556999999999999</c:v>
                </c:pt>
                <c:pt idx="21">
                  <c:v>-0.207508</c:v>
                </c:pt>
                <c:pt idx="22">
                  <c:v>-9.5143800000000001E-2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6"/>
          <c:order val="6"/>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PotTotalBubblePlot!$H$28:$H$50</c:f>
              <c:numCache>
                <c:formatCode>General</c:formatCode>
                <c:ptCount val="23"/>
                <c:pt idx="0">
                  <c:v>133</c:v>
                </c:pt>
                <c:pt idx="1">
                  <c:v>133</c:v>
                </c:pt>
                <c:pt idx="2">
                  <c:v>133</c:v>
                </c:pt>
                <c:pt idx="3">
                  <c:v>133</c:v>
                </c:pt>
                <c:pt idx="4">
                  <c:v>133</c:v>
                </c:pt>
                <c:pt idx="5">
                  <c:v>133</c:v>
                </c:pt>
                <c:pt idx="6">
                  <c:v>133</c:v>
                </c:pt>
                <c:pt idx="7">
                  <c:v>133</c:v>
                </c:pt>
                <c:pt idx="8">
                  <c:v>133</c:v>
                </c:pt>
                <c:pt idx="9">
                  <c:v>133</c:v>
                </c:pt>
                <c:pt idx="10">
                  <c:v>133</c:v>
                </c:pt>
                <c:pt idx="11">
                  <c:v>133</c:v>
                </c:pt>
                <c:pt idx="12">
                  <c:v>133</c:v>
                </c:pt>
                <c:pt idx="13">
                  <c:v>133</c:v>
                </c:pt>
                <c:pt idx="14">
                  <c:v>133</c:v>
                </c:pt>
                <c:pt idx="15">
                  <c:v>133</c:v>
                </c:pt>
                <c:pt idx="16">
                  <c:v>133</c:v>
                </c:pt>
                <c:pt idx="17">
                  <c:v>133</c:v>
                </c:pt>
                <c:pt idx="18">
                  <c:v>133</c:v>
                </c:pt>
                <c:pt idx="19">
                  <c:v>133</c:v>
                </c:pt>
                <c:pt idx="20">
                  <c:v>133</c:v>
                </c:pt>
                <c:pt idx="21">
                  <c:v>133</c:v>
                </c:pt>
                <c:pt idx="22">
                  <c:v>133</c:v>
                </c:pt>
              </c:numCache>
            </c:numRef>
          </c:yVal>
          <c:bubbleSize>
            <c:numRef>
              <c:f>PotTotalBubblePlot!$H$4:$H$26</c:f>
              <c:numCache>
                <c:formatCode>0.000000</c:formatCode>
                <c:ptCount val="23"/>
                <c:pt idx="0">
                  <c:v>-5.2649500000000002E-2</c:v>
                </c:pt>
                <c:pt idx="1">
                  <c:v>0.11419899999999999</c:v>
                </c:pt>
                <c:pt idx="2">
                  <c:v>-0.144178</c:v>
                </c:pt>
                <c:pt idx="3">
                  <c:v>0</c:v>
                </c:pt>
                <c:pt idx="4">
                  <c:v>1.43295E-2</c:v>
                </c:pt>
                <c:pt idx="5">
                  <c:v>0.37161300000000003</c:v>
                </c:pt>
                <c:pt idx="6">
                  <c:v>0.14291899999999999</c:v>
                </c:pt>
                <c:pt idx="7">
                  <c:v>0.26466800000000001</c:v>
                </c:pt>
                <c:pt idx="8">
                  <c:v>0.234101</c:v>
                </c:pt>
                <c:pt idx="9">
                  <c:v>0.40067399999999997</c:v>
                </c:pt>
                <c:pt idx="10">
                  <c:v>0.22826399999999999</c:v>
                </c:pt>
                <c:pt idx="11">
                  <c:v>0.24130099999999999</c:v>
                </c:pt>
                <c:pt idx="12">
                  <c:v>0.17052999999999999</c:v>
                </c:pt>
                <c:pt idx="13">
                  <c:v>-7.2685200000000005E-2</c:v>
                </c:pt>
                <c:pt idx="14">
                  <c:v>-1.4966500000000001E-2</c:v>
                </c:pt>
                <c:pt idx="15">
                  <c:v>-5.9044699999999999E-2</c:v>
                </c:pt>
                <c:pt idx="16">
                  <c:v>-9.3656900000000001E-2</c:v>
                </c:pt>
                <c:pt idx="17">
                  <c:v>-0.26724199999999998</c:v>
                </c:pt>
                <c:pt idx="18">
                  <c:v>-0.18356800000000001</c:v>
                </c:pt>
                <c:pt idx="19">
                  <c:v>-9.0823100000000004E-2</c:v>
                </c:pt>
                <c:pt idx="20">
                  <c:v>-0.204398</c:v>
                </c:pt>
                <c:pt idx="21">
                  <c:v>-0.140621</c:v>
                </c:pt>
                <c:pt idx="22">
                  <c:v>4.8781199999999997E-2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7"/>
          <c:order val="7"/>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PotTotalBubblePlot!$I$28:$I$50</c:f>
              <c:numCache>
                <c:formatCode>General</c:formatCode>
                <c:ptCount val="23"/>
                <c:pt idx="0">
                  <c:v>138</c:v>
                </c:pt>
                <c:pt idx="1">
                  <c:v>138</c:v>
                </c:pt>
                <c:pt idx="2">
                  <c:v>138</c:v>
                </c:pt>
                <c:pt idx="3">
                  <c:v>138</c:v>
                </c:pt>
                <c:pt idx="4">
                  <c:v>138</c:v>
                </c:pt>
                <c:pt idx="5">
                  <c:v>138</c:v>
                </c:pt>
                <c:pt idx="6">
                  <c:v>138</c:v>
                </c:pt>
                <c:pt idx="7">
                  <c:v>138</c:v>
                </c:pt>
                <c:pt idx="8">
                  <c:v>138</c:v>
                </c:pt>
                <c:pt idx="9">
                  <c:v>138</c:v>
                </c:pt>
                <c:pt idx="10">
                  <c:v>138</c:v>
                </c:pt>
                <c:pt idx="11">
                  <c:v>138</c:v>
                </c:pt>
                <c:pt idx="12">
                  <c:v>138</c:v>
                </c:pt>
                <c:pt idx="13">
                  <c:v>138</c:v>
                </c:pt>
                <c:pt idx="14">
                  <c:v>138</c:v>
                </c:pt>
                <c:pt idx="15">
                  <c:v>138</c:v>
                </c:pt>
                <c:pt idx="16">
                  <c:v>138</c:v>
                </c:pt>
                <c:pt idx="17">
                  <c:v>138</c:v>
                </c:pt>
                <c:pt idx="18">
                  <c:v>138</c:v>
                </c:pt>
                <c:pt idx="19">
                  <c:v>138</c:v>
                </c:pt>
                <c:pt idx="20">
                  <c:v>138</c:v>
                </c:pt>
                <c:pt idx="21">
                  <c:v>138</c:v>
                </c:pt>
                <c:pt idx="22">
                  <c:v>138</c:v>
                </c:pt>
              </c:numCache>
            </c:numRef>
          </c:yVal>
          <c:bubbleSize>
            <c:numRef>
              <c:f>PotTotalBubblePlot!$I$4:$I$26</c:f>
              <c:numCache>
                <c:formatCode>0.000000</c:formatCode>
                <c:ptCount val="23"/>
                <c:pt idx="0">
                  <c:v>-0.15740199999999999</c:v>
                </c:pt>
                <c:pt idx="1">
                  <c:v>0.108102</c:v>
                </c:pt>
                <c:pt idx="2">
                  <c:v>-8.2831600000000005E-2</c:v>
                </c:pt>
                <c:pt idx="3">
                  <c:v>0</c:v>
                </c:pt>
                <c:pt idx="4">
                  <c:v>-0.122201</c:v>
                </c:pt>
                <c:pt idx="5">
                  <c:v>0.25654100000000002</c:v>
                </c:pt>
                <c:pt idx="6">
                  <c:v>-3.7414599999999999E-2</c:v>
                </c:pt>
                <c:pt idx="7">
                  <c:v>0.17702100000000001</c:v>
                </c:pt>
                <c:pt idx="8">
                  <c:v>0.160801</c:v>
                </c:pt>
                <c:pt idx="9">
                  <c:v>0.34971400000000002</c:v>
                </c:pt>
                <c:pt idx="10">
                  <c:v>0.34229799999999999</c:v>
                </c:pt>
                <c:pt idx="11">
                  <c:v>0.43523699999999999</c:v>
                </c:pt>
                <c:pt idx="12">
                  <c:v>0.37722</c:v>
                </c:pt>
                <c:pt idx="13">
                  <c:v>0.22179399999999999</c:v>
                </c:pt>
                <c:pt idx="14">
                  <c:v>0.15900300000000001</c:v>
                </c:pt>
                <c:pt idx="15">
                  <c:v>7.6448500000000003E-2</c:v>
                </c:pt>
                <c:pt idx="16">
                  <c:v>-5.6521099999999998E-2</c:v>
                </c:pt>
                <c:pt idx="17">
                  <c:v>-6.2799900000000006E-2</c:v>
                </c:pt>
                <c:pt idx="18">
                  <c:v>-5.51496E-2</c:v>
                </c:pt>
                <c:pt idx="19">
                  <c:v>6.9397899999999998E-2</c:v>
                </c:pt>
                <c:pt idx="20">
                  <c:v>-5.0060800000000003E-2</c:v>
                </c:pt>
                <c:pt idx="21">
                  <c:v>5.19465E-2</c:v>
                </c:pt>
                <c:pt idx="22">
                  <c:v>7.2518100000000002E-2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8"/>
          <c:order val="8"/>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PotTotalBubblePlot!$J$28:$J$50</c:f>
              <c:numCache>
                <c:formatCode>General</c:formatCode>
                <c:ptCount val="23"/>
                <c:pt idx="0">
                  <c:v>143</c:v>
                </c:pt>
                <c:pt idx="1">
                  <c:v>143</c:v>
                </c:pt>
                <c:pt idx="2">
                  <c:v>143</c:v>
                </c:pt>
                <c:pt idx="3">
                  <c:v>143</c:v>
                </c:pt>
                <c:pt idx="4">
                  <c:v>143</c:v>
                </c:pt>
                <c:pt idx="5">
                  <c:v>143</c:v>
                </c:pt>
                <c:pt idx="6">
                  <c:v>143</c:v>
                </c:pt>
                <c:pt idx="7">
                  <c:v>143</c:v>
                </c:pt>
                <c:pt idx="8">
                  <c:v>143</c:v>
                </c:pt>
                <c:pt idx="9">
                  <c:v>143</c:v>
                </c:pt>
                <c:pt idx="10">
                  <c:v>143</c:v>
                </c:pt>
                <c:pt idx="11">
                  <c:v>143</c:v>
                </c:pt>
                <c:pt idx="12">
                  <c:v>143</c:v>
                </c:pt>
                <c:pt idx="13">
                  <c:v>143</c:v>
                </c:pt>
                <c:pt idx="14">
                  <c:v>143</c:v>
                </c:pt>
                <c:pt idx="15">
                  <c:v>143</c:v>
                </c:pt>
                <c:pt idx="16">
                  <c:v>143</c:v>
                </c:pt>
                <c:pt idx="17">
                  <c:v>143</c:v>
                </c:pt>
                <c:pt idx="18">
                  <c:v>143</c:v>
                </c:pt>
                <c:pt idx="19">
                  <c:v>143</c:v>
                </c:pt>
                <c:pt idx="20">
                  <c:v>143</c:v>
                </c:pt>
                <c:pt idx="21">
                  <c:v>143</c:v>
                </c:pt>
                <c:pt idx="22">
                  <c:v>143</c:v>
                </c:pt>
              </c:numCache>
            </c:numRef>
          </c:yVal>
          <c:bubbleSize>
            <c:numRef>
              <c:f>PotTotalBubblePlot!$J$4:$J$26</c:f>
              <c:numCache>
                <c:formatCode>0.000000</c:formatCode>
                <c:ptCount val="23"/>
                <c:pt idx="0">
                  <c:v>-0.24845900000000001</c:v>
                </c:pt>
                <c:pt idx="1">
                  <c:v>2.90995E-2</c:v>
                </c:pt>
                <c:pt idx="2">
                  <c:v>-3.7541199999999997E-2</c:v>
                </c:pt>
                <c:pt idx="3">
                  <c:v>0</c:v>
                </c:pt>
                <c:pt idx="4">
                  <c:v>-0.17378099999999999</c:v>
                </c:pt>
                <c:pt idx="5">
                  <c:v>-5.6541300000000003E-2</c:v>
                </c:pt>
                <c:pt idx="6">
                  <c:v>-0.356074</c:v>
                </c:pt>
                <c:pt idx="7">
                  <c:v>-8.2633799999999993E-2</c:v>
                </c:pt>
                <c:pt idx="8">
                  <c:v>-0.14454600000000001</c:v>
                </c:pt>
                <c:pt idx="9">
                  <c:v>0.105793</c:v>
                </c:pt>
                <c:pt idx="10">
                  <c:v>0.14156099999999999</c:v>
                </c:pt>
                <c:pt idx="11">
                  <c:v>0.40141300000000002</c:v>
                </c:pt>
                <c:pt idx="12">
                  <c:v>0.34879100000000002</c:v>
                </c:pt>
                <c:pt idx="13">
                  <c:v>0.315832</c:v>
                </c:pt>
                <c:pt idx="14">
                  <c:v>0.15634100000000001</c:v>
                </c:pt>
                <c:pt idx="15">
                  <c:v>2.8797099999999999E-2</c:v>
                </c:pt>
                <c:pt idx="16">
                  <c:v>0.12784300000000001</c:v>
                </c:pt>
                <c:pt idx="17">
                  <c:v>3.1504699999999997E-2</c:v>
                </c:pt>
                <c:pt idx="18">
                  <c:v>5.3833699999999998E-2</c:v>
                </c:pt>
                <c:pt idx="19">
                  <c:v>9.0150999999999995E-2</c:v>
                </c:pt>
                <c:pt idx="20">
                  <c:v>6.2502900000000004E-3</c:v>
                </c:pt>
                <c:pt idx="21">
                  <c:v>-1.02446E-2</c:v>
                </c:pt>
                <c:pt idx="22">
                  <c:v>8.4344100000000005E-2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9"/>
          <c:order val="9"/>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PotTotalBubblePlot!$K$28:$K$50</c:f>
              <c:numCache>
                <c:formatCode>General</c:formatCode>
                <c:ptCount val="23"/>
                <c:pt idx="0">
                  <c:v>148</c:v>
                </c:pt>
                <c:pt idx="1">
                  <c:v>148</c:v>
                </c:pt>
                <c:pt idx="2">
                  <c:v>148</c:v>
                </c:pt>
                <c:pt idx="3">
                  <c:v>148</c:v>
                </c:pt>
                <c:pt idx="4">
                  <c:v>148</c:v>
                </c:pt>
                <c:pt idx="5">
                  <c:v>148</c:v>
                </c:pt>
                <c:pt idx="6">
                  <c:v>148</c:v>
                </c:pt>
                <c:pt idx="7">
                  <c:v>148</c:v>
                </c:pt>
                <c:pt idx="8">
                  <c:v>148</c:v>
                </c:pt>
                <c:pt idx="9">
                  <c:v>148</c:v>
                </c:pt>
                <c:pt idx="10">
                  <c:v>148</c:v>
                </c:pt>
                <c:pt idx="11">
                  <c:v>148</c:v>
                </c:pt>
                <c:pt idx="12">
                  <c:v>148</c:v>
                </c:pt>
                <c:pt idx="13">
                  <c:v>148</c:v>
                </c:pt>
                <c:pt idx="14">
                  <c:v>148</c:v>
                </c:pt>
                <c:pt idx="15">
                  <c:v>148</c:v>
                </c:pt>
                <c:pt idx="16">
                  <c:v>148</c:v>
                </c:pt>
                <c:pt idx="17">
                  <c:v>148</c:v>
                </c:pt>
                <c:pt idx="18">
                  <c:v>148</c:v>
                </c:pt>
                <c:pt idx="19">
                  <c:v>148</c:v>
                </c:pt>
                <c:pt idx="20">
                  <c:v>148</c:v>
                </c:pt>
                <c:pt idx="21">
                  <c:v>148</c:v>
                </c:pt>
                <c:pt idx="22">
                  <c:v>148</c:v>
                </c:pt>
              </c:numCache>
            </c:numRef>
          </c:yVal>
          <c:bubbleSize>
            <c:numRef>
              <c:f>PotTotalBubblePlot!$K$4:$K$26</c:f>
              <c:numCache>
                <c:formatCode>0.000000</c:formatCode>
                <c:ptCount val="23"/>
                <c:pt idx="0">
                  <c:v>-0.20796300000000001</c:v>
                </c:pt>
                <c:pt idx="1">
                  <c:v>-5.1038E-2</c:v>
                </c:pt>
                <c:pt idx="2">
                  <c:v>2.37361E-2</c:v>
                </c:pt>
                <c:pt idx="3">
                  <c:v>0</c:v>
                </c:pt>
                <c:pt idx="4">
                  <c:v>-0.24760199999999999</c:v>
                </c:pt>
                <c:pt idx="5">
                  <c:v>-0.46494099999999999</c:v>
                </c:pt>
                <c:pt idx="6">
                  <c:v>-0.38732800000000001</c:v>
                </c:pt>
                <c:pt idx="7">
                  <c:v>-0.25262099999999998</c:v>
                </c:pt>
                <c:pt idx="8">
                  <c:v>-0.376332</c:v>
                </c:pt>
                <c:pt idx="9">
                  <c:v>-0.10925700000000001</c:v>
                </c:pt>
                <c:pt idx="10">
                  <c:v>-9.7906900000000005E-2</c:v>
                </c:pt>
                <c:pt idx="11">
                  <c:v>0.16639399999999999</c:v>
                </c:pt>
                <c:pt idx="12">
                  <c:v>0.26677099999999998</c:v>
                </c:pt>
                <c:pt idx="13">
                  <c:v>0.343389</c:v>
                </c:pt>
                <c:pt idx="14">
                  <c:v>0.165105</c:v>
                </c:pt>
                <c:pt idx="15">
                  <c:v>2.5869199999999998E-2</c:v>
                </c:pt>
                <c:pt idx="16">
                  <c:v>9.8750599999999994E-2</c:v>
                </c:pt>
                <c:pt idx="17">
                  <c:v>7.05731E-2</c:v>
                </c:pt>
                <c:pt idx="18">
                  <c:v>8.5428400000000002E-2</c:v>
                </c:pt>
                <c:pt idx="19">
                  <c:v>2.42677E-2</c:v>
                </c:pt>
                <c:pt idx="20">
                  <c:v>-2.6670800000000001E-3</c:v>
                </c:pt>
                <c:pt idx="21">
                  <c:v>-4.8390099999999998E-2</c:v>
                </c:pt>
                <c:pt idx="22">
                  <c:v>-3.6394299999999997E-2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0"/>
          <c:order val="10"/>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PotTotalBubblePlot!$L$28:$L$50</c:f>
              <c:numCache>
                <c:formatCode>General</c:formatCode>
                <c:ptCount val="23"/>
                <c:pt idx="0">
                  <c:v>153</c:v>
                </c:pt>
                <c:pt idx="1">
                  <c:v>153</c:v>
                </c:pt>
                <c:pt idx="2">
                  <c:v>153</c:v>
                </c:pt>
                <c:pt idx="3">
                  <c:v>153</c:v>
                </c:pt>
                <c:pt idx="4">
                  <c:v>153</c:v>
                </c:pt>
                <c:pt idx="5">
                  <c:v>153</c:v>
                </c:pt>
                <c:pt idx="6">
                  <c:v>153</c:v>
                </c:pt>
                <c:pt idx="7">
                  <c:v>153</c:v>
                </c:pt>
                <c:pt idx="8">
                  <c:v>153</c:v>
                </c:pt>
                <c:pt idx="9">
                  <c:v>153</c:v>
                </c:pt>
                <c:pt idx="10">
                  <c:v>153</c:v>
                </c:pt>
                <c:pt idx="11">
                  <c:v>153</c:v>
                </c:pt>
                <c:pt idx="12">
                  <c:v>153</c:v>
                </c:pt>
                <c:pt idx="13">
                  <c:v>153</c:v>
                </c:pt>
                <c:pt idx="14">
                  <c:v>153</c:v>
                </c:pt>
                <c:pt idx="15">
                  <c:v>153</c:v>
                </c:pt>
                <c:pt idx="16">
                  <c:v>153</c:v>
                </c:pt>
                <c:pt idx="17">
                  <c:v>153</c:v>
                </c:pt>
                <c:pt idx="18">
                  <c:v>153</c:v>
                </c:pt>
                <c:pt idx="19">
                  <c:v>153</c:v>
                </c:pt>
                <c:pt idx="20">
                  <c:v>153</c:v>
                </c:pt>
                <c:pt idx="21">
                  <c:v>153</c:v>
                </c:pt>
                <c:pt idx="22">
                  <c:v>153</c:v>
                </c:pt>
              </c:numCache>
            </c:numRef>
          </c:yVal>
          <c:bubbleSize>
            <c:numRef>
              <c:f>PotTotalBubblePlot!$L$4:$L$26</c:f>
              <c:numCache>
                <c:formatCode>0.000000</c:formatCode>
                <c:ptCount val="23"/>
                <c:pt idx="0">
                  <c:v>-0.16735700000000001</c:v>
                </c:pt>
                <c:pt idx="1">
                  <c:v>-0.16594400000000001</c:v>
                </c:pt>
                <c:pt idx="2">
                  <c:v>4.4943700000000003E-2</c:v>
                </c:pt>
                <c:pt idx="3">
                  <c:v>0</c:v>
                </c:pt>
                <c:pt idx="4">
                  <c:v>-0.207646</c:v>
                </c:pt>
                <c:pt idx="5">
                  <c:v>-0.71871600000000002</c:v>
                </c:pt>
                <c:pt idx="6">
                  <c:v>-0.147394</c:v>
                </c:pt>
                <c:pt idx="7">
                  <c:v>-0.23216899999999999</c:v>
                </c:pt>
                <c:pt idx="8">
                  <c:v>-0.41410400000000003</c:v>
                </c:pt>
                <c:pt idx="9">
                  <c:v>-0.15875300000000001</c:v>
                </c:pt>
                <c:pt idx="10">
                  <c:v>-9.4373200000000004E-2</c:v>
                </c:pt>
                <c:pt idx="11">
                  <c:v>-5.09258E-2</c:v>
                </c:pt>
                <c:pt idx="12">
                  <c:v>0.15242</c:v>
                </c:pt>
                <c:pt idx="13">
                  <c:v>0.20080100000000001</c:v>
                </c:pt>
                <c:pt idx="14">
                  <c:v>7.07792E-2</c:v>
                </c:pt>
                <c:pt idx="15">
                  <c:v>8.3553399999999993E-3</c:v>
                </c:pt>
                <c:pt idx="16">
                  <c:v>6.8929799999999999E-2</c:v>
                </c:pt>
                <c:pt idx="17">
                  <c:v>0.15357799999999999</c:v>
                </c:pt>
                <c:pt idx="18">
                  <c:v>4.3651799999999998E-2</c:v>
                </c:pt>
                <c:pt idx="19">
                  <c:v>2.6724700000000001E-2</c:v>
                </c:pt>
                <c:pt idx="20">
                  <c:v>-4.4037199999999999E-2</c:v>
                </c:pt>
                <c:pt idx="21">
                  <c:v>-1.7652999999999999E-2</c:v>
                </c:pt>
                <c:pt idx="22">
                  <c:v>-8.0687499999999995E-2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1"/>
          <c:order val="11"/>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PotTotalBubblePlot!$M$28:$M$50</c:f>
              <c:numCache>
                <c:formatCode>General</c:formatCode>
                <c:ptCount val="23"/>
                <c:pt idx="0">
                  <c:v>158</c:v>
                </c:pt>
                <c:pt idx="1">
                  <c:v>158</c:v>
                </c:pt>
                <c:pt idx="2">
                  <c:v>158</c:v>
                </c:pt>
                <c:pt idx="3">
                  <c:v>158</c:v>
                </c:pt>
                <c:pt idx="4">
                  <c:v>158</c:v>
                </c:pt>
                <c:pt idx="5">
                  <c:v>158</c:v>
                </c:pt>
                <c:pt idx="6">
                  <c:v>158</c:v>
                </c:pt>
                <c:pt idx="7">
                  <c:v>158</c:v>
                </c:pt>
                <c:pt idx="8">
                  <c:v>158</c:v>
                </c:pt>
                <c:pt idx="9">
                  <c:v>158</c:v>
                </c:pt>
                <c:pt idx="10">
                  <c:v>158</c:v>
                </c:pt>
                <c:pt idx="11">
                  <c:v>158</c:v>
                </c:pt>
                <c:pt idx="12">
                  <c:v>158</c:v>
                </c:pt>
                <c:pt idx="13">
                  <c:v>158</c:v>
                </c:pt>
                <c:pt idx="14">
                  <c:v>158</c:v>
                </c:pt>
                <c:pt idx="15">
                  <c:v>158</c:v>
                </c:pt>
                <c:pt idx="16">
                  <c:v>158</c:v>
                </c:pt>
                <c:pt idx="17">
                  <c:v>158</c:v>
                </c:pt>
                <c:pt idx="18">
                  <c:v>158</c:v>
                </c:pt>
                <c:pt idx="19">
                  <c:v>158</c:v>
                </c:pt>
                <c:pt idx="20">
                  <c:v>158</c:v>
                </c:pt>
                <c:pt idx="21">
                  <c:v>158</c:v>
                </c:pt>
                <c:pt idx="22">
                  <c:v>158</c:v>
                </c:pt>
              </c:numCache>
            </c:numRef>
          </c:yVal>
          <c:bubbleSize>
            <c:numRef>
              <c:f>PotTotalBubblePlot!$M$4:$M$26</c:f>
              <c:numCache>
                <c:formatCode>0.000000</c:formatCode>
                <c:ptCount val="23"/>
                <c:pt idx="0">
                  <c:v>-8.3527699999999996E-2</c:v>
                </c:pt>
                <c:pt idx="1">
                  <c:v>-0.14838399999999999</c:v>
                </c:pt>
                <c:pt idx="2">
                  <c:v>5.2913700000000001E-2</c:v>
                </c:pt>
                <c:pt idx="3">
                  <c:v>0</c:v>
                </c:pt>
                <c:pt idx="4">
                  <c:v>-0.154283</c:v>
                </c:pt>
                <c:pt idx="5">
                  <c:v>-0.79400599999999999</c:v>
                </c:pt>
                <c:pt idx="6">
                  <c:v>4.3595500000000002E-2</c:v>
                </c:pt>
                <c:pt idx="7">
                  <c:v>-4.0551499999999997E-2</c:v>
                </c:pt>
                <c:pt idx="8">
                  <c:v>-0.18187900000000001</c:v>
                </c:pt>
                <c:pt idx="9">
                  <c:v>-0.149339</c:v>
                </c:pt>
                <c:pt idx="10">
                  <c:v>-6.7104200000000003E-2</c:v>
                </c:pt>
                <c:pt idx="11">
                  <c:v>-0.146235</c:v>
                </c:pt>
                <c:pt idx="12">
                  <c:v>1.86225E-2</c:v>
                </c:pt>
                <c:pt idx="13">
                  <c:v>4.1263500000000002E-2</c:v>
                </c:pt>
                <c:pt idx="14">
                  <c:v>4.0070799999999997E-2</c:v>
                </c:pt>
                <c:pt idx="15">
                  <c:v>-0.11276899999999999</c:v>
                </c:pt>
                <c:pt idx="16">
                  <c:v>-2.2510800000000001E-2</c:v>
                </c:pt>
                <c:pt idx="17">
                  <c:v>4.31577E-2</c:v>
                </c:pt>
                <c:pt idx="18">
                  <c:v>1.38323E-2</c:v>
                </c:pt>
                <c:pt idx="19">
                  <c:v>6.5661199999999999E-3</c:v>
                </c:pt>
                <c:pt idx="20">
                  <c:v>3.1985100000000002E-2</c:v>
                </c:pt>
                <c:pt idx="21">
                  <c:v>-2.2499499999999999E-2</c:v>
                </c:pt>
                <c:pt idx="22">
                  <c:v>-7.8617099999999995E-2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2"/>
          <c:order val="12"/>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PotTotalBubblePlot!$N$28:$N$50</c:f>
              <c:numCache>
                <c:formatCode>General</c:formatCode>
                <c:ptCount val="23"/>
                <c:pt idx="0">
                  <c:v>163</c:v>
                </c:pt>
                <c:pt idx="1">
                  <c:v>163</c:v>
                </c:pt>
                <c:pt idx="2">
                  <c:v>163</c:v>
                </c:pt>
                <c:pt idx="3">
                  <c:v>163</c:v>
                </c:pt>
                <c:pt idx="4">
                  <c:v>163</c:v>
                </c:pt>
                <c:pt idx="5">
                  <c:v>163</c:v>
                </c:pt>
                <c:pt idx="6">
                  <c:v>163</c:v>
                </c:pt>
                <c:pt idx="7">
                  <c:v>163</c:v>
                </c:pt>
                <c:pt idx="8">
                  <c:v>163</c:v>
                </c:pt>
                <c:pt idx="9">
                  <c:v>163</c:v>
                </c:pt>
                <c:pt idx="10">
                  <c:v>163</c:v>
                </c:pt>
                <c:pt idx="11">
                  <c:v>163</c:v>
                </c:pt>
                <c:pt idx="12">
                  <c:v>163</c:v>
                </c:pt>
                <c:pt idx="13">
                  <c:v>163</c:v>
                </c:pt>
                <c:pt idx="14">
                  <c:v>163</c:v>
                </c:pt>
                <c:pt idx="15">
                  <c:v>163</c:v>
                </c:pt>
                <c:pt idx="16">
                  <c:v>163</c:v>
                </c:pt>
                <c:pt idx="17">
                  <c:v>163</c:v>
                </c:pt>
                <c:pt idx="18">
                  <c:v>163</c:v>
                </c:pt>
                <c:pt idx="19">
                  <c:v>163</c:v>
                </c:pt>
                <c:pt idx="20">
                  <c:v>163</c:v>
                </c:pt>
                <c:pt idx="21">
                  <c:v>163</c:v>
                </c:pt>
                <c:pt idx="22">
                  <c:v>163</c:v>
                </c:pt>
              </c:numCache>
            </c:numRef>
          </c:yVal>
          <c:bubbleSize>
            <c:numRef>
              <c:f>PotTotalBubblePlot!$N$4:$N$26</c:f>
              <c:numCache>
                <c:formatCode>0.000000</c:formatCode>
                <c:ptCount val="23"/>
                <c:pt idx="0">
                  <c:v>-1.67303E-2</c:v>
                </c:pt>
                <c:pt idx="1">
                  <c:v>-5.3065800000000003E-2</c:v>
                </c:pt>
                <c:pt idx="2">
                  <c:v>4.9426699999999997E-2</c:v>
                </c:pt>
                <c:pt idx="3">
                  <c:v>0</c:v>
                </c:pt>
                <c:pt idx="4">
                  <c:v>-0.113679</c:v>
                </c:pt>
                <c:pt idx="5">
                  <c:v>-0.65990400000000005</c:v>
                </c:pt>
                <c:pt idx="6">
                  <c:v>9.4185099999999994E-2</c:v>
                </c:pt>
                <c:pt idx="7">
                  <c:v>5.3615700000000002E-2</c:v>
                </c:pt>
                <c:pt idx="8">
                  <c:v>-0.106521</c:v>
                </c:pt>
                <c:pt idx="9">
                  <c:v>-4.8976400000000003E-2</c:v>
                </c:pt>
                <c:pt idx="10">
                  <c:v>-6.9237499999999993E-2</c:v>
                </c:pt>
                <c:pt idx="11">
                  <c:v>-0.166022</c:v>
                </c:pt>
                <c:pt idx="12">
                  <c:v>1.6448700000000001E-3</c:v>
                </c:pt>
                <c:pt idx="13">
                  <c:v>-7.8151499999999999E-2</c:v>
                </c:pt>
                <c:pt idx="14">
                  <c:v>3.2414100000000001E-3</c:v>
                </c:pt>
                <c:pt idx="15">
                  <c:v>-4.8461499999999998E-2</c:v>
                </c:pt>
                <c:pt idx="16">
                  <c:v>-2.1152399999999998E-2</c:v>
                </c:pt>
                <c:pt idx="17">
                  <c:v>0.105128</c:v>
                </c:pt>
                <c:pt idx="18">
                  <c:v>4.2355499999999997E-2</c:v>
                </c:pt>
                <c:pt idx="19">
                  <c:v>1.9336300000000001E-2</c:v>
                </c:pt>
                <c:pt idx="20">
                  <c:v>5.2991899999999996E-3</c:v>
                </c:pt>
                <c:pt idx="21">
                  <c:v>1.9885699999999999E-2</c:v>
                </c:pt>
                <c:pt idx="22">
                  <c:v>-5.9216699999999997E-2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3"/>
          <c:order val="13"/>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PotTotalBubblePlot!$O$28:$O$50</c:f>
              <c:numCache>
                <c:formatCode>General</c:formatCode>
                <c:ptCount val="23"/>
                <c:pt idx="0">
                  <c:v>168</c:v>
                </c:pt>
                <c:pt idx="1">
                  <c:v>168</c:v>
                </c:pt>
                <c:pt idx="2">
                  <c:v>168</c:v>
                </c:pt>
                <c:pt idx="3">
                  <c:v>168</c:v>
                </c:pt>
                <c:pt idx="4">
                  <c:v>168</c:v>
                </c:pt>
                <c:pt idx="5">
                  <c:v>168</c:v>
                </c:pt>
                <c:pt idx="6">
                  <c:v>168</c:v>
                </c:pt>
                <c:pt idx="7">
                  <c:v>168</c:v>
                </c:pt>
                <c:pt idx="8">
                  <c:v>168</c:v>
                </c:pt>
                <c:pt idx="9">
                  <c:v>168</c:v>
                </c:pt>
                <c:pt idx="10">
                  <c:v>168</c:v>
                </c:pt>
                <c:pt idx="11">
                  <c:v>168</c:v>
                </c:pt>
                <c:pt idx="12">
                  <c:v>168</c:v>
                </c:pt>
                <c:pt idx="13">
                  <c:v>168</c:v>
                </c:pt>
                <c:pt idx="14">
                  <c:v>168</c:v>
                </c:pt>
                <c:pt idx="15">
                  <c:v>168</c:v>
                </c:pt>
                <c:pt idx="16">
                  <c:v>168</c:v>
                </c:pt>
                <c:pt idx="17">
                  <c:v>168</c:v>
                </c:pt>
                <c:pt idx="18">
                  <c:v>168</c:v>
                </c:pt>
                <c:pt idx="19">
                  <c:v>168</c:v>
                </c:pt>
                <c:pt idx="20">
                  <c:v>168</c:v>
                </c:pt>
                <c:pt idx="21">
                  <c:v>168</c:v>
                </c:pt>
                <c:pt idx="22">
                  <c:v>168</c:v>
                </c:pt>
              </c:numCache>
            </c:numRef>
          </c:yVal>
          <c:bubbleSize>
            <c:numRef>
              <c:f>PotTotalBubblePlot!$O$4:$O$26</c:f>
              <c:numCache>
                <c:formatCode>0.000000</c:formatCode>
                <c:ptCount val="23"/>
                <c:pt idx="0">
                  <c:v>-0.101371</c:v>
                </c:pt>
                <c:pt idx="1">
                  <c:v>-8.3919800000000003E-2</c:v>
                </c:pt>
                <c:pt idx="2">
                  <c:v>-3.04566E-2</c:v>
                </c:pt>
                <c:pt idx="3">
                  <c:v>0</c:v>
                </c:pt>
                <c:pt idx="4">
                  <c:v>-0.11078200000000001</c:v>
                </c:pt>
                <c:pt idx="5">
                  <c:v>-0.48001500000000002</c:v>
                </c:pt>
                <c:pt idx="6">
                  <c:v>0.29296699999999998</c:v>
                </c:pt>
                <c:pt idx="7">
                  <c:v>0.25546099999999999</c:v>
                </c:pt>
                <c:pt idx="8">
                  <c:v>-3.8458399999999997E-2</c:v>
                </c:pt>
                <c:pt idx="9">
                  <c:v>2.0858600000000001E-2</c:v>
                </c:pt>
                <c:pt idx="10">
                  <c:v>5.3566599999999999E-2</c:v>
                </c:pt>
                <c:pt idx="11">
                  <c:v>-0.18878500000000001</c:v>
                </c:pt>
                <c:pt idx="12">
                  <c:v>-0.119951</c:v>
                </c:pt>
                <c:pt idx="13">
                  <c:v>-7.2652800000000003E-2</c:v>
                </c:pt>
                <c:pt idx="14">
                  <c:v>-0.20858599999999999</c:v>
                </c:pt>
                <c:pt idx="15">
                  <c:v>-0.17582600000000001</c:v>
                </c:pt>
                <c:pt idx="16">
                  <c:v>-0.12912399999999999</c:v>
                </c:pt>
                <c:pt idx="17">
                  <c:v>0.120808</c:v>
                </c:pt>
                <c:pt idx="18">
                  <c:v>6.3264600000000004E-2</c:v>
                </c:pt>
                <c:pt idx="19">
                  <c:v>-0.103156</c:v>
                </c:pt>
                <c:pt idx="20">
                  <c:v>1.9781300000000002E-2</c:v>
                </c:pt>
                <c:pt idx="21">
                  <c:v>4.5659499999999999E-2</c:v>
                </c:pt>
                <c:pt idx="22">
                  <c:v>6.58966E-2</c:v>
                </c:pt>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4"/>
          <c:order val="14"/>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PotTotalBubblePlot!$P$28:$P$50</c:f>
              <c:numCache>
                <c:formatCode>General</c:formatCode>
                <c:ptCount val="23"/>
              </c:numCache>
            </c:numRef>
          </c:yVal>
          <c:bubbleSize>
            <c:numRef>
              <c:f>PotTotalBubblePlot!$P$4:$P$26</c:f>
              <c:numCache>
                <c:formatCode>General</c:formatCode>
                <c:ptCount val="23"/>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5"/>
          <c:order val="15"/>
          <c:spPr>
            <a:solidFill>
              <a:srgbClr val="000000"/>
            </a:solidFill>
            <a:ln w="3175">
              <a:solidFill>
                <a:srgbClr val="000000"/>
              </a:solidFill>
              <a:prstDash val="solid"/>
            </a:ln>
          </c:spPr>
          <c:invertIfNegative val="1"/>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PotTotalBubblePlot!$Q$28:$Q$50</c:f>
              <c:numCache>
                <c:formatCode>General</c:formatCode>
                <c:ptCount val="23"/>
              </c:numCache>
            </c:numRef>
          </c:yVal>
          <c:bubbleSize>
            <c:numRef>
              <c:f>PotTotalBubblePlot!$Q$4:$Q$26</c:f>
              <c:numCache>
                <c:formatCode>General</c:formatCode>
                <c:ptCount val="23"/>
              </c:numCache>
            </c:numRef>
          </c:bubbleSize>
          <c:bubble3D val="0"/>
          <c:extLst>
            <c:ext xmlns:c14="http://schemas.microsoft.com/office/drawing/2007/8/2/chart" uri="{6F2FDCE9-48DA-4B69-8628-5D25D57E5C99}">
              <c14:invertSolidFillFmt>
                <c14:spPr xmlns:c14="http://schemas.microsoft.com/office/drawing/2007/8/2/chart">
                  <a:solidFill>
                    <a:srgbClr val="FFFFFF"/>
                  </a:solidFill>
                  <a:ln w="3175">
                    <a:solidFill>
                      <a:srgbClr val="000000"/>
                    </a:solidFill>
                    <a:prstDash val="solid"/>
                  </a:ln>
                </c14:spPr>
              </c14:invertSolidFillFmt>
            </c:ext>
          </c:extLst>
        </c:ser>
        <c:ser>
          <c:idx val="16"/>
          <c:order val="16"/>
          <c:spPr>
            <a:solidFill>
              <a:schemeClr val="tx1"/>
            </a:solidFill>
          </c:spPr>
          <c:invertIfNegative val="0"/>
          <c:xVal>
            <c:numRef>
              <c:f>PotTotalBubblePlot!$A$4:$A$26</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xVal>
          <c:yVal>
            <c:numRef>
              <c:f>PotTotalBubblePlot!$R$28:$R$50</c:f>
              <c:numCache>
                <c:formatCode>General</c:formatCode>
                <c:ptCount val="23"/>
              </c:numCache>
            </c:numRef>
          </c:yVal>
          <c:bubbleSize>
            <c:numRef>
              <c:f>PotTotalBubblePlot!$R$4:$R$26</c:f>
              <c:numCache>
                <c:formatCode>General</c:formatCode>
                <c:ptCount val="23"/>
              </c:numCache>
            </c:numRef>
          </c:bubbleSize>
          <c:bubble3D val="0"/>
        </c:ser>
        <c:dLbls>
          <c:showLegendKey val="0"/>
          <c:showVal val="0"/>
          <c:showCatName val="0"/>
          <c:showSerName val="0"/>
          <c:showPercent val="0"/>
          <c:showBubbleSize val="0"/>
        </c:dLbls>
        <c:bubbleScale val="20"/>
        <c:showNegBubbles val="1"/>
        <c:axId val="98868224"/>
        <c:axId val="98878592"/>
      </c:bubbleChart>
      <c:valAx>
        <c:axId val="98868224"/>
        <c:scaling>
          <c:orientation val="minMax"/>
          <c:max val="2013"/>
          <c:min val="1989"/>
        </c:scaling>
        <c:delete val="0"/>
        <c:axPos val="b"/>
        <c:title>
          <c:tx>
            <c:rich>
              <a:bodyPr/>
              <a:lstStyle/>
              <a:p>
                <a:pPr>
                  <a:defRPr sz="1200" b="1" i="0" u="none" strike="noStrike" baseline="0">
                    <a:solidFill>
                      <a:srgbClr val="000000"/>
                    </a:solidFill>
                    <a:latin typeface="Arial"/>
                    <a:ea typeface="Arial"/>
                    <a:cs typeface="Arial"/>
                  </a:defRPr>
                </a:pPr>
                <a:r>
                  <a:rPr lang="en-US" b="1"/>
                  <a:t>Year</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98878592"/>
        <c:crosses val="autoZero"/>
        <c:crossBetween val="midCat"/>
        <c:majorUnit val="4"/>
      </c:valAx>
      <c:valAx>
        <c:axId val="98878592"/>
        <c:scaling>
          <c:orientation val="minMax"/>
          <c:max val="173"/>
          <c:min val="98"/>
        </c:scaling>
        <c:delete val="0"/>
        <c:axPos val="l"/>
        <c:title>
          <c:tx>
            <c:rich>
              <a:bodyPr/>
              <a:lstStyle/>
              <a:p>
                <a:pPr>
                  <a:defRPr sz="1200" b="1" i="0" u="none" strike="noStrike" baseline="0">
                    <a:solidFill>
                      <a:srgbClr val="000000"/>
                    </a:solidFill>
                    <a:latin typeface="Arial"/>
                    <a:ea typeface="Arial"/>
                    <a:cs typeface="Arial"/>
                  </a:defRPr>
                </a:pPr>
                <a:r>
                  <a:rPr lang="en-US" b="1"/>
                  <a:t>Carapace Length (mm)</a:t>
                </a:r>
              </a:p>
            </c:rich>
          </c:tx>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98868224"/>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34756547139971"/>
          <c:y val="6.7357512953367921E-2"/>
          <c:w val="0.73379804472260834"/>
          <c:h val="0.67320072496833838"/>
        </c:manualLayout>
      </c:layout>
      <c:lineChart>
        <c:grouping val="standard"/>
        <c:varyColors val="0"/>
        <c:ser>
          <c:idx val="0"/>
          <c:order val="0"/>
          <c:cat>
            <c:numRef>
              <c:f>Dutch8512Figs!$B$167:$AC$167</c:f>
              <c:numCache>
                <c:formatCode>0</c:formatCode>
                <c:ptCount val="28"/>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numCache>
            </c:numRef>
          </c:cat>
          <c:val>
            <c:numRef>
              <c:f>Dutch8512Figs!$B$169:$AC$169</c:f>
              <c:numCache>
                <c:formatCode>0.00</c:formatCode>
                <c:ptCount val="28"/>
                <c:pt idx="0">
                  <c:v>1.2088399999999999</c:v>
                </c:pt>
                <c:pt idx="1">
                  <c:v>2.7056399999999998</c:v>
                </c:pt>
                <c:pt idx="2">
                  <c:v>2.2832300000000001</c:v>
                </c:pt>
                <c:pt idx="3">
                  <c:v>1.7456499999999999</c:v>
                </c:pt>
                <c:pt idx="4">
                  <c:v>1.7862100000000001</c:v>
                </c:pt>
                <c:pt idx="5">
                  <c:v>3.1129099999999998</c:v>
                </c:pt>
                <c:pt idx="6">
                  <c:v>1.9171800000000001</c:v>
                </c:pt>
                <c:pt idx="7">
                  <c:v>1.6274</c:v>
                </c:pt>
                <c:pt idx="8">
                  <c:v>1.8680099999999999</c:v>
                </c:pt>
                <c:pt idx="9">
                  <c:v>1.65784</c:v>
                </c:pt>
                <c:pt idx="10">
                  <c:v>1.62845</c:v>
                </c:pt>
                <c:pt idx="11">
                  <c:v>1.82653</c:v>
                </c:pt>
                <c:pt idx="12">
                  <c:v>1.7539</c:v>
                </c:pt>
                <c:pt idx="13">
                  <c:v>1.6492500000000001</c:v>
                </c:pt>
                <c:pt idx="14">
                  <c:v>1.8588199999999999</c:v>
                </c:pt>
                <c:pt idx="15">
                  <c:v>1.5282500000000001</c:v>
                </c:pt>
                <c:pt idx="16">
                  <c:v>2.0918299999999999</c:v>
                </c:pt>
                <c:pt idx="17">
                  <c:v>1.3607499999999999</c:v>
                </c:pt>
                <c:pt idx="18">
                  <c:v>1.41527</c:v>
                </c:pt>
                <c:pt idx="19">
                  <c:v>1.6863300000000001</c:v>
                </c:pt>
                <c:pt idx="20">
                  <c:v>1.5765400000000001</c:v>
                </c:pt>
                <c:pt idx="21">
                  <c:v>1.6561600000000001</c:v>
                </c:pt>
                <c:pt idx="22">
                  <c:v>1.9212499999999999</c:v>
                </c:pt>
                <c:pt idx="23">
                  <c:v>1.9058999999999999</c:v>
                </c:pt>
                <c:pt idx="24">
                  <c:v>1.48316</c:v>
                </c:pt>
                <c:pt idx="25">
                  <c:v>0.98815600000000003</c:v>
                </c:pt>
                <c:pt idx="26">
                  <c:v>2.1947299999999998</c:v>
                </c:pt>
                <c:pt idx="27">
                  <c:v>1.7487200000000001</c:v>
                </c:pt>
              </c:numCache>
            </c:numRef>
          </c:val>
          <c:smooth val="0"/>
        </c:ser>
        <c:dLbls>
          <c:showLegendKey val="0"/>
          <c:showVal val="0"/>
          <c:showCatName val="0"/>
          <c:showSerName val="0"/>
          <c:showPercent val="0"/>
          <c:showBubbleSize val="0"/>
        </c:dLbls>
        <c:marker val="1"/>
        <c:smooth val="0"/>
        <c:axId val="98559488"/>
        <c:axId val="98716288"/>
      </c:lineChart>
      <c:catAx>
        <c:axId val="98559488"/>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Year</a:t>
                </a:r>
              </a:p>
            </c:rich>
          </c:tx>
          <c:layout>
            <c:manualLayout>
              <c:xMode val="edge"/>
              <c:yMode val="edge"/>
              <c:x val="0.51461073047688288"/>
              <c:y val="0.90155440760988992"/>
            </c:manualLayout>
          </c:layout>
          <c:overlay val="0"/>
          <c:spPr>
            <a:noFill/>
            <a:ln w="25400">
              <a:noFill/>
            </a:ln>
          </c:spPr>
        </c:title>
        <c:numFmt formatCode="0" sourceLinked="1"/>
        <c:majorTickMark val="out"/>
        <c:minorTickMark val="none"/>
        <c:tickLblPos val="nextTo"/>
        <c:spPr>
          <a:ln w="25400">
            <a:solidFill>
              <a:srgbClr val="000000"/>
            </a:solidFill>
            <a:prstDash val="solid"/>
          </a:ln>
        </c:spPr>
        <c:txPr>
          <a:bodyPr rot="-5400000" vert="horz"/>
          <a:lstStyle/>
          <a:p>
            <a:pPr>
              <a:defRPr sz="1000" b="1" i="0" u="none" strike="noStrike" baseline="0">
                <a:solidFill>
                  <a:srgbClr val="000000"/>
                </a:solidFill>
                <a:latin typeface="Arial"/>
                <a:ea typeface="Arial"/>
                <a:cs typeface="Arial"/>
              </a:defRPr>
            </a:pPr>
            <a:endParaRPr lang="en-US"/>
          </a:p>
        </c:txPr>
        <c:crossAx val="98716288"/>
        <c:crosses val="autoZero"/>
        <c:auto val="1"/>
        <c:lblAlgn val="ctr"/>
        <c:lblOffset val="100"/>
        <c:tickLblSkip val="2"/>
        <c:tickMarkSkip val="1"/>
        <c:noMultiLvlLbl val="0"/>
      </c:catAx>
      <c:valAx>
        <c:axId val="98716288"/>
        <c:scaling>
          <c:orientation val="minMax"/>
          <c:max val="5"/>
          <c:min val="0"/>
        </c:scaling>
        <c:delete val="0"/>
        <c:axPos val="l"/>
        <c:title>
          <c:tx>
            <c:rich>
              <a:bodyPr/>
              <a:lstStyle/>
              <a:p>
                <a:pPr>
                  <a:defRPr sz="1000" b="1" i="0" u="none" strike="noStrike" baseline="0">
                    <a:solidFill>
                      <a:srgbClr val="000000"/>
                    </a:solidFill>
                    <a:latin typeface="Arial"/>
                    <a:ea typeface="Arial"/>
                    <a:cs typeface="Arial"/>
                  </a:defRPr>
                </a:pPr>
                <a:r>
                  <a:rPr lang="en-US"/>
                  <a:t>Racruits to &gt;=101 mm CL (million crabs)</a:t>
                </a:r>
              </a:p>
            </c:rich>
          </c:tx>
          <c:layout>
            <c:manualLayout>
              <c:xMode val="edge"/>
              <c:yMode val="edge"/>
              <c:x val="2.5974025974026042E-2"/>
              <c:y val="9.5855024491365348E-2"/>
            </c:manualLayout>
          </c:layout>
          <c:overlay val="0"/>
          <c:spPr>
            <a:noFill/>
            <a:ln w="25400">
              <a:noFill/>
            </a:ln>
          </c:spPr>
        </c:title>
        <c:numFmt formatCode="0.00" sourceLinked="1"/>
        <c:majorTickMark val="out"/>
        <c:minorTickMark val="none"/>
        <c:tickLblPos val="nextTo"/>
        <c:spPr>
          <a:ln w="25400">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98559488"/>
        <c:crosses val="autoZero"/>
        <c:crossBetween val="between"/>
        <c:majorUnit val="0.5"/>
        <c:minorUnit val="0.25"/>
      </c:valAx>
      <c:spPr>
        <a:ln>
          <a:noFill/>
        </a:ln>
      </c:spPr>
    </c:plotArea>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0.35833</cdr:x>
      <cdr:y>0.13757</cdr:y>
    </cdr:from>
    <cdr:to>
      <cdr:x>0.57792</cdr:x>
      <cdr:y>0.24868</cdr:y>
    </cdr:to>
    <cdr:sp macro="" textlink="">
      <cdr:nvSpPr>
        <cdr:cNvPr id="2" name="TextBox 1"/>
        <cdr:cNvSpPr txBox="1"/>
      </cdr:nvSpPr>
      <cdr:spPr>
        <a:xfrm xmlns:a="http://schemas.openxmlformats.org/drawingml/2006/main">
          <a:off x="1051232" y="332830"/>
          <a:ext cx="644217" cy="2688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EAG</a:t>
          </a:r>
        </a:p>
      </cdr:txBody>
    </cdr:sp>
  </cdr:relSizeAnchor>
</c:userShapes>
</file>

<file path=word/drawings/drawing2.xml><?xml version="1.0" encoding="utf-8"?>
<c:userShapes xmlns:c="http://schemas.openxmlformats.org/drawingml/2006/chart">
  <cdr:relSizeAnchor xmlns:cdr="http://schemas.openxmlformats.org/drawingml/2006/chartDrawing">
    <cdr:from>
      <cdr:x>0.35833</cdr:x>
      <cdr:y>0.13757</cdr:y>
    </cdr:from>
    <cdr:to>
      <cdr:x>0.6</cdr:x>
      <cdr:y>0.24868</cdr:y>
    </cdr:to>
    <cdr:sp macro="" textlink="">
      <cdr:nvSpPr>
        <cdr:cNvPr id="2" name="TextBox 1"/>
        <cdr:cNvSpPr txBox="1"/>
      </cdr:nvSpPr>
      <cdr:spPr>
        <a:xfrm xmlns:a="http://schemas.openxmlformats.org/drawingml/2006/main">
          <a:off x="972731" y="340692"/>
          <a:ext cx="656043" cy="2751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EAG</a:t>
          </a:r>
        </a:p>
      </cdr:txBody>
    </cdr:sp>
  </cdr:relSizeAnchor>
</c:userShapes>
</file>

<file path=word/drawings/drawing3.xml><?xml version="1.0" encoding="utf-8"?>
<c:userShapes xmlns:c="http://schemas.openxmlformats.org/drawingml/2006/chart">
  <cdr:relSizeAnchor xmlns:cdr="http://schemas.openxmlformats.org/drawingml/2006/chartDrawing">
    <cdr:from>
      <cdr:x>0.35833</cdr:x>
      <cdr:y>0.13757</cdr:y>
    </cdr:from>
    <cdr:to>
      <cdr:x>0.59722</cdr:x>
      <cdr:y>0.24868</cdr:y>
    </cdr:to>
    <cdr:sp macro="" textlink="">
      <cdr:nvSpPr>
        <cdr:cNvPr id="2" name="TextBox 1"/>
        <cdr:cNvSpPr txBox="1"/>
      </cdr:nvSpPr>
      <cdr:spPr>
        <a:xfrm xmlns:a="http://schemas.openxmlformats.org/drawingml/2006/main">
          <a:off x="982971" y="378692"/>
          <a:ext cx="655329" cy="3058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WAG</a:t>
          </a:r>
        </a:p>
      </cdr:txBody>
    </cdr:sp>
  </cdr:relSizeAnchor>
</c:userShapes>
</file>

<file path=word/drawings/drawing4.xml><?xml version="1.0" encoding="utf-8"?>
<c:userShapes xmlns:c="http://schemas.openxmlformats.org/drawingml/2006/chart">
  <cdr:relSizeAnchor xmlns:cdr="http://schemas.openxmlformats.org/drawingml/2006/chartDrawing">
    <cdr:from>
      <cdr:x>0.54378</cdr:x>
      <cdr:y>0.0621</cdr:y>
    </cdr:from>
    <cdr:to>
      <cdr:x>0.79636</cdr:x>
      <cdr:y>0.17321</cdr:y>
    </cdr:to>
    <cdr:sp macro="" textlink="">
      <cdr:nvSpPr>
        <cdr:cNvPr id="2" name="TextBox 1"/>
        <cdr:cNvSpPr txBox="1"/>
      </cdr:nvSpPr>
      <cdr:spPr>
        <a:xfrm xmlns:a="http://schemas.openxmlformats.org/drawingml/2006/main">
          <a:off x="1424376" y="156744"/>
          <a:ext cx="661599" cy="2804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WAG</a:t>
          </a:r>
        </a:p>
      </cdr:txBody>
    </cdr:sp>
  </cdr:relSizeAnchor>
</c:userShapes>
</file>

<file path=word/drawings/drawing5.xml><?xml version="1.0" encoding="utf-8"?>
<c:userShapes xmlns:c="http://schemas.openxmlformats.org/drawingml/2006/chart">
  <cdr:relSizeAnchor xmlns:cdr="http://schemas.openxmlformats.org/drawingml/2006/chartDrawing">
    <cdr:from>
      <cdr:x>0.67792</cdr:x>
      <cdr:y>0.03488</cdr:y>
    </cdr:from>
    <cdr:to>
      <cdr:x>0.90458</cdr:x>
      <cdr:y>0.16365</cdr:y>
    </cdr:to>
    <cdr:sp macro="" textlink="">
      <cdr:nvSpPr>
        <cdr:cNvPr id="2" name="TextBox 1"/>
        <cdr:cNvSpPr txBox="1"/>
      </cdr:nvSpPr>
      <cdr:spPr>
        <a:xfrm xmlns:a="http://schemas.openxmlformats.org/drawingml/2006/main">
          <a:off x="3099435" y="99060"/>
          <a:ext cx="1036320" cy="3657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EAG      Sc1</a:t>
          </a:r>
        </a:p>
      </cdr:txBody>
    </cdr:sp>
  </cdr:relSizeAnchor>
</c:userShapes>
</file>

<file path=word/drawings/drawing6.xml><?xml version="1.0" encoding="utf-8"?>
<c:userShapes xmlns:c="http://schemas.openxmlformats.org/drawingml/2006/chart">
  <cdr:relSizeAnchor xmlns:cdr="http://schemas.openxmlformats.org/drawingml/2006/chartDrawing">
    <cdr:from>
      <cdr:x>0.60958</cdr:x>
      <cdr:y>0.02146</cdr:y>
    </cdr:from>
    <cdr:to>
      <cdr:x>0.91792</cdr:x>
      <cdr:y>0.10463</cdr:y>
    </cdr:to>
    <cdr:sp macro="" textlink="">
      <cdr:nvSpPr>
        <cdr:cNvPr id="2" name="TextBox 1"/>
        <cdr:cNvSpPr txBox="1"/>
      </cdr:nvSpPr>
      <cdr:spPr>
        <a:xfrm xmlns:a="http://schemas.openxmlformats.org/drawingml/2006/main">
          <a:off x="2787015" y="60960"/>
          <a:ext cx="1409700" cy="23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EAG   Sc</a:t>
          </a:r>
          <a:r>
            <a:rPr lang="en-US" sz="1100" b="1" baseline="0"/>
            <a:t> 2</a:t>
          </a:r>
          <a:endParaRPr lang="en-US" sz="1100" b="1"/>
        </a:p>
      </cdr:txBody>
    </cdr:sp>
  </cdr:relSizeAnchor>
</c:userShapes>
</file>

<file path=word/drawings/drawing7.xml><?xml version="1.0" encoding="utf-8"?>
<c:userShapes xmlns:c="http://schemas.openxmlformats.org/drawingml/2006/chart">
  <cdr:relSizeAnchor xmlns:cdr="http://schemas.openxmlformats.org/drawingml/2006/chartDrawing">
    <cdr:from>
      <cdr:x>0.38987</cdr:x>
      <cdr:y>0.07083</cdr:y>
    </cdr:from>
    <cdr:to>
      <cdr:x>0.5932</cdr:x>
      <cdr:y>0.16741</cdr:y>
    </cdr:to>
    <cdr:sp macro="" textlink="">
      <cdr:nvSpPr>
        <cdr:cNvPr id="2" name="TextBox 1"/>
        <cdr:cNvSpPr txBox="1"/>
      </cdr:nvSpPr>
      <cdr:spPr>
        <a:xfrm xmlns:a="http://schemas.openxmlformats.org/drawingml/2006/main">
          <a:off x="1782504" y="201194"/>
          <a:ext cx="929625" cy="2743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WAG  Sc1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A04C9-CEE7-4455-A31E-3242EA9FA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14692</Words>
  <Characters>83749</Characters>
  <Application>Microsoft Office Word</Application>
  <DocSecurity>4</DocSecurity>
  <Lines>697</Lines>
  <Paragraphs>196</Paragraphs>
  <ScaleCrop>false</ScaleCrop>
  <HeadingPairs>
    <vt:vector size="2" baseType="variant">
      <vt:variant>
        <vt:lpstr>Title</vt:lpstr>
      </vt:variant>
      <vt:variant>
        <vt:i4>1</vt:i4>
      </vt:variant>
    </vt:vector>
  </HeadingPairs>
  <TitlesOfParts>
    <vt:vector size="1" baseType="lpstr">
      <vt:lpstr>To: Brenda Baxter</vt:lpstr>
    </vt:vector>
  </TitlesOfParts>
  <Company>Alaska Dept of Fish and Game</Company>
  <LinksUpToDate>false</LinksUpToDate>
  <CharactersWithSpaces>98245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Brenda Baxter</dc:title>
  <dc:creator>lancem</dc:creator>
  <cp:lastModifiedBy>Peggy Kircher</cp:lastModifiedBy>
  <cp:revision>2</cp:revision>
  <cp:lastPrinted>2014-04-21T17:25:00Z</cp:lastPrinted>
  <dcterms:created xsi:type="dcterms:W3CDTF">2014-05-01T16:54:00Z</dcterms:created>
  <dcterms:modified xsi:type="dcterms:W3CDTF">2014-05-01T16:54:00Z</dcterms:modified>
</cp:coreProperties>
</file>