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D" w:rsidRDefault="00B11DBE" w:rsidP="00A976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 </w:t>
      </w:r>
      <w:r w:rsidR="00081C64">
        <w:rPr>
          <w:b/>
          <w:sz w:val="28"/>
          <w:szCs w:val="28"/>
        </w:rPr>
        <w:t>PRIBILOF ISLANDS</w:t>
      </w:r>
      <w:r w:rsidR="0052405D" w:rsidRPr="0052405D">
        <w:rPr>
          <w:b/>
          <w:sz w:val="28"/>
          <w:szCs w:val="28"/>
        </w:rPr>
        <w:t xml:space="preserve"> GOLDEN KING CRAB </w:t>
      </w:r>
    </w:p>
    <w:p w:rsidR="00A976E2" w:rsidRDefault="0052405D" w:rsidP="00A976E2">
      <w:pPr>
        <w:spacing w:after="0"/>
        <w:jc w:val="center"/>
        <w:rPr>
          <w:b/>
        </w:rPr>
      </w:pPr>
      <w:r w:rsidRPr="0052405D">
        <w:rPr>
          <w:b/>
          <w:sz w:val="28"/>
          <w:szCs w:val="28"/>
        </w:rPr>
        <w:t>STOCK ASSESSMENT</w:t>
      </w:r>
      <w:r w:rsidR="00B11DBE">
        <w:rPr>
          <w:b/>
          <w:sz w:val="28"/>
          <w:szCs w:val="28"/>
        </w:rPr>
        <w:t xml:space="preserve"> STRATEGY</w:t>
      </w:r>
    </w:p>
    <w:p w:rsidR="00A976E2" w:rsidRPr="00A976E2" w:rsidRDefault="00A976E2" w:rsidP="00A976E2">
      <w:pPr>
        <w:spacing w:after="0"/>
        <w:jc w:val="center"/>
        <w:rPr>
          <w:b/>
        </w:rPr>
      </w:pPr>
    </w:p>
    <w:p w:rsidR="0052405D" w:rsidRPr="00A976E2" w:rsidRDefault="00ED6CCC" w:rsidP="00A976E2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William Gaeuman</w:t>
      </w:r>
      <w:r w:rsidR="0052405D" w:rsidRPr="00A976E2">
        <w:rPr>
          <w:sz w:val="22"/>
          <w:szCs w:val="22"/>
        </w:rPr>
        <w:t>, ADF&amp;G Kodiak</w:t>
      </w:r>
    </w:p>
    <w:p w:rsidR="00160911" w:rsidRDefault="00B11DBE" w:rsidP="00160911">
      <w:pPr>
        <w:spacing w:after="0"/>
        <w:jc w:val="center"/>
      </w:pPr>
      <w:r w:rsidRPr="00A976E2">
        <w:rPr>
          <w:sz w:val="22"/>
          <w:szCs w:val="22"/>
        </w:rPr>
        <w:t>Sept</w:t>
      </w:r>
      <w:r w:rsidR="0052405D" w:rsidRPr="00A976E2">
        <w:rPr>
          <w:sz w:val="22"/>
          <w:szCs w:val="22"/>
        </w:rPr>
        <w:t xml:space="preserve"> 2013</w:t>
      </w:r>
    </w:p>
    <w:p w:rsidR="00160911" w:rsidRPr="00160911" w:rsidRDefault="00160911" w:rsidP="00160911">
      <w:pPr>
        <w:spacing w:after="0"/>
        <w:jc w:val="center"/>
      </w:pPr>
    </w:p>
    <w:p w:rsidR="0052405D" w:rsidRPr="0052405D" w:rsidRDefault="0052405D" w:rsidP="00A976E2">
      <w:pPr>
        <w:spacing w:after="0"/>
        <w:jc w:val="left"/>
        <w:rPr>
          <w:b/>
          <w:u w:val="single"/>
          <w:lang w:val="en-AU"/>
        </w:rPr>
      </w:pPr>
      <w:r w:rsidRPr="0052405D">
        <w:rPr>
          <w:b/>
          <w:u w:val="single"/>
          <w:lang w:val="en-AU"/>
        </w:rPr>
        <w:t>Introduction</w:t>
      </w:r>
    </w:p>
    <w:p w:rsidR="00F3603E" w:rsidRPr="00B954F9" w:rsidRDefault="00A80FB2" w:rsidP="00A976E2">
      <w:pPr>
        <w:spacing w:after="0"/>
        <w:jc w:val="left"/>
        <w:rPr>
          <w:lang w:val="en-AU"/>
        </w:rPr>
      </w:pPr>
      <w:r>
        <w:rPr>
          <w:lang w:val="en-AU"/>
        </w:rPr>
        <w:t>A</w:t>
      </w:r>
      <w:r w:rsidRPr="0051420F">
        <w:rPr>
          <w:lang w:val="en-AU"/>
        </w:rPr>
        <w:t xml:space="preserve">s mandated by State of Alaska regulation </w:t>
      </w:r>
      <w:r w:rsidRPr="0051420F">
        <w:rPr>
          <w:b/>
          <w:lang w:val="en-AU"/>
        </w:rPr>
        <w:t>5 AAC 34.910 (b) (3)</w:t>
      </w:r>
      <w:r>
        <w:rPr>
          <w:lang w:val="en-AU"/>
        </w:rPr>
        <w:t>,</w:t>
      </w:r>
      <w:r w:rsidRPr="0051420F">
        <w:rPr>
          <w:lang w:val="en-AU"/>
        </w:rPr>
        <w:t xml:space="preserve"> </w:t>
      </w:r>
      <w:r>
        <w:rPr>
          <w:lang w:val="en-AU"/>
        </w:rPr>
        <w:t>t</w:t>
      </w:r>
      <w:r w:rsidR="00EB456A">
        <w:rPr>
          <w:lang w:val="en-AU"/>
        </w:rPr>
        <w:t>he Alaska Department of Fish and Game (ADF&amp;G) currently manages the Pribilof Islands (Pribilof District</w:t>
      </w:r>
      <w:r w:rsidR="00C036E5">
        <w:rPr>
          <w:lang w:val="en-AU"/>
        </w:rPr>
        <w:t>; Figure 1</w:t>
      </w:r>
      <w:r w:rsidR="00EB456A">
        <w:rPr>
          <w:lang w:val="en-AU"/>
        </w:rPr>
        <w:t>) golden king crab (PIGKC) fishery as a</w:t>
      </w:r>
      <w:r>
        <w:rPr>
          <w:lang w:val="en-AU"/>
        </w:rPr>
        <w:t xml:space="preserve"> calendar-year fishery under </w:t>
      </w:r>
      <w:r w:rsidR="00EB456A">
        <w:rPr>
          <w:lang w:val="en-AU"/>
        </w:rPr>
        <w:t xml:space="preserve">the terms of an ADF&amp;G commissioner’s permit, and the </w:t>
      </w:r>
      <w:r w:rsidR="00F610E9">
        <w:rPr>
          <w:lang w:val="en-AU"/>
        </w:rPr>
        <w:t>s</w:t>
      </w:r>
      <w:r w:rsidR="004338F7">
        <w:rPr>
          <w:lang w:val="en-AU"/>
        </w:rPr>
        <w:t>tock</w:t>
      </w:r>
      <w:r w:rsidR="00F610E9">
        <w:rPr>
          <w:lang w:val="en-AU"/>
        </w:rPr>
        <w:t xml:space="preserve"> </w:t>
      </w:r>
      <w:r w:rsidR="005328B2">
        <w:rPr>
          <w:lang w:val="en-AU"/>
        </w:rPr>
        <w:t>is currently</w:t>
      </w:r>
      <w:r w:rsidR="009010F1">
        <w:rPr>
          <w:lang w:val="en-AU"/>
        </w:rPr>
        <w:t xml:space="preserve"> assessed </w:t>
      </w:r>
      <w:r w:rsidR="00160911">
        <w:rPr>
          <w:lang w:val="en-AU"/>
        </w:rPr>
        <w:t>in accordance with the Fishery Management Plan (FMP) for Bering Sea/Aleutian Islands King and Tanner Crabs as a</w:t>
      </w:r>
      <w:r w:rsidR="009010F1">
        <w:rPr>
          <w:lang w:val="en-AU"/>
        </w:rPr>
        <w:t xml:space="preserve"> Tier-</w:t>
      </w:r>
      <w:r w:rsidR="00160911">
        <w:rPr>
          <w:lang w:val="en-AU"/>
        </w:rPr>
        <w:t xml:space="preserve">5 crab stock </w:t>
      </w:r>
      <w:r w:rsidR="005328B2">
        <w:rPr>
          <w:lang w:val="en-AU"/>
        </w:rPr>
        <w:t>(</w:t>
      </w:r>
      <w:r w:rsidR="005328B2" w:rsidRPr="005328B2">
        <w:rPr>
          <w:lang w:val="en-AU"/>
        </w:rPr>
        <w:t>201</w:t>
      </w:r>
      <w:r w:rsidR="005328B2">
        <w:rPr>
          <w:lang w:val="en-AU"/>
        </w:rPr>
        <w:t xml:space="preserve">2 </w:t>
      </w:r>
      <w:r w:rsidR="00291515">
        <w:rPr>
          <w:lang w:val="en-AU"/>
        </w:rPr>
        <w:t xml:space="preserve">Crab </w:t>
      </w:r>
      <w:r w:rsidR="005328B2">
        <w:rPr>
          <w:lang w:val="en-AU"/>
        </w:rPr>
        <w:t>SAFE</w:t>
      </w:r>
      <w:r w:rsidR="004C42CD">
        <w:rPr>
          <w:lang w:val="en-AU"/>
        </w:rPr>
        <w:t>)</w:t>
      </w:r>
      <w:r w:rsidR="00EB456A">
        <w:rPr>
          <w:lang w:val="en-AU"/>
        </w:rPr>
        <w:t>.</w:t>
      </w:r>
      <w:r w:rsidR="00B11DBE">
        <w:rPr>
          <w:lang w:val="en-AU"/>
        </w:rPr>
        <w:t xml:space="preserve"> </w:t>
      </w:r>
      <w:r w:rsidR="00EB456A">
        <w:rPr>
          <w:lang w:val="en-AU"/>
        </w:rPr>
        <w:t>H</w:t>
      </w:r>
      <w:r w:rsidR="004C42CD">
        <w:rPr>
          <w:lang w:val="en-AU"/>
        </w:rPr>
        <w:t xml:space="preserve">owever, </w:t>
      </w:r>
      <w:r w:rsidR="00A976E2">
        <w:rPr>
          <w:lang w:val="en-AU"/>
        </w:rPr>
        <w:t xml:space="preserve">both </w:t>
      </w:r>
      <w:r w:rsidR="004C42CD">
        <w:rPr>
          <w:lang w:val="en-AU"/>
        </w:rPr>
        <w:t>t</w:t>
      </w:r>
      <w:r w:rsidR="004338F7" w:rsidRPr="004338F7">
        <w:rPr>
          <w:lang w:val="en-AU"/>
        </w:rPr>
        <w:t>h</w:t>
      </w:r>
      <w:r w:rsidR="002D5203">
        <w:rPr>
          <w:lang w:val="en-AU"/>
        </w:rPr>
        <w:t xml:space="preserve">e </w:t>
      </w:r>
      <w:r w:rsidR="00A976E2">
        <w:rPr>
          <w:lang w:val="en-AU"/>
        </w:rPr>
        <w:t>NPFMC Crab Plan Team (</w:t>
      </w:r>
      <w:r w:rsidR="00F3603E">
        <w:rPr>
          <w:lang w:val="en-AU"/>
        </w:rPr>
        <w:t>CPT</w:t>
      </w:r>
      <w:r w:rsidR="00A976E2">
        <w:rPr>
          <w:lang w:val="en-AU"/>
        </w:rPr>
        <w:t>)</w:t>
      </w:r>
      <w:r w:rsidR="00F3603E">
        <w:rPr>
          <w:lang w:val="en-AU"/>
        </w:rPr>
        <w:t xml:space="preserve"> and </w:t>
      </w:r>
      <w:r w:rsidR="00A976E2">
        <w:rPr>
          <w:lang w:val="en-AU"/>
        </w:rPr>
        <w:t>Scientific and Statistical Committee (</w:t>
      </w:r>
      <w:r w:rsidR="002D5203">
        <w:rPr>
          <w:lang w:val="en-AU"/>
        </w:rPr>
        <w:t>SSC</w:t>
      </w:r>
      <w:r w:rsidR="00A976E2">
        <w:rPr>
          <w:lang w:val="en-AU"/>
        </w:rPr>
        <w:t>)</w:t>
      </w:r>
      <w:r w:rsidR="001166C7">
        <w:rPr>
          <w:lang w:val="en-AU"/>
        </w:rPr>
        <w:t xml:space="preserve"> </w:t>
      </w:r>
      <w:r w:rsidR="00F3603E">
        <w:rPr>
          <w:lang w:val="en-AU"/>
        </w:rPr>
        <w:t>have</w:t>
      </w:r>
      <w:r w:rsidR="004C42CD">
        <w:rPr>
          <w:lang w:val="en-AU"/>
        </w:rPr>
        <w:t xml:space="preserve"> encouraged</w:t>
      </w:r>
      <w:r w:rsidR="00B11DBE">
        <w:rPr>
          <w:lang w:val="en-AU"/>
        </w:rPr>
        <w:t xml:space="preserve"> development of an alternative assessment strategy </w:t>
      </w:r>
      <w:r w:rsidR="00600010">
        <w:rPr>
          <w:lang w:val="en-AU"/>
        </w:rPr>
        <w:t xml:space="preserve">incorporating results from </w:t>
      </w:r>
      <w:r w:rsidR="00B11DBE">
        <w:rPr>
          <w:lang w:val="en-AU"/>
        </w:rPr>
        <w:t>the</w:t>
      </w:r>
      <w:r w:rsidR="009010F1">
        <w:rPr>
          <w:lang w:val="en-AU"/>
        </w:rPr>
        <w:t xml:space="preserve"> biennial </w:t>
      </w:r>
      <w:r w:rsidR="007212A2">
        <w:rPr>
          <w:lang w:val="en-AU"/>
        </w:rPr>
        <w:t xml:space="preserve">NMFS </w:t>
      </w:r>
      <w:r w:rsidR="004338F7">
        <w:rPr>
          <w:lang w:val="en-AU"/>
        </w:rPr>
        <w:t>eastern Bering Sea</w:t>
      </w:r>
      <w:r w:rsidR="004338F7" w:rsidRPr="004338F7">
        <w:rPr>
          <w:lang w:val="en-AU"/>
        </w:rPr>
        <w:t xml:space="preserve"> </w:t>
      </w:r>
      <w:r w:rsidR="00410950">
        <w:rPr>
          <w:lang w:val="en-AU"/>
        </w:rPr>
        <w:t xml:space="preserve">upper continental slope </w:t>
      </w:r>
      <w:r w:rsidR="00FD2FB7">
        <w:rPr>
          <w:lang w:val="en-AU"/>
        </w:rPr>
        <w:t xml:space="preserve">trawl </w:t>
      </w:r>
      <w:r w:rsidR="004C42CD">
        <w:rPr>
          <w:lang w:val="en-AU"/>
        </w:rPr>
        <w:t>sur</w:t>
      </w:r>
      <w:r w:rsidR="009010F1">
        <w:rPr>
          <w:lang w:val="en-AU"/>
        </w:rPr>
        <w:t>vey</w:t>
      </w:r>
      <w:r w:rsidR="00F3603E">
        <w:rPr>
          <w:lang w:val="en-AU"/>
        </w:rPr>
        <w:t>.</w:t>
      </w:r>
      <w:r w:rsidR="005328B2">
        <w:rPr>
          <w:lang w:val="en-AU"/>
        </w:rPr>
        <w:t xml:space="preserve"> Specifically, </w:t>
      </w:r>
      <w:r w:rsidR="00A02CC2">
        <w:rPr>
          <w:lang w:val="en-AU"/>
        </w:rPr>
        <w:t xml:space="preserve">in June 2013 </w:t>
      </w:r>
      <w:r w:rsidR="007722B4">
        <w:rPr>
          <w:lang w:val="en-AU"/>
        </w:rPr>
        <w:t xml:space="preserve">the SSC requested </w:t>
      </w:r>
      <w:r w:rsidR="00B954F9">
        <w:rPr>
          <w:lang w:val="en-AU"/>
        </w:rPr>
        <w:t xml:space="preserve">for Fall 2013 </w:t>
      </w:r>
      <w:r w:rsidR="007722B4">
        <w:rPr>
          <w:lang w:val="en-AU"/>
        </w:rPr>
        <w:t xml:space="preserve">elaboration of a “modified Tier 5” </w:t>
      </w:r>
      <w:r w:rsidR="00DC22EB">
        <w:rPr>
          <w:lang w:val="en-AU"/>
        </w:rPr>
        <w:t>approach that “would use the average of [slope-survey estimates of] mature male biomass for 2008, 2010, and 2012 as an estimate of current biomass, with F=M applied to estimate an OFL and a suitable buffer applied to set ABC.”</w:t>
      </w:r>
      <w:r w:rsidR="00B954F9">
        <w:rPr>
          <w:rStyle w:val="FootnoteReference"/>
          <w:lang w:val="en-AU"/>
        </w:rPr>
        <w:footnoteReference w:id="1"/>
      </w:r>
      <w:r w:rsidR="00600010">
        <w:rPr>
          <w:lang w:val="en-AU"/>
        </w:rPr>
        <w:t xml:space="preserve"> </w:t>
      </w:r>
      <w:r w:rsidR="00186EA2">
        <w:rPr>
          <w:lang w:val="en-AU"/>
        </w:rPr>
        <w:t>Though this approach falls out</w:t>
      </w:r>
      <w:r w:rsidR="00EB456A">
        <w:rPr>
          <w:lang w:val="en-AU"/>
        </w:rPr>
        <w:t>side the crab stock assessment T</w:t>
      </w:r>
      <w:r w:rsidR="00186EA2">
        <w:rPr>
          <w:lang w:val="en-AU"/>
        </w:rPr>
        <w:t>ier system, it</w:t>
      </w:r>
      <w:r w:rsidR="00291515">
        <w:rPr>
          <w:lang w:val="en-AU"/>
        </w:rPr>
        <w:t xml:space="preserve"> closely corresponds to the </w:t>
      </w:r>
      <w:r w:rsidR="003E600E">
        <w:rPr>
          <w:lang w:val="en-AU"/>
        </w:rPr>
        <w:t xml:space="preserve">North Pacific </w:t>
      </w:r>
      <w:proofErr w:type="spellStart"/>
      <w:r w:rsidR="003E600E">
        <w:rPr>
          <w:lang w:val="en-AU"/>
        </w:rPr>
        <w:t>groundfish</w:t>
      </w:r>
      <w:proofErr w:type="spellEnd"/>
      <w:r w:rsidR="003E600E">
        <w:rPr>
          <w:lang w:val="en-AU"/>
        </w:rPr>
        <w:t xml:space="preserve"> stock assessment Tier-5 methodology specified in the </w:t>
      </w:r>
      <w:r w:rsidR="00160911">
        <w:rPr>
          <w:lang w:val="en-AU"/>
        </w:rPr>
        <w:t xml:space="preserve">Bering Sea/Aleutian Islands </w:t>
      </w:r>
      <w:proofErr w:type="spellStart"/>
      <w:r w:rsidR="00160911">
        <w:rPr>
          <w:lang w:val="en-AU"/>
        </w:rPr>
        <w:t>Groundfish</w:t>
      </w:r>
      <w:proofErr w:type="spellEnd"/>
      <w:r w:rsidR="00160911">
        <w:rPr>
          <w:lang w:val="en-AU"/>
        </w:rPr>
        <w:t xml:space="preserve"> FMP</w:t>
      </w:r>
      <w:r w:rsidR="00EB456A">
        <w:rPr>
          <w:lang w:val="en-AU"/>
        </w:rPr>
        <w:t xml:space="preserve">, a notable difference being the use of mature male biomass </w:t>
      </w:r>
      <w:r w:rsidR="00C14BA6">
        <w:rPr>
          <w:lang w:val="en-AU"/>
        </w:rPr>
        <w:t xml:space="preserve">(MMB) </w:t>
      </w:r>
      <w:r w:rsidR="00EB456A">
        <w:rPr>
          <w:lang w:val="en-AU"/>
        </w:rPr>
        <w:t xml:space="preserve">as the measure of (crab) stock biomass. This document </w:t>
      </w:r>
      <w:r w:rsidR="00232CE5">
        <w:rPr>
          <w:lang w:val="en-AU"/>
        </w:rPr>
        <w:t xml:space="preserve">“runs the numbers” and </w:t>
      </w:r>
      <w:r w:rsidR="00EB456A">
        <w:rPr>
          <w:lang w:val="en-AU"/>
        </w:rPr>
        <w:t xml:space="preserve">presents OFL and </w:t>
      </w:r>
      <w:r w:rsidR="00EB456A" w:rsidRPr="003C22D7">
        <w:rPr>
          <w:lang w:val="en-AU"/>
        </w:rPr>
        <w:t>ABC</w:t>
      </w:r>
      <w:r w:rsidR="00EB456A">
        <w:rPr>
          <w:lang w:val="en-AU"/>
        </w:rPr>
        <w:t xml:space="preserve"> calculations for the calendar</w:t>
      </w:r>
      <w:r w:rsidR="00A976E2">
        <w:rPr>
          <w:lang w:val="en-AU"/>
        </w:rPr>
        <w:t>-</w:t>
      </w:r>
      <w:r w:rsidR="00EB456A">
        <w:rPr>
          <w:lang w:val="en-AU"/>
        </w:rPr>
        <w:t>year 2014 PIGKC fishery</w:t>
      </w:r>
      <w:r w:rsidR="00A976E2">
        <w:rPr>
          <w:lang w:val="en-AU"/>
        </w:rPr>
        <w:t xml:space="preserve"> using the requested alternative approach.</w:t>
      </w:r>
      <w:r w:rsidR="00ED6CCC">
        <w:rPr>
          <w:lang w:val="en-AU"/>
        </w:rPr>
        <w:t xml:space="preserve"> Catch accounting for determination of overfishing in 2014 </w:t>
      </w:r>
      <w:r w:rsidR="003C2DCD">
        <w:rPr>
          <w:lang w:val="en-AU"/>
        </w:rPr>
        <w:t>would then occur</w:t>
      </w:r>
      <w:r w:rsidR="00A02CC2">
        <w:rPr>
          <w:lang w:val="en-AU"/>
        </w:rPr>
        <w:t>, hypothetically,</w:t>
      </w:r>
      <w:r w:rsidR="003C2DCD">
        <w:rPr>
          <w:lang w:val="en-AU"/>
        </w:rPr>
        <w:t xml:space="preserve"> </w:t>
      </w:r>
      <w:r w:rsidR="00232CE5">
        <w:rPr>
          <w:lang w:val="en-AU"/>
        </w:rPr>
        <w:t xml:space="preserve">sometime </w:t>
      </w:r>
      <w:r w:rsidR="003C2DCD">
        <w:rPr>
          <w:lang w:val="en-AU"/>
        </w:rPr>
        <w:t xml:space="preserve">in 2015 after completion of the </w:t>
      </w:r>
      <w:r w:rsidR="00ED6CCC">
        <w:rPr>
          <w:lang w:val="en-AU"/>
        </w:rPr>
        <w:t xml:space="preserve">directed </w:t>
      </w:r>
      <w:r w:rsidR="003C2DCD">
        <w:rPr>
          <w:lang w:val="en-AU"/>
        </w:rPr>
        <w:t xml:space="preserve">fishery. </w:t>
      </w:r>
      <w:r w:rsidR="00A02CC2">
        <w:rPr>
          <w:lang w:val="en-AU"/>
        </w:rPr>
        <w:t xml:space="preserve">Note that this exercise is not intended as a revision of the 2014 OFL already proposed in the </w:t>
      </w:r>
      <w:r w:rsidR="00D87448">
        <w:rPr>
          <w:lang w:val="en-AU"/>
        </w:rPr>
        <w:t>M</w:t>
      </w:r>
      <w:r w:rsidR="00A02CC2">
        <w:rPr>
          <w:lang w:val="en-AU"/>
        </w:rPr>
        <w:t>ay draft 2013 PIGKC SAFE chapter, which provides further details on the PIGKC stock and fishery, but rather as a concrete illus</w:t>
      </w:r>
      <w:r w:rsidR="003616E0">
        <w:rPr>
          <w:lang w:val="en-AU"/>
        </w:rPr>
        <w:t xml:space="preserve">tration of the </w:t>
      </w:r>
      <w:r w:rsidR="00A02CC2">
        <w:rPr>
          <w:lang w:val="en-AU"/>
        </w:rPr>
        <w:t xml:space="preserve">requested alternative assessment strategy. </w:t>
      </w:r>
    </w:p>
    <w:p w:rsidR="00876D8F" w:rsidRPr="00FD2FB7" w:rsidRDefault="00876D8F" w:rsidP="00FD2FB7">
      <w:pPr>
        <w:spacing w:after="0" w:line="276" w:lineRule="auto"/>
        <w:rPr>
          <w:szCs w:val="22"/>
        </w:rPr>
      </w:pPr>
    </w:p>
    <w:p w:rsidR="0085382E" w:rsidRDefault="0085382E" w:rsidP="00CA3EC2">
      <w:pPr>
        <w:spacing w:after="0"/>
        <w:jc w:val="left"/>
        <w:rPr>
          <w:lang w:val="en-AU"/>
        </w:rPr>
      </w:pPr>
      <w:r>
        <w:rPr>
          <w:b/>
          <w:u w:val="single"/>
          <w:lang w:val="en-AU"/>
        </w:rPr>
        <w:t>The EBS upper continental slope survey</w:t>
      </w:r>
    </w:p>
    <w:p w:rsidR="0085382E" w:rsidRDefault="00ED6CCC" w:rsidP="00CA3EC2">
      <w:pPr>
        <w:spacing w:after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Details about </w:t>
      </w:r>
      <w:r w:rsidR="0073073C">
        <w:rPr>
          <w:rFonts w:ascii="TimesNewRomanPSMT" w:hAnsi="TimesNewRomanPSMT" w:cs="TimesNewRomanPSMT"/>
        </w:rPr>
        <w:t>eastern Bering Sea upper</w:t>
      </w:r>
      <w:r w:rsidR="00044CA2">
        <w:rPr>
          <w:rFonts w:ascii="TimesNewRomanPSMT" w:hAnsi="TimesNewRomanPSMT" w:cs="TimesNewRomanPSMT"/>
        </w:rPr>
        <w:t xml:space="preserve"> continental slope-</w:t>
      </w:r>
      <w:r w:rsidR="0085382E">
        <w:rPr>
          <w:rFonts w:ascii="TimesNewRomanPSMT" w:hAnsi="TimesNewRomanPSMT" w:cs="TimesNewRomanPSMT"/>
        </w:rPr>
        <w:t xml:space="preserve">survey methods are provided in Hoff and Britt </w:t>
      </w:r>
      <w:r w:rsidR="0015193B">
        <w:rPr>
          <w:rFonts w:ascii="TimesNewRomanPSMT" w:hAnsi="TimesNewRomanPSMT" w:cs="TimesNewRomanPSMT"/>
        </w:rPr>
        <w:t>(</w:t>
      </w:r>
      <w:r w:rsidR="0085382E">
        <w:rPr>
          <w:rFonts w:ascii="TimesNewRomanPSMT" w:hAnsi="TimesNewRomanPSMT" w:cs="TimesNewRomanPSMT"/>
        </w:rPr>
        <w:t>2011</w:t>
      </w:r>
      <w:r w:rsidR="0015193B">
        <w:rPr>
          <w:rFonts w:ascii="TimesNewRomanPSMT" w:hAnsi="TimesNewRomanPSMT" w:cs="TimesNewRomanPSMT"/>
        </w:rPr>
        <w:t>)</w:t>
      </w:r>
      <w:r w:rsidR="0085382E">
        <w:rPr>
          <w:rFonts w:ascii="TimesNewRomanPSMT" w:hAnsi="TimesNewRomanPSMT" w:cs="TimesNewRomanPSMT"/>
        </w:rPr>
        <w:t xml:space="preserve">. </w:t>
      </w:r>
      <w:r w:rsidR="00FD2FB7">
        <w:rPr>
          <w:rFonts w:ascii="TimesNewRomanPSMT" w:hAnsi="TimesNewRomanPSMT" w:cs="TimesNewRomanPSMT"/>
        </w:rPr>
        <w:t>Standardized surveys were</w:t>
      </w:r>
      <w:r w:rsidR="0015193B">
        <w:rPr>
          <w:rFonts w:ascii="TimesNewRomanPSMT" w:hAnsi="TimesNewRomanPSMT" w:cs="TimesNewRomanPSMT"/>
        </w:rPr>
        <w:t xml:space="preserve"> conducted in 2002, 2004, 2008, 2010, and 2012; although intended to be biennial, no survey was performed in 2006. </w:t>
      </w:r>
      <w:r w:rsidR="002C5655">
        <w:t xml:space="preserve">The </w:t>
      </w:r>
      <w:r w:rsidR="00044CA2">
        <w:t xml:space="preserve">survey occurs during June and </w:t>
      </w:r>
      <w:r w:rsidR="0015193B">
        <w:t xml:space="preserve">July and the </w:t>
      </w:r>
      <w:r w:rsidR="002C5655">
        <w:t xml:space="preserve">surveyed region consists of a swath of </w:t>
      </w:r>
      <w:proofErr w:type="spellStart"/>
      <w:r w:rsidR="002C5655">
        <w:t>trawlable</w:t>
      </w:r>
      <w:proofErr w:type="spellEnd"/>
      <w:r w:rsidR="002C5655">
        <w:rPr>
          <w:rStyle w:val="FootnoteReference"/>
        </w:rPr>
        <w:footnoteReference w:id="2"/>
      </w:r>
      <w:r w:rsidR="002C5655">
        <w:t xml:space="preserve"> ocean bottom </w:t>
      </w:r>
      <w:r w:rsidR="005B1D20">
        <w:t xml:space="preserve">at depths of 200 to </w:t>
      </w:r>
      <w:r w:rsidR="004A7B6E">
        <w:t xml:space="preserve">1,200 m </w:t>
      </w:r>
      <w:r w:rsidR="002C5655">
        <w:t xml:space="preserve">extending northwest from near Dutch Harbor some 600 mi along the EBS </w:t>
      </w:r>
      <w:r w:rsidR="004A7B6E">
        <w:t xml:space="preserve">continental </w:t>
      </w:r>
      <w:r w:rsidR="00B85B9F">
        <w:t xml:space="preserve">shelf </w:t>
      </w:r>
      <w:r w:rsidR="004A7B6E">
        <w:t>slope</w:t>
      </w:r>
      <w:r w:rsidR="00B85B9F">
        <w:t xml:space="preserve"> (Figure 2</w:t>
      </w:r>
      <w:r w:rsidR="002C5655">
        <w:t xml:space="preserve">). </w:t>
      </w:r>
      <w:r w:rsidR="0085382E">
        <w:rPr>
          <w:rFonts w:ascii="TimesNewRomanPSMT" w:hAnsi="TimesNewRomanPSMT" w:cs="TimesNewRomanPSMT"/>
        </w:rPr>
        <w:t>The survey area is divided into 6 geogr</w:t>
      </w:r>
      <w:r w:rsidR="00FD2FB7">
        <w:rPr>
          <w:rFonts w:ascii="TimesNewRomanPSMT" w:hAnsi="TimesNewRomanPSMT" w:cs="TimesNewRomanPSMT"/>
        </w:rPr>
        <w:t xml:space="preserve">aphic subareas running </w:t>
      </w:r>
      <w:r w:rsidR="0085382E">
        <w:rPr>
          <w:rFonts w:ascii="TimesNewRomanPSMT" w:hAnsi="TimesNewRomanPSMT" w:cs="TimesNewRomanPSMT"/>
        </w:rPr>
        <w:t>south</w:t>
      </w:r>
      <w:r w:rsidR="00FD2FB7">
        <w:rPr>
          <w:rFonts w:ascii="TimesNewRomanPSMT" w:hAnsi="TimesNewRomanPSMT" w:cs="TimesNewRomanPSMT"/>
        </w:rPr>
        <w:t xml:space="preserve"> to north</w:t>
      </w:r>
      <w:r w:rsidR="0085382E">
        <w:rPr>
          <w:rFonts w:ascii="TimesNewRomanPSMT" w:hAnsi="TimesNewRomanPSMT" w:cs="TimesNewRomanPSMT"/>
        </w:rPr>
        <w:t xml:space="preserve"> in the survey area: </w:t>
      </w:r>
      <w:r w:rsidR="00FD2FB7">
        <w:rPr>
          <w:rFonts w:ascii="TimesNewRomanPSMT" w:hAnsi="TimesNewRomanPSMT" w:cs="TimesNewRomanPSMT"/>
        </w:rPr>
        <w:t xml:space="preserve">the </w:t>
      </w:r>
      <w:r w:rsidR="0085382E">
        <w:rPr>
          <w:rFonts w:ascii="TimesNewRomanPSMT" w:hAnsi="TimesNewRomanPSMT" w:cs="TimesNewRomanPSMT"/>
        </w:rPr>
        <w:t xml:space="preserve">Bering Canyon area, </w:t>
      </w:r>
      <w:r w:rsidR="00FD2FB7">
        <w:rPr>
          <w:rFonts w:ascii="TimesNewRomanPSMT" w:hAnsi="TimesNewRomanPSMT" w:cs="TimesNewRomanPSMT"/>
        </w:rPr>
        <w:t xml:space="preserve">the </w:t>
      </w:r>
      <w:r w:rsidR="0085382E">
        <w:rPr>
          <w:rFonts w:ascii="TimesNewRomanPSMT" w:hAnsi="TimesNewRomanPSMT" w:cs="TimesNewRomanPSMT"/>
        </w:rPr>
        <w:t xml:space="preserve">Pribilof Canyon area, the inter-canyon area between Pribilof Canyon and </w:t>
      </w:r>
      <w:proofErr w:type="spellStart"/>
      <w:r w:rsidR="0085382E">
        <w:rPr>
          <w:rFonts w:ascii="TimesNewRomanPSMT" w:hAnsi="TimesNewRomanPSMT" w:cs="TimesNewRomanPSMT"/>
        </w:rPr>
        <w:t>Zhemchug</w:t>
      </w:r>
      <w:proofErr w:type="spellEnd"/>
      <w:r w:rsidR="0085382E">
        <w:rPr>
          <w:rFonts w:ascii="TimesNewRomanPSMT" w:hAnsi="TimesNewRomanPSMT" w:cs="TimesNewRomanPSMT"/>
        </w:rPr>
        <w:t xml:space="preserve"> Canyon, </w:t>
      </w:r>
      <w:r w:rsidR="00FD2FB7">
        <w:rPr>
          <w:rFonts w:ascii="TimesNewRomanPSMT" w:hAnsi="TimesNewRomanPSMT" w:cs="TimesNewRomanPSMT"/>
        </w:rPr>
        <w:t xml:space="preserve">the </w:t>
      </w:r>
      <w:proofErr w:type="spellStart"/>
      <w:r w:rsidR="004A7B6E">
        <w:rPr>
          <w:rFonts w:ascii="TimesNewRomanPSMT" w:hAnsi="TimesNewRomanPSMT" w:cs="TimesNewRomanPSMT"/>
        </w:rPr>
        <w:t>Zhemchug</w:t>
      </w:r>
      <w:proofErr w:type="spellEnd"/>
      <w:r w:rsidR="004A7B6E">
        <w:rPr>
          <w:rFonts w:ascii="TimesNewRomanPSMT" w:hAnsi="TimesNewRomanPSMT" w:cs="TimesNewRomanPSMT"/>
        </w:rPr>
        <w:t xml:space="preserve"> Canyon area, </w:t>
      </w:r>
      <w:r w:rsidR="0085382E">
        <w:rPr>
          <w:rFonts w:ascii="TimesNewRomanPSMT" w:hAnsi="TimesNewRomanPSMT" w:cs="TimesNewRomanPSMT"/>
        </w:rPr>
        <w:t xml:space="preserve">the inter-canyon area between </w:t>
      </w:r>
      <w:proofErr w:type="spellStart"/>
      <w:r w:rsidR="0085382E">
        <w:rPr>
          <w:rFonts w:ascii="TimesNewRomanPSMT" w:hAnsi="TimesNewRomanPSMT" w:cs="TimesNewRomanPSMT"/>
        </w:rPr>
        <w:t>Zhemchug</w:t>
      </w:r>
      <w:proofErr w:type="spellEnd"/>
      <w:r w:rsidR="0085382E">
        <w:rPr>
          <w:rFonts w:ascii="TimesNewRomanPSMT" w:hAnsi="TimesNewRomanPSMT" w:cs="TimesNewRomanPSMT"/>
        </w:rPr>
        <w:t xml:space="preserve"> and </w:t>
      </w:r>
      <w:proofErr w:type="spellStart"/>
      <w:r w:rsidR="0085382E">
        <w:rPr>
          <w:rFonts w:ascii="TimesNewRomanPSMT" w:hAnsi="TimesNewRomanPSMT" w:cs="TimesNewRomanPSMT"/>
        </w:rPr>
        <w:t>Pervenets</w:t>
      </w:r>
      <w:proofErr w:type="spellEnd"/>
      <w:r w:rsidR="0085382E">
        <w:rPr>
          <w:rFonts w:ascii="TimesNewRomanPSMT" w:hAnsi="TimesNewRomanPSMT" w:cs="TimesNewRomanPSMT"/>
        </w:rPr>
        <w:t xml:space="preserve"> Canyon, and the </w:t>
      </w:r>
      <w:proofErr w:type="spellStart"/>
      <w:r w:rsidR="0085382E">
        <w:rPr>
          <w:rFonts w:ascii="TimesNewRomanPSMT" w:hAnsi="TimesNewRomanPSMT" w:cs="TimesNewRomanPSMT"/>
        </w:rPr>
        <w:t>Pervenets</w:t>
      </w:r>
      <w:proofErr w:type="spellEnd"/>
      <w:r w:rsidR="0085382E">
        <w:rPr>
          <w:rFonts w:ascii="TimesNewRomanPSMT" w:hAnsi="TimesNewRomanPSMT" w:cs="TimesNewRomanPSMT"/>
        </w:rPr>
        <w:t xml:space="preserve"> and </w:t>
      </w:r>
      <w:proofErr w:type="spellStart"/>
      <w:r w:rsidR="0085382E">
        <w:rPr>
          <w:rFonts w:ascii="TimesNewRomanPSMT" w:hAnsi="TimesNewRomanPSMT" w:cs="TimesNewRomanPSMT"/>
        </w:rPr>
        <w:t>Navarin</w:t>
      </w:r>
      <w:proofErr w:type="spellEnd"/>
      <w:r w:rsidR="0085382E">
        <w:rPr>
          <w:rFonts w:ascii="TimesNewRomanPSMT" w:hAnsi="TimesNewRomanPSMT" w:cs="TimesNewRomanPSMT"/>
        </w:rPr>
        <w:t xml:space="preserve"> Can</w:t>
      </w:r>
      <w:r w:rsidR="008F6049">
        <w:rPr>
          <w:rFonts w:ascii="TimesNewRomanPSMT" w:hAnsi="TimesNewRomanPSMT" w:cs="TimesNewRomanPSMT"/>
        </w:rPr>
        <w:t xml:space="preserve">yons area. </w:t>
      </w:r>
      <w:r w:rsidR="00B85B9F">
        <w:rPr>
          <w:rFonts w:ascii="TimesNewRomanPSMT" w:hAnsi="TimesNewRomanPSMT" w:cs="TimesNewRomanPSMT"/>
        </w:rPr>
        <w:t>Each</w:t>
      </w:r>
      <w:r w:rsidR="008A203A">
        <w:rPr>
          <w:rFonts w:ascii="TimesNewRomanPSMT" w:hAnsi="TimesNewRomanPSMT" w:cs="TimesNewRomanPSMT"/>
        </w:rPr>
        <w:t xml:space="preserve"> </w:t>
      </w:r>
      <w:r w:rsidR="00B85B9F">
        <w:rPr>
          <w:rFonts w:ascii="TimesNewRomanPSMT" w:hAnsi="TimesNewRomanPSMT" w:cs="TimesNewRomanPSMT"/>
        </w:rPr>
        <w:t>subarea is</w:t>
      </w:r>
      <w:r w:rsidR="008A203A">
        <w:rPr>
          <w:rFonts w:ascii="TimesNewRomanPSMT" w:hAnsi="TimesNewRomanPSMT" w:cs="TimesNewRomanPSMT"/>
        </w:rPr>
        <w:t xml:space="preserve"> partitioned into five </w:t>
      </w:r>
      <w:r w:rsidR="00003C8A">
        <w:rPr>
          <w:rFonts w:ascii="TimesNewRomanPSMT" w:hAnsi="TimesNewRomanPSMT" w:cs="TimesNewRomanPSMT"/>
        </w:rPr>
        <w:t>200-</w:t>
      </w:r>
      <w:r w:rsidR="00B85B9F">
        <w:rPr>
          <w:rFonts w:ascii="TimesNewRomanPSMT" w:hAnsi="TimesNewRomanPSMT" w:cs="TimesNewRomanPSMT"/>
        </w:rPr>
        <w:t>m depth zones between 200 and</w:t>
      </w:r>
      <w:r w:rsidR="0085382E">
        <w:rPr>
          <w:rFonts w:ascii="TimesNewRomanPSMT" w:hAnsi="TimesNewRomanPSMT" w:cs="TimesNewRomanPSMT"/>
        </w:rPr>
        <w:t xml:space="preserve"> 1,200 m.  The survey samples app</w:t>
      </w:r>
      <w:r w:rsidR="008A203A">
        <w:rPr>
          <w:rFonts w:ascii="TimesNewRomanPSMT" w:hAnsi="TimesNewRomanPSMT" w:cs="TimesNewRomanPSMT"/>
        </w:rPr>
        <w:t xml:space="preserve">roximately 200 locations </w:t>
      </w:r>
      <w:r w:rsidR="0085382E">
        <w:rPr>
          <w:rFonts w:ascii="TimesNewRomanPSMT" w:hAnsi="TimesNewRomanPSMT" w:cs="TimesNewRomanPSMT"/>
        </w:rPr>
        <w:t xml:space="preserve">by stratified </w:t>
      </w:r>
      <w:r w:rsidR="008636AF">
        <w:rPr>
          <w:rFonts w:ascii="TimesNewRomanPSMT" w:hAnsi="TimesNewRomanPSMT" w:cs="TimesNewRomanPSMT"/>
        </w:rPr>
        <w:t xml:space="preserve">simple </w:t>
      </w:r>
      <w:r w:rsidR="0085382E">
        <w:rPr>
          <w:rFonts w:ascii="TimesNewRomanPSMT" w:hAnsi="TimesNewRomanPSMT" w:cs="TimesNewRomanPSMT"/>
        </w:rPr>
        <w:t xml:space="preserve">random sampling from the </w:t>
      </w:r>
      <w:r w:rsidR="008A203A">
        <w:rPr>
          <w:rFonts w:ascii="TimesNewRomanPSMT" w:hAnsi="TimesNewRomanPSMT" w:cs="TimesNewRomanPSMT"/>
        </w:rPr>
        <w:lastRenderedPageBreak/>
        <w:t>30 area-by-depth-zone strata</w:t>
      </w:r>
      <w:r w:rsidR="00003C8A">
        <w:rPr>
          <w:rFonts w:ascii="TimesNewRomanPSMT" w:hAnsi="TimesNewRomanPSMT" w:cs="TimesNewRomanPSMT"/>
        </w:rPr>
        <w:t>. In 2010</w:t>
      </w:r>
      <w:r w:rsidR="0085382E">
        <w:rPr>
          <w:rFonts w:ascii="TimesNewRomanPSMT" w:hAnsi="TimesNewRomanPSMT" w:cs="TimesNewRomanPSMT"/>
        </w:rPr>
        <w:t xml:space="preserve"> sampling densities within strata ranged from one haul per 112.39 km</w:t>
      </w:r>
      <w:r w:rsidR="0085382E" w:rsidRPr="0029064E">
        <w:rPr>
          <w:rFonts w:ascii="TimesNewRomanPSMT" w:hAnsi="TimesNewRomanPSMT" w:cs="TimesNewRomanPSMT"/>
          <w:vertAlign w:val="superscript"/>
        </w:rPr>
        <w:t>2</w:t>
      </w:r>
      <w:r w:rsidR="0085382E">
        <w:rPr>
          <w:rFonts w:ascii="TimesNewRomanPSMT" w:hAnsi="TimesNewRomanPSMT" w:cs="TimesNewRomanPSMT"/>
        </w:rPr>
        <w:t xml:space="preserve"> to one haul per 368.96 km</w:t>
      </w:r>
      <w:r w:rsidR="0085382E" w:rsidRPr="0029064E">
        <w:rPr>
          <w:rFonts w:ascii="TimesNewRomanPSMT" w:hAnsi="TimesNewRomanPSMT" w:cs="TimesNewRomanPSMT"/>
          <w:vertAlign w:val="superscript"/>
        </w:rPr>
        <w:t>2</w:t>
      </w:r>
      <w:r w:rsidR="004D03DD">
        <w:rPr>
          <w:rFonts w:ascii="TimesNewRomanPSMT" w:hAnsi="TimesNewRomanPSMT" w:cs="TimesNewRomanPSMT"/>
        </w:rPr>
        <w:t xml:space="preserve"> (</w:t>
      </w:r>
      <w:r w:rsidR="0085382E">
        <w:rPr>
          <w:rFonts w:ascii="TimesNewRomanPSMT" w:hAnsi="TimesNewRomanPSMT" w:cs="TimesNewRomanPSMT"/>
        </w:rPr>
        <w:t>survey tow sampl</w:t>
      </w:r>
      <w:r w:rsidR="005B1D20">
        <w:rPr>
          <w:rFonts w:ascii="TimesNewRomanPSMT" w:hAnsi="TimesNewRomanPSMT" w:cs="TimesNewRomanPSMT"/>
        </w:rPr>
        <w:t>ing is denser at depths less than</w:t>
      </w:r>
      <w:r w:rsidR="004D03DD">
        <w:rPr>
          <w:rFonts w:ascii="TimesNewRomanPSMT" w:hAnsi="TimesNewRomanPSMT" w:cs="TimesNewRomanPSMT"/>
        </w:rPr>
        <w:t xml:space="preserve"> 800 m)</w:t>
      </w:r>
      <w:r w:rsidR="008A203A">
        <w:rPr>
          <w:rFonts w:ascii="TimesNewRomanPSMT" w:hAnsi="TimesNewRomanPSMT" w:cs="TimesNewRomanPSMT"/>
        </w:rPr>
        <w:t>,</w:t>
      </w:r>
      <w:r w:rsidR="0085382E">
        <w:rPr>
          <w:rFonts w:ascii="TimesNewRomanPSMT" w:hAnsi="TimesNewRomanPSMT" w:cs="TimesNewRomanPSMT"/>
        </w:rPr>
        <w:t xml:space="preserve"> and the mean sampling density over the total surveyed area of 32,723 km</w:t>
      </w:r>
      <w:r w:rsidR="0085382E" w:rsidRPr="001E239B">
        <w:rPr>
          <w:rFonts w:ascii="TimesNewRomanPSMT" w:hAnsi="TimesNewRomanPSMT" w:cs="TimesNewRomanPSMT"/>
          <w:vertAlign w:val="superscript"/>
        </w:rPr>
        <w:t>2</w:t>
      </w:r>
      <w:r w:rsidR="0085382E">
        <w:rPr>
          <w:rFonts w:ascii="TimesNewRomanPSMT" w:hAnsi="TimesNewRomanPSMT" w:cs="TimesNewRomanPSMT"/>
        </w:rPr>
        <w:t xml:space="preserve"> was one haul per 204.48 km</w:t>
      </w:r>
      <w:r w:rsidR="0085382E" w:rsidRPr="001E239B">
        <w:rPr>
          <w:rFonts w:ascii="TimesNewRomanPSMT" w:hAnsi="TimesNewRomanPSMT" w:cs="TimesNewRomanPSMT"/>
          <w:vertAlign w:val="superscript"/>
        </w:rPr>
        <w:t>2</w:t>
      </w:r>
      <w:r w:rsidR="0085382E">
        <w:rPr>
          <w:rFonts w:ascii="TimesNewRomanPSMT" w:hAnsi="TimesNewRomanPSMT" w:cs="TimesNewRomanPSMT"/>
        </w:rPr>
        <w:t>. That sampling density compares to one haul per 400 nmi</w:t>
      </w:r>
      <w:r w:rsidR="0085382E" w:rsidRPr="00E8117F">
        <w:rPr>
          <w:rFonts w:ascii="TimesNewRomanPSMT" w:hAnsi="TimesNewRomanPSMT" w:cs="TimesNewRomanPSMT"/>
          <w:vertAlign w:val="superscript"/>
        </w:rPr>
        <w:t>2</w:t>
      </w:r>
      <w:r w:rsidR="0085382E">
        <w:rPr>
          <w:rFonts w:ascii="TimesNewRomanPSMT" w:hAnsi="TimesNewRomanPSMT" w:cs="TimesNewRomanPSMT"/>
        </w:rPr>
        <w:t xml:space="preserve"> (1,372 km</w:t>
      </w:r>
      <w:r w:rsidR="0085382E" w:rsidRPr="001E239B">
        <w:rPr>
          <w:rFonts w:ascii="TimesNewRomanPSMT" w:hAnsi="TimesNewRomanPSMT" w:cs="TimesNewRomanPSMT"/>
          <w:vertAlign w:val="superscript"/>
        </w:rPr>
        <w:t>2</w:t>
      </w:r>
      <w:r w:rsidR="0085382E">
        <w:rPr>
          <w:rFonts w:ascii="TimesNewRomanPSMT" w:hAnsi="TimesNewRomanPSMT" w:cs="TimesNewRomanPSMT"/>
        </w:rPr>
        <w:t xml:space="preserve">) for the standard stations in the </w:t>
      </w:r>
      <w:r w:rsidR="00B85B9F">
        <w:rPr>
          <w:rFonts w:ascii="TimesNewRomanPSMT" w:hAnsi="TimesNewRomanPSMT" w:cs="TimesNewRomanPSMT"/>
        </w:rPr>
        <w:t xml:space="preserve">annual </w:t>
      </w:r>
      <w:r w:rsidR="00EA4565">
        <w:rPr>
          <w:rFonts w:ascii="TimesNewRomanPSMT" w:hAnsi="TimesNewRomanPSMT" w:cs="TimesNewRomanPSMT"/>
        </w:rPr>
        <w:t xml:space="preserve">NMFS </w:t>
      </w:r>
      <w:r w:rsidR="005B1D20">
        <w:rPr>
          <w:rFonts w:ascii="TimesNewRomanPSMT" w:hAnsi="TimesNewRomanPSMT" w:cs="TimesNewRomanPSMT"/>
        </w:rPr>
        <w:t>eastern Bering Sea</w:t>
      </w:r>
      <w:r w:rsidR="00B85B9F">
        <w:rPr>
          <w:rFonts w:ascii="TimesNewRomanPSMT" w:hAnsi="TimesNewRomanPSMT" w:cs="TimesNewRomanPSMT"/>
        </w:rPr>
        <w:t xml:space="preserve"> </w:t>
      </w:r>
      <w:r w:rsidR="00913709">
        <w:rPr>
          <w:rFonts w:ascii="TimesNewRomanPSMT" w:hAnsi="TimesNewRomanPSMT" w:cs="TimesNewRomanPSMT"/>
        </w:rPr>
        <w:t>shelf</w:t>
      </w:r>
      <w:r w:rsidR="0085382E">
        <w:rPr>
          <w:rFonts w:ascii="TimesNewRomanPSMT" w:hAnsi="TimesNewRomanPSMT" w:cs="TimesNewRomanPSMT"/>
        </w:rPr>
        <w:t xml:space="preserve"> survey</w:t>
      </w:r>
      <w:r w:rsidR="008F6049">
        <w:rPr>
          <w:rFonts w:ascii="TimesNewRomanPSMT" w:hAnsi="TimesNewRomanPSMT" w:cs="TimesNewRomanPSMT"/>
        </w:rPr>
        <w:t xml:space="preserve">.  </w:t>
      </w:r>
      <w:r w:rsidR="0085382E">
        <w:rPr>
          <w:rFonts w:ascii="TimesNewRomanPSMT" w:hAnsi="TimesNewRomanPSMT" w:cs="TimesNewRomanPSMT"/>
        </w:rPr>
        <w:t xml:space="preserve">The </w:t>
      </w:r>
      <w:r w:rsidR="00B85B9F">
        <w:rPr>
          <w:rFonts w:ascii="TimesNewRomanPSMT" w:hAnsi="TimesNewRomanPSMT" w:cs="TimesNewRomanPSMT"/>
        </w:rPr>
        <w:t xml:space="preserve">slope </w:t>
      </w:r>
      <w:r w:rsidR="0085382E">
        <w:rPr>
          <w:rFonts w:ascii="TimesNewRomanPSMT" w:hAnsi="TimesNewRomanPSMT" w:cs="TimesNewRomanPSMT"/>
        </w:rPr>
        <w:t xml:space="preserve">survey uses a Poly </w:t>
      </w:r>
      <w:proofErr w:type="spellStart"/>
      <w:r w:rsidR="0085382E">
        <w:rPr>
          <w:rFonts w:ascii="TimesNewRomanPSMT" w:hAnsi="TimesNewRomanPSMT" w:cs="TimesNewRomanPSMT"/>
        </w:rPr>
        <w:t>Nor’eastern</w:t>
      </w:r>
      <w:proofErr w:type="spellEnd"/>
      <w:r w:rsidR="0085382E">
        <w:rPr>
          <w:rFonts w:ascii="TimesNewRomanPSMT" w:hAnsi="TimesNewRomanPSMT" w:cs="TimesNewRomanPSMT"/>
        </w:rPr>
        <w:t xml:space="preserve"> high-opening bottom trawl equipped with mud-sweep roller gear</w:t>
      </w:r>
      <w:r w:rsidR="00EA4565">
        <w:rPr>
          <w:rFonts w:ascii="TimesNewRomanPSMT" w:hAnsi="TimesNewRomanPSMT" w:cs="TimesNewRomanPSMT"/>
        </w:rPr>
        <w:t xml:space="preserve"> </w:t>
      </w:r>
      <w:r w:rsidR="0085382E">
        <w:rPr>
          <w:rFonts w:eastAsiaTheme="minorHAnsi"/>
        </w:rPr>
        <w:t>constructed of 203 mm solid rubber disks strung over 16 mm high-tensile chain.</w:t>
      </w:r>
      <w:r w:rsidR="008F6049">
        <w:rPr>
          <w:rFonts w:eastAsiaTheme="minorHAnsi"/>
        </w:rPr>
        <w:t xml:space="preserve"> </w:t>
      </w:r>
      <w:r w:rsidR="008F6049">
        <w:rPr>
          <w:rFonts w:ascii="TimesNewRomanPSMT" w:hAnsi="TimesNewRomanPSMT" w:cs="TimesNewRomanPSMT"/>
        </w:rPr>
        <w:t>The standard t</w:t>
      </w:r>
      <w:r w:rsidR="009C68BA">
        <w:rPr>
          <w:rFonts w:ascii="TimesNewRomanPSMT" w:hAnsi="TimesNewRomanPSMT" w:cs="TimesNewRomanPSMT"/>
        </w:rPr>
        <w:t xml:space="preserve">ow is 30 minutes at 2.5 knots. </w:t>
      </w:r>
    </w:p>
    <w:p w:rsidR="001F71CF" w:rsidRDefault="001F71CF" w:rsidP="00CA3EC2">
      <w:pPr>
        <w:spacing w:after="0"/>
        <w:jc w:val="left"/>
        <w:rPr>
          <w:rFonts w:ascii="TimesNewRomanPSMT" w:hAnsi="TimesNewRomanPSMT" w:cs="TimesNewRomanPSMT"/>
        </w:rPr>
      </w:pPr>
    </w:p>
    <w:p w:rsidR="007F7C69" w:rsidRPr="007F7C69" w:rsidRDefault="00A2231E" w:rsidP="00CA3EC2">
      <w:pPr>
        <w:spacing w:after="0"/>
        <w:jc w:val="left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  <w:u w:val="single"/>
        </w:rPr>
        <w:t xml:space="preserve">Slope-survey golden king crab </w:t>
      </w:r>
      <w:proofErr w:type="spellStart"/>
      <w:r>
        <w:rPr>
          <w:rFonts w:ascii="TimesNewRomanPSMT" w:hAnsi="TimesNewRomanPSMT" w:cs="TimesNewRomanPSMT"/>
          <w:b/>
          <w:u w:val="single"/>
        </w:rPr>
        <w:t>c</w:t>
      </w:r>
      <w:r w:rsidR="007F7C69" w:rsidRPr="007F7C69">
        <w:rPr>
          <w:rFonts w:ascii="TimesNewRomanPSMT" w:hAnsi="TimesNewRomanPSMT" w:cs="TimesNewRomanPSMT"/>
          <w:b/>
          <w:u w:val="single"/>
        </w:rPr>
        <w:t>atchability</w:t>
      </w:r>
      <w:proofErr w:type="spellEnd"/>
    </w:p>
    <w:p w:rsidR="001F71CF" w:rsidRDefault="00AE724E" w:rsidP="00CA3EC2">
      <w:pPr>
        <w:spacing w:after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far as the author is aware</w:t>
      </w:r>
      <w:r w:rsidR="009D56AD">
        <w:rPr>
          <w:rFonts w:ascii="TimesNewRomanPSMT" w:hAnsi="TimesNewRomanPSMT" w:cs="TimesNewRomanPSMT"/>
        </w:rPr>
        <w:t xml:space="preserve">, the fishing characteristics of the slope-survey </w:t>
      </w:r>
      <w:r w:rsidR="001F71CF">
        <w:rPr>
          <w:rFonts w:ascii="TimesNewRomanPSMT" w:hAnsi="TimesNewRomanPSMT" w:cs="TimesNewRomanPSMT"/>
        </w:rPr>
        <w:t xml:space="preserve">mud-sweep roller </w:t>
      </w:r>
      <w:r w:rsidR="009D56AD">
        <w:rPr>
          <w:rFonts w:ascii="TimesNewRomanPSMT" w:hAnsi="TimesNewRomanPSMT" w:cs="TimesNewRomanPSMT"/>
        </w:rPr>
        <w:t>gear</w:t>
      </w:r>
      <w:r w:rsidR="001F71CF">
        <w:rPr>
          <w:rFonts w:ascii="TimesNewRomanPSMT" w:hAnsi="TimesNewRomanPSMT" w:cs="TimesNewRomanPSMT"/>
        </w:rPr>
        <w:t xml:space="preserve"> </w:t>
      </w:r>
      <w:r w:rsidR="009D56AD">
        <w:rPr>
          <w:rFonts w:ascii="TimesNewRomanPSMT" w:hAnsi="TimesNewRomanPSMT" w:cs="TimesNewRomanPSMT"/>
        </w:rPr>
        <w:t>with respect</w:t>
      </w:r>
      <w:r>
        <w:rPr>
          <w:rFonts w:ascii="TimesNewRomanPSMT" w:hAnsi="TimesNewRomanPSMT" w:cs="TimesNewRomanPSMT"/>
        </w:rPr>
        <w:t xml:space="preserve"> to golden king crab </w:t>
      </w:r>
      <w:r w:rsidR="00A02CC2">
        <w:rPr>
          <w:rFonts w:ascii="TimesNewRomanPSMT" w:hAnsi="TimesNewRomanPSMT" w:cs="TimesNewRomanPSMT"/>
        </w:rPr>
        <w:t xml:space="preserve">(GKC) </w:t>
      </w:r>
      <w:r>
        <w:rPr>
          <w:rFonts w:ascii="TimesNewRomanPSMT" w:hAnsi="TimesNewRomanPSMT" w:cs="TimesNewRomanPSMT"/>
        </w:rPr>
        <w:t>and how they</w:t>
      </w:r>
      <w:r w:rsidR="009D56AD">
        <w:rPr>
          <w:rFonts w:ascii="TimesNewRomanPSMT" w:hAnsi="TimesNewRomanPSMT" w:cs="TimesNewRomanPSMT"/>
        </w:rPr>
        <w:t xml:space="preserve"> co</w:t>
      </w:r>
      <w:r w:rsidR="00EA4565">
        <w:rPr>
          <w:rFonts w:ascii="TimesNewRomanPSMT" w:hAnsi="TimesNewRomanPSMT" w:cs="TimesNewRomanPSMT"/>
        </w:rPr>
        <w:t xml:space="preserve">mpare to those of </w:t>
      </w:r>
      <w:r w:rsidR="005B1D20">
        <w:rPr>
          <w:rFonts w:ascii="TimesNewRomanPSMT" w:hAnsi="TimesNewRomanPSMT" w:cs="TimesNewRomanPSMT"/>
        </w:rPr>
        <w:t>the</w:t>
      </w:r>
      <w:r w:rsidR="00A02CC2">
        <w:rPr>
          <w:rFonts w:ascii="TimesNewRomanPSMT" w:hAnsi="TimesNewRomanPSMT" w:cs="TimesNewRomanPSMT"/>
        </w:rPr>
        <w:t xml:space="preserve"> shelf</w:t>
      </w:r>
      <w:r w:rsidR="00EA4565">
        <w:rPr>
          <w:rFonts w:ascii="TimesNewRomanPSMT" w:hAnsi="TimesNewRomanPSMT" w:cs="TimesNewRomanPSMT"/>
        </w:rPr>
        <w:t>-survey</w:t>
      </w:r>
      <w:r>
        <w:rPr>
          <w:rFonts w:ascii="TimesNewRomanPSMT" w:hAnsi="TimesNewRomanPSMT" w:cs="TimesNewRomanPSMT"/>
        </w:rPr>
        <w:t xml:space="preserve"> gear</w:t>
      </w:r>
      <w:r w:rsidR="009D56AD">
        <w:rPr>
          <w:rFonts w:ascii="TimesNewRomanPSMT" w:hAnsi="TimesNewRomanPSMT" w:cs="TimesNewRomanPSMT"/>
        </w:rPr>
        <w:t xml:space="preserve"> are </w:t>
      </w:r>
      <w:r w:rsidR="007F7C69">
        <w:rPr>
          <w:rFonts w:ascii="TimesNewRomanPSMT" w:hAnsi="TimesNewRomanPSMT" w:cs="TimesNewRomanPSMT"/>
        </w:rPr>
        <w:t>largely</w:t>
      </w:r>
      <w:r w:rsidR="009D56AD">
        <w:rPr>
          <w:rFonts w:ascii="TimesNewRomanPSMT" w:hAnsi="TimesNewRomanPSMT" w:cs="TimesNewRomanPSMT"/>
        </w:rPr>
        <w:t xml:space="preserve"> unknown</w:t>
      </w:r>
      <w:r w:rsidR="007C69BE">
        <w:rPr>
          <w:rFonts w:ascii="TimesNewRomanPSMT" w:hAnsi="TimesNewRomanPSMT" w:cs="TimesNewRomanPSMT"/>
        </w:rPr>
        <w:t>. T</w:t>
      </w:r>
      <w:r w:rsidR="00B52E09">
        <w:rPr>
          <w:rFonts w:ascii="TimesNewRomanPSMT" w:hAnsi="TimesNewRomanPSMT" w:cs="TimesNewRomanPSMT"/>
        </w:rPr>
        <w:t xml:space="preserve">here is some conjecture </w:t>
      </w:r>
      <w:r w:rsidR="00F82711">
        <w:rPr>
          <w:rFonts w:ascii="TimesNewRomanPSMT" w:hAnsi="TimesNewRomanPSMT" w:cs="TimesNewRomanPSMT"/>
        </w:rPr>
        <w:t xml:space="preserve">that </w:t>
      </w:r>
      <w:r w:rsidR="00913709">
        <w:rPr>
          <w:rFonts w:ascii="TimesNewRomanPSMT" w:hAnsi="TimesNewRomanPSMT" w:cs="TimesNewRomanPSMT"/>
        </w:rPr>
        <w:t xml:space="preserve">GKC </w:t>
      </w:r>
      <w:proofErr w:type="spellStart"/>
      <w:r w:rsidR="00913709">
        <w:rPr>
          <w:rFonts w:ascii="TimesNewRomanPSMT" w:hAnsi="TimesNewRomanPSMT" w:cs="TimesNewRomanPSMT"/>
        </w:rPr>
        <w:t>catchability</w:t>
      </w:r>
      <w:proofErr w:type="spellEnd"/>
      <w:r w:rsidR="00913709">
        <w:rPr>
          <w:rFonts w:ascii="TimesNewRomanPSMT" w:hAnsi="TimesNewRomanPSMT" w:cs="TimesNewRomanPSMT"/>
        </w:rPr>
        <w:t xml:space="preserve"> of</w:t>
      </w:r>
      <w:r w:rsidR="00A02CC2">
        <w:rPr>
          <w:rFonts w:ascii="TimesNewRomanPSMT" w:hAnsi="TimesNewRomanPSMT" w:cs="TimesNewRomanPSMT"/>
        </w:rPr>
        <w:t xml:space="preserve"> the slope</w:t>
      </w:r>
      <w:r w:rsidR="0073073C">
        <w:rPr>
          <w:rFonts w:ascii="TimesNewRomanPSMT" w:hAnsi="TimesNewRomanPSMT" w:cs="TimesNewRomanPSMT"/>
        </w:rPr>
        <w:t>-survey gear is</w:t>
      </w:r>
      <w:r w:rsidR="00A02CC2">
        <w:rPr>
          <w:rFonts w:ascii="TimesNewRomanPSMT" w:hAnsi="TimesNewRomanPSMT" w:cs="TimesNewRomanPSMT"/>
        </w:rPr>
        <w:t xml:space="preserve"> less tha</w:t>
      </w:r>
      <w:r w:rsidR="00913709">
        <w:rPr>
          <w:rFonts w:ascii="TimesNewRomanPSMT" w:hAnsi="TimesNewRomanPSMT" w:cs="TimesNewRomanPSMT"/>
        </w:rPr>
        <w:t>n that of the shelf-survey gear and that</w:t>
      </w:r>
      <w:r w:rsidR="00F82711">
        <w:rPr>
          <w:rFonts w:ascii="TimesNewRomanPSMT" w:hAnsi="TimesNewRomanPSMT" w:cs="TimesNewRomanPSMT"/>
        </w:rPr>
        <w:t xml:space="preserve"> </w:t>
      </w:r>
      <w:r w:rsidR="00913709">
        <w:rPr>
          <w:rFonts w:ascii="TimesNewRomanPSMT" w:hAnsi="TimesNewRomanPSMT" w:cs="TimesNewRomanPSMT"/>
        </w:rPr>
        <w:t xml:space="preserve">the </w:t>
      </w:r>
      <w:r w:rsidR="00F82711">
        <w:rPr>
          <w:rFonts w:ascii="TimesNewRomanPSMT" w:hAnsi="TimesNewRomanPSMT" w:cs="TimesNewRomanPSMT"/>
        </w:rPr>
        <w:t>slope-surv</w:t>
      </w:r>
      <w:r w:rsidR="005B1D20">
        <w:rPr>
          <w:rFonts w:ascii="TimesNewRomanPSMT" w:hAnsi="TimesNewRomanPSMT" w:cs="TimesNewRomanPSMT"/>
        </w:rPr>
        <w:t>ey systematically misses</w:t>
      </w:r>
      <w:r w:rsidR="00A2231E">
        <w:rPr>
          <w:rFonts w:ascii="TimesNewRomanPSMT" w:hAnsi="TimesNewRomanPSMT" w:cs="TimesNewRomanPSMT"/>
        </w:rPr>
        <w:t xml:space="preserve"> much of the </w:t>
      </w:r>
      <w:r w:rsidR="00913709">
        <w:rPr>
          <w:rFonts w:ascii="TimesNewRomanPSMT" w:hAnsi="TimesNewRomanPSMT" w:cs="TimesNewRomanPSMT"/>
        </w:rPr>
        <w:t>GKC</w:t>
      </w:r>
      <w:r w:rsidR="00F82711">
        <w:rPr>
          <w:rFonts w:ascii="TimesNewRomanPSMT" w:hAnsi="TimesNewRomanPSMT" w:cs="TimesNewRomanPSMT"/>
        </w:rPr>
        <w:t xml:space="preserve"> habitat</w:t>
      </w:r>
      <w:r w:rsidR="007F7C69">
        <w:rPr>
          <w:rFonts w:ascii="TimesNewRomanPSMT" w:hAnsi="TimesNewRomanPSMT" w:cs="TimesNewRomanPSMT"/>
        </w:rPr>
        <w:t xml:space="preserve"> </w:t>
      </w:r>
      <w:r w:rsidR="00391E4B">
        <w:rPr>
          <w:rFonts w:ascii="TimesNewRomanPSMT" w:hAnsi="TimesNewRomanPSMT" w:cs="TimesNewRomanPSMT"/>
        </w:rPr>
        <w:t xml:space="preserve">in the survey area </w:t>
      </w:r>
      <w:r w:rsidR="00F82711">
        <w:rPr>
          <w:rFonts w:ascii="TimesNewRomanPSMT" w:hAnsi="TimesNewRomanPSMT" w:cs="TimesNewRomanPSMT"/>
        </w:rPr>
        <w:t>because the gear is unsuited</w:t>
      </w:r>
      <w:r w:rsidR="00A2231E">
        <w:rPr>
          <w:rFonts w:ascii="TimesNewRomanPSMT" w:hAnsi="TimesNewRomanPSMT" w:cs="TimesNewRomanPSMT"/>
        </w:rPr>
        <w:t xml:space="preserve"> to </w:t>
      </w:r>
      <w:r w:rsidR="00391E4B">
        <w:rPr>
          <w:rFonts w:ascii="TimesNewRomanPSMT" w:hAnsi="TimesNewRomanPSMT" w:cs="TimesNewRomanPSMT"/>
        </w:rPr>
        <w:t xml:space="preserve">the </w:t>
      </w:r>
      <w:r w:rsidR="00A2231E">
        <w:rPr>
          <w:rFonts w:ascii="TimesNewRomanPSMT" w:hAnsi="TimesNewRomanPSMT" w:cs="TimesNewRomanPSMT"/>
        </w:rPr>
        <w:t>rocky terrain</w:t>
      </w:r>
      <w:r w:rsidR="00B52E09">
        <w:rPr>
          <w:rFonts w:ascii="TimesNewRomanPSMT" w:hAnsi="TimesNewRomanPSMT" w:cs="TimesNewRomanPSMT"/>
        </w:rPr>
        <w:t xml:space="preserve"> the crab</w:t>
      </w:r>
      <w:r w:rsidR="00391E4B">
        <w:rPr>
          <w:rFonts w:ascii="TimesNewRomanPSMT" w:hAnsi="TimesNewRomanPSMT" w:cs="TimesNewRomanPSMT"/>
        </w:rPr>
        <w:t xml:space="preserve"> prefer</w:t>
      </w:r>
      <w:r w:rsidR="00A2231E">
        <w:rPr>
          <w:rFonts w:ascii="TimesNewRomanPSMT" w:hAnsi="TimesNewRomanPSMT" w:cs="TimesNewRomanPSMT"/>
        </w:rPr>
        <w:t>.</w:t>
      </w:r>
      <w:r w:rsidR="00A2231E">
        <w:rPr>
          <w:rStyle w:val="FootnoteReference"/>
          <w:rFonts w:ascii="TimesNewRomanPSMT" w:hAnsi="TimesNewRomanPSMT" w:cs="TimesNewRomanPSMT"/>
        </w:rPr>
        <w:footnoteReference w:id="3"/>
      </w:r>
      <w:r w:rsidR="00D050FD">
        <w:rPr>
          <w:rFonts w:ascii="TimesNewRomanPSMT" w:hAnsi="TimesNewRomanPSMT" w:cs="TimesNewRomanPSMT"/>
        </w:rPr>
        <w:t xml:space="preserve"> If so, </w:t>
      </w:r>
      <w:r w:rsidR="00A2231E">
        <w:rPr>
          <w:rFonts w:ascii="TimesNewRomanPSMT" w:hAnsi="TimesNewRomanPSMT" w:cs="TimesNewRomanPSMT"/>
        </w:rPr>
        <w:t xml:space="preserve">golden king crab slope-survey </w:t>
      </w:r>
      <w:proofErr w:type="spellStart"/>
      <w:r w:rsidR="00A2231E">
        <w:rPr>
          <w:rFonts w:ascii="TimesNewRomanPSMT" w:hAnsi="TimesNewRomanPSMT" w:cs="TimesNewRomanPSMT"/>
        </w:rPr>
        <w:t>catchabil</w:t>
      </w:r>
      <w:r>
        <w:rPr>
          <w:rFonts w:ascii="TimesNewRomanPSMT" w:hAnsi="TimesNewRomanPSMT" w:cs="TimesNewRomanPSMT"/>
        </w:rPr>
        <w:t>it</w:t>
      </w:r>
      <w:r w:rsidR="00A45F58">
        <w:rPr>
          <w:rFonts w:ascii="TimesNewRomanPSMT" w:hAnsi="TimesNewRomanPSMT" w:cs="TimesNewRomanPSMT"/>
        </w:rPr>
        <w:t>y</w:t>
      </w:r>
      <w:proofErr w:type="spellEnd"/>
      <w:r w:rsidR="00A45F58">
        <w:rPr>
          <w:rFonts w:ascii="TimesNewRomanPSMT" w:hAnsi="TimesNewRomanPSMT" w:cs="TimesNewRomanPSMT"/>
        </w:rPr>
        <w:t xml:space="preserve"> may effectively be significantly</w:t>
      </w:r>
      <w:r w:rsidR="00F15179">
        <w:rPr>
          <w:rFonts w:ascii="TimesNewRomanPSMT" w:hAnsi="TimesNewRomanPSMT" w:cs="TimesNewRomanPSMT"/>
        </w:rPr>
        <w:t xml:space="preserve"> less than 1 over the </w:t>
      </w:r>
      <w:r w:rsidR="005B1D20">
        <w:rPr>
          <w:rFonts w:ascii="TimesNewRomanPSMT" w:hAnsi="TimesNewRomanPSMT" w:cs="TimesNewRomanPSMT"/>
        </w:rPr>
        <w:t xml:space="preserve">nominal </w:t>
      </w:r>
      <w:r w:rsidR="00F15179">
        <w:rPr>
          <w:rFonts w:ascii="TimesNewRomanPSMT" w:hAnsi="TimesNewRomanPSMT" w:cs="TimesNewRomanPSMT"/>
        </w:rPr>
        <w:t>design-specified survey region</w:t>
      </w:r>
      <w:r w:rsidR="007C69BE">
        <w:rPr>
          <w:rFonts w:ascii="TimesNewRomanPSMT" w:hAnsi="TimesNewRomanPSMT" w:cs="TimesNewRomanPSMT"/>
        </w:rPr>
        <w:t>,</w:t>
      </w:r>
      <w:r w:rsidR="00D050FD">
        <w:rPr>
          <w:rFonts w:ascii="TimesNewRomanPSMT" w:hAnsi="TimesNewRomanPSMT" w:cs="TimesNewRomanPSMT"/>
        </w:rPr>
        <w:t xml:space="preserve"> with standard probability-survey based estimators of abundance and biomass biased low.</w:t>
      </w:r>
    </w:p>
    <w:p w:rsidR="00FD2FB7" w:rsidRDefault="00FD2FB7" w:rsidP="00CA3EC2">
      <w:pPr>
        <w:spacing w:after="0"/>
        <w:jc w:val="left"/>
        <w:rPr>
          <w:lang w:val="en-AU"/>
        </w:rPr>
      </w:pPr>
    </w:p>
    <w:p w:rsidR="009C68BA" w:rsidRDefault="00272BB6" w:rsidP="00EE772B">
      <w:pPr>
        <w:spacing w:after="0"/>
        <w:jc w:val="left"/>
        <w:rPr>
          <w:b/>
          <w:u w:val="single"/>
        </w:rPr>
      </w:pPr>
      <w:r>
        <w:rPr>
          <w:b/>
          <w:u w:val="single"/>
        </w:rPr>
        <w:t>2014 PIGKC Stock MMB</w:t>
      </w:r>
    </w:p>
    <w:p w:rsidR="003D7CDB" w:rsidRDefault="00EE772B" w:rsidP="003D7CDB">
      <w:pPr>
        <w:spacing w:after="0"/>
        <w:jc w:val="left"/>
      </w:pPr>
      <w:r>
        <w:t xml:space="preserve">The assessment methodology </w:t>
      </w:r>
      <w:r w:rsidR="00B52E09">
        <w:t>described</w:t>
      </w:r>
      <w:r>
        <w:t xml:space="preserve"> here depends on an</w:t>
      </w:r>
      <w:r w:rsidR="00C14BA6">
        <w:t xml:space="preserve"> estimate of stock MMB</w:t>
      </w:r>
      <w:r w:rsidR="0073073C">
        <w:t xml:space="preserve"> based on results from the NMFS eastern Bering Sea upper</w:t>
      </w:r>
      <w:r>
        <w:t xml:space="preserve"> continental slope survey, with PIGKC measuring at least 107 mm carapace length classified as mature (Otto and</w:t>
      </w:r>
      <w:r w:rsidR="00077B56">
        <w:t xml:space="preserve"> </w:t>
      </w:r>
      <w:proofErr w:type="spellStart"/>
      <w:r w:rsidR="00077B56">
        <w:t>Commiskey</w:t>
      </w:r>
      <w:proofErr w:type="spellEnd"/>
      <w:r w:rsidR="00077B56">
        <w:t xml:space="preserve"> 1985). </w:t>
      </w:r>
      <w:r w:rsidR="00381F0E">
        <w:t>B</w:t>
      </w:r>
      <w:r>
        <w:t xml:space="preserve">ecause </w:t>
      </w:r>
      <w:r>
        <w:rPr>
          <w:lang w:val="en-AU"/>
        </w:rPr>
        <w:t>length measurements</w:t>
      </w:r>
      <w:r>
        <w:t xml:space="preserve"> on individual crab were not reco</w:t>
      </w:r>
      <w:r w:rsidR="00B813D1">
        <w:t xml:space="preserve">rded during the </w:t>
      </w:r>
      <w:r>
        <w:t>2002</w:t>
      </w:r>
      <w:r w:rsidR="00B813D1">
        <w:t xml:space="preserve"> survey</w:t>
      </w:r>
      <w:r>
        <w:rPr>
          <w:rStyle w:val="FootnoteReference"/>
        </w:rPr>
        <w:footnoteReference w:id="4"/>
      </w:r>
      <w:r>
        <w:t xml:space="preserve"> and incompletely so in 2004 (250 of 321 captured GKC in successful tows; Hoff and Britt 2005) and no survey</w:t>
      </w:r>
      <w:r w:rsidR="00077B56">
        <w:t xml:space="preserve"> was conducted in 2006,</w:t>
      </w:r>
      <w:r>
        <w:t xml:space="preserve"> only results from the years 2008, 2010, and 2012 are suitable for this purpose.</w:t>
      </w:r>
      <w:r w:rsidR="00BD3DFF">
        <w:t xml:space="preserve"> For each of these years, e</w:t>
      </w:r>
      <w:r w:rsidR="00B813D1">
        <w:t>stima</w:t>
      </w:r>
      <w:r w:rsidR="00C14BA6">
        <w:t>tes of PIGKC MMB</w:t>
      </w:r>
      <w:r w:rsidR="00B813D1">
        <w:t xml:space="preserve"> </w:t>
      </w:r>
      <w:r w:rsidR="00BD3DFF">
        <w:t xml:space="preserve">and its standard error </w:t>
      </w:r>
      <w:r w:rsidR="00B813D1">
        <w:t xml:space="preserve">were calculated </w:t>
      </w:r>
      <w:r w:rsidR="00BD3DFF">
        <w:t xml:space="preserve">by the present author </w:t>
      </w:r>
      <w:r w:rsidR="00B813D1">
        <w:t>in accordance with the su</w:t>
      </w:r>
      <w:r w:rsidR="00C14BA6">
        <w:t>rvey’s stratified simple-random-</w:t>
      </w:r>
      <w:r w:rsidR="00B813D1">
        <w:t xml:space="preserve">sample </w:t>
      </w:r>
      <w:r w:rsidR="00BD3DFF">
        <w:t>design</w:t>
      </w:r>
      <w:r w:rsidR="00103C56">
        <w:t xml:space="preserve"> from data supplied by</w:t>
      </w:r>
      <w:r w:rsidR="00C45EEE">
        <w:t xml:space="preserve"> C. Armistead of the NMFS-AFSC Kodiak lab</w:t>
      </w:r>
      <w:r w:rsidR="007C69BE">
        <w:t xml:space="preserve"> (Table 1)</w:t>
      </w:r>
      <w:r w:rsidR="00A00B5A">
        <w:t xml:space="preserve">. </w:t>
      </w:r>
      <w:r w:rsidR="001F5309">
        <w:t>Necessary size</w:t>
      </w:r>
      <w:r w:rsidR="00BD3DFF">
        <w:t xml:space="preserve">-to-weight conversions were computed using the equation  </w:t>
      </w:r>
      <m:oMath>
        <m:r>
          <w:rPr>
            <w:rFonts w:ascii="Cambria Math" w:hAnsi="Cambria Math"/>
          </w:rPr>
          <m:t>w=α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="00BD3DFF">
        <w:t xml:space="preserve"> relating male carapace length</w:t>
      </w:r>
      <w:r w:rsidR="001F5309">
        <w:t xml:space="preserve"> (CL)</w:t>
      </w:r>
      <w:r w:rsidR="00BD3DFF">
        <w:t xml:space="preserve"> </w:t>
      </w:r>
      <m:oMath>
        <m:r>
          <w:rPr>
            <w:rFonts w:ascii="Cambria Math" w:hAnsi="Cambria Math"/>
          </w:rPr>
          <m:t>l</m:t>
        </m:r>
      </m:oMath>
      <w:r w:rsidR="00BD3DFF">
        <w:t xml:space="preserve"> in millimeters to weight </w:t>
      </w:r>
      <m:oMath>
        <m:r>
          <w:rPr>
            <w:rFonts w:ascii="Cambria Math" w:hAnsi="Cambria Math"/>
          </w:rPr>
          <m:t>w</m:t>
        </m:r>
      </m:oMath>
      <w:r w:rsidR="00BD3DFF">
        <w:t xml:space="preserve"> in grams, with α = 0.0002988 and β </w:t>
      </w:r>
      <w:r w:rsidR="00E04EF4">
        <w:t xml:space="preserve">= 3.13 </w:t>
      </w:r>
      <w:r w:rsidR="0073073C">
        <w:t>(</w:t>
      </w:r>
      <w:r w:rsidR="003D7CDB">
        <w:t xml:space="preserve">NPFMC 2007). Note that error associated with the </w:t>
      </w:r>
      <w:proofErr w:type="spellStart"/>
      <w:r w:rsidR="003D7CDB">
        <w:t>all</w:t>
      </w:r>
      <w:r w:rsidR="0073073C">
        <w:t>ometric</w:t>
      </w:r>
      <w:proofErr w:type="spellEnd"/>
      <w:r w:rsidR="0073073C">
        <w:t xml:space="preserve"> modeling of crab weight</w:t>
      </w:r>
      <w:r w:rsidR="003D7CDB">
        <w:t xml:space="preserve"> was not taken into account.</w:t>
      </w:r>
    </w:p>
    <w:p w:rsidR="009C68BA" w:rsidRDefault="003D7CDB" w:rsidP="009C68BA">
      <w:pPr>
        <w:pStyle w:val="ListParagraph"/>
        <w:spacing w:after="0"/>
        <w:ind w:left="0"/>
        <w:jc w:val="left"/>
      </w:pPr>
      <w:r>
        <w:t xml:space="preserve"> </w:t>
      </w:r>
    </w:p>
    <w:p w:rsidR="00D7512A" w:rsidRDefault="00CB53ED" w:rsidP="009C68BA">
      <w:pPr>
        <w:pStyle w:val="ListParagraph"/>
        <w:spacing w:after="0"/>
        <w:ind w:left="0"/>
        <w:jc w:val="left"/>
      </w:pPr>
      <w:r>
        <w:t xml:space="preserve">To </w:t>
      </w:r>
      <w:r w:rsidR="00B52E09">
        <w:t>specify</w:t>
      </w:r>
      <w:r>
        <w:t xml:space="preserve"> </w:t>
      </w:r>
      <w:r w:rsidR="004D2E07">
        <w:t xml:space="preserve">a meaningful </w:t>
      </w:r>
      <w:r w:rsidR="00B52E09">
        <w:t xml:space="preserve">estimate of </w:t>
      </w:r>
      <w:r w:rsidR="004D2E07">
        <w:t xml:space="preserve">PIGKC </w:t>
      </w:r>
      <w:r>
        <w:t>stock biomass fro</w:t>
      </w:r>
      <w:r w:rsidR="00B06499">
        <w:t>m slope-survey results</w:t>
      </w:r>
      <w:r>
        <w:t xml:space="preserve"> it is first necessary to </w:t>
      </w:r>
      <w:r w:rsidR="004D2E07">
        <w:t>choose the appropriate survey-design strata for use in the computation</w:t>
      </w:r>
      <w:r>
        <w:t xml:space="preserve">. </w:t>
      </w:r>
      <w:r w:rsidR="00913709">
        <w:t>Uncertainty</w:t>
      </w:r>
      <w:r w:rsidR="004D2E07">
        <w:t xml:space="preserve"> </w:t>
      </w:r>
      <w:r w:rsidR="00913709">
        <w:t>about PIGKC stock distribution</w:t>
      </w:r>
      <w:r w:rsidR="004D2E07">
        <w:t xml:space="preserve"> and </w:t>
      </w:r>
      <w:r w:rsidR="00D3084B">
        <w:t xml:space="preserve">spatial </w:t>
      </w:r>
      <w:r w:rsidR="004D2E07">
        <w:t xml:space="preserve">misalignment </w:t>
      </w:r>
      <w:r w:rsidR="00D3084B">
        <w:t>between survey str</w:t>
      </w:r>
      <w:r w:rsidR="005A32A9">
        <w:t xml:space="preserve">ata and the boundaries of the PIGKC fishery </w:t>
      </w:r>
      <w:r w:rsidR="00D3084B">
        <w:t xml:space="preserve">complicate this choice. </w:t>
      </w:r>
      <w:r w:rsidR="005A32A9">
        <w:t xml:space="preserve">The </w:t>
      </w:r>
      <w:r w:rsidR="009C68BA">
        <w:t xml:space="preserve">PIGKC fishery </w:t>
      </w:r>
      <w:r w:rsidR="005A32A9">
        <w:t xml:space="preserve">area is determined </w:t>
      </w:r>
      <w:r w:rsidR="009C68BA">
        <w:t xml:space="preserve">by the boundaries of the Pribilof District of Registration Area Q </w:t>
      </w:r>
      <w:r w:rsidR="006A2E8D">
        <w:t xml:space="preserve">(Figure 1) </w:t>
      </w:r>
      <w:r w:rsidR="009C68BA">
        <w:t>and, within that area, the fishery has occurred mostly in the Pribilof Canyon area to the south o</w:t>
      </w:r>
      <w:r w:rsidR="006A2E8D">
        <w:t>f the Pribilof Islands (</w:t>
      </w:r>
      <w:r w:rsidR="005A32A9">
        <w:t>Fitch et al. 2012</w:t>
      </w:r>
      <w:r w:rsidR="009C68BA">
        <w:t>).  By contrast, the surveyed area extends north into the Northern District of Registration Area Q (north o</w:t>
      </w:r>
      <w:r w:rsidR="00CD156F">
        <w:t>f 58° 39'</w:t>
      </w:r>
      <w:r w:rsidR="009C68BA">
        <w:t xml:space="preserve"> N) and south </w:t>
      </w:r>
      <w:r w:rsidR="00203D00">
        <w:t xml:space="preserve">and east </w:t>
      </w:r>
      <w:r w:rsidR="009C68BA">
        <w:t>into the Aleutian Islands Registration Area O (south of 54° 36' N</w:t>
      </w:r>
      <w:r w:rsidR="0036666B">
        <w:t xml:space="preserve"> and east of 168° W). </w:t>
      </w:r>
      <w:r w:rsidR="009C68BA">
        <w:t>Thou</w:t>
      </w:r>
      <w:r w:rsidR="007C69BE">
        <w:t>gh a large proportio</w:t>
      </w:r>
      <w:r w:rsidR="0073073C">
        <w:t xml:space="preserve">n of the </w:t>
      </w:r>
      <w:r w:rsidR="0073073C">
        <w:lastRenderedPageBreak/>
        <w:t xml:space="preserve">GKC </w:t>
      </w:r>
      <w:r w:rsidR="009C68BA">
        <w:t>enc</w:t>
      </w:r>
      <w:r w:rsidR="00077B56">
        <w:t>ountered in the slo</w:t>
      </w:r>
      <w:r w:rsidR="00C45EEE">
        <w:t>pe survey are</w:t>
      </w:r>
      <w:r w:rsidR="009C68BA">
        <w:t xml:space="preserve"> caught in the Pribilof Canyon area, some GKC crab are captured sporadica</w:t>
      </w:r>
      <w:r w:rsidR="0036666B">
        <w:t>lly throughout the surveyed region</w:t>
      </w:r>
      <w:r w:rsidR="009C68BA">
        <w:t xml:space="preserve"> (Hoff and Britt 2003, 2005, 2009, 2011), and a Northern District GK</w:t>
      </w:r>
      <w:r w:rsidR="00696312">
        <w:t xml:space="preserve">C fishery has been </w:t>
      </w:r>
      <w:r w:rsidR="005B1D20">
        <w:t xml:space="preserve">successfully </w:t>
      </w:r>
      <w:r w:rsidR="009C68BA">
        <w:t xml:space="preserve">prosecuted historically, mostly to the west of St. Matthew Island in the area of the northern-most extent of the slope survey, with a peak harvest of 414,000 lb in 1987 (Fitch et al. 2012). </w:t>
      </w:r>
    </w:p>
    <w:p w:rsidR="00913709" w:rsidRDefault="00913709" w:rsidP="009C68BA">
      <w:pPr>
        <w:pStyle w:val="ListParagraph"/>
        <w:spacing w:after="0"/>
        <w:ind w:left="0"/>
        <w:jc w:val="left"/>
      </w:pPr>
    </w:p>
    <w:p w:rsidR="00272BB6" w:rsidRDefault="00913709" w:rsidP="009C68BA">
      <w:pPr>
        <w:pStyle w:val="ListParagraph"/>
        <w:spacing w:after="0"/>
        <w:ind w:left="0"/>
        <w:jc w:val="left"/>
      </w:pPr>
      <w:r>
        <w:t xml:space="preserve">Three alternative areas for biomass estimation were discussed at the May 2013 CPT meeting: 1) the Pribilof Canyon slope-survey area; </w:t>
      </w:r>
      <w:r w:rsidR="00C37104">
        <w:t>2</w:t>
      </w:r>
      <w:r>
        <w:t xml:space="preserve">) the Pribilof District as established in state regulations; and 3) the total slope-survey area. </w:t>
      </w:r>
      <w:r w:rsidR="001130DA">
        <w:t xml:space="preserve">For purposes </w:t>
      </w:r>
      <w:r w:rsidR="00D7512A">
        <w:t xml:space="preserve">of this assessment methodology </w:t>
      </w:r>
      <w:r w:rsidR="001130DA">
        <w:t>t</w:t>
      </w:r>
      <w:r w:rsidR="006872F8">
        <w:t xml:space="preserve">he author has chosen </w:t>
      </w:r>
      <w:r w:rsidR="005D2321">
        <w:t xml:space="preserve">as the most </w:t>
      </w:r>
      <w:r>
        <w:t xml:space="preserve">reasonable and </w:t>
      </w:r>
      <w:r w:rsidR="005D2321">
        <w:t xml:space="preserve">straightforward approach </w:t>
      </w:r>
      <w:r w:rsidR="006872F8">
        <w:t>to use the full set of</w:t>
      </w:r>
      <w:r>
        <w:t xml:space="preserve"> 20</w:t>
      </w:r>
      <w:r w:rsidR="001130DA">
        <w:t xml:space="preserve"> strata </w:t>
      </w:r>
      <w:r w:rsidR="00DC7317">
        <w:t>comprising</w:t>
      </w:r>
      <w:r>
        <w:t xml:space="preserve"> subareas 2</w:t>
      </w:r>
      <w:r w:rsidR="006872F8">
        <w:t xml:space="preserve">-5 </w:t>
      </w:r>
      <w:r w:rsidR="005D2321">
        <w:t xml:space="preserve">of the survey region </w:t>
      </w:r>
      <w:r w:rsidR="00CB5BBB">
        <w:t xml:space="preserve">because </w:t>
      </w:r>
      <w:r w:rsidR="005D2321">
        <w:t xml:space="preserve">those subareas </w:t>
      </w:r>
      <w:r w:rsidR="0073073C">
        <w:t>are entirely or mostly</w:t>
      </w:r>
      <w:r>
        <w:t xml:space="preserve"> contained within </w:t>
      </w:r>
      <w:r w:rsidR="002F7CE9">
        <w:t>the Pribilof District</w:t>
      </w:r>
      <w:r w:rsidR="005A3E17">
        <w:t xml:space="preserve"> (Figures 3-5)</w:t>
      </w:r>
      <w:r w:rsidR="0036666B">
        <w:t>. Subarea</w:t>
      </w:r>
      <w:r w:rsidR="00D7512A">
        <w:t>s</w:t>
      </w:r>
      <w:r w:rsidR="0036666B">
        <w:t xml:space="preserve"> 2</w:t>
      </w:r>
      <w:r w:rsidR="00D7512A">
        <w:t xml:space="preserve"> and 3</w:t>
      </w:r>
      <w:r w:rsidR="0036666B">
        <w:t xml:space="preserve"> </w:t>
      </w:r>
      <w:r w:rsidR="00BC6233">
        <w:t xml:space="preserve">lie completely within the </w:t>
      </w:r>
      <w:r w:rsidR="00203D00">
        <w:t xml:space="preserve">Pribilof District, </w:t>
      </w:r>
      <w:r w:rsidR="00BC6233">
        <w:t>whereas subareas 4 and 5 straddle its boundary in the north</w:t>
      </w:r>
      <w:r>
        <w:t>.</w:t>
      </w:r>
      <w:r w:rsidR="00BC6233">
        <w:t xml:space="preserve"> </w:t>
      </w:r>
      <w:r w:rsidR="00750C51">
        <w:t>By contrast</w:t>
      </w:r>
      <w:r w:rsidR="005B1D20">
        <w:t xml:space="preserve">, subarea 6 lies </w:t>
      </w:r>
      <w:r>
        <w:t>outside the Pribilof District to the north,</w:t>
      </w:r>
      <w:r w:rsidR="0073073C">
        <w:t xml:space="preserve"> and</w:t>
      </w:r>
      <w:r w:rsidR="005D2321">
        <w:t xml:space="preserve"> </w:t>
      </w:r>
      <w:r>
        <w:t>only a small portion of subarea 1 intersect</w:t>
      </w:r>
      <w:r w:rsidR="00C37104">
        <w:t>s</w:t>
      </w:r>
      <w:r>
        <w:t xml:space="preserve"> the Pribilof District</w:t>
      </w:r>
      <w:r w:rsidR="008F1CD2">
        <w:t xml:space="preserve"> in the southeast</w:t>
      </w:r>
      <w:r w:rsidR="00E04EF4">
        <w:t>. Moreover, su</w:t>
      </w:r>
      <w:r w:rsidR="005B1D20">
        <w:t>rvey catches of mature male</w:t>
      </w:r>
      <w:r w:rsidR="00C37104">
        <w:t xml:space="preserve"> GKC</w:t>
      </w:r>
      <w:r>
        <w:t xml:space="preserve"> </w:t>
      </w:r>
      <w:r w:rsidR="00750C51">
        <w:t xml:space="preserve">in subarea 1 </w:t>
      </w:r>
      <w:r w:rsidR="00C37104">
        <w:t xml:space="preserve">have occurred almost exclusively outside the Pribilof District. </w:t>
      </w:r>
      <w:r w:rsidR="00750C51">
        <w:t>Proposed alternative</w:t>
      </w:r>
      <w:r w:rsidR="00AD5F94">
        <w:t>s</w:t>
      </w:r>
      <w:r w:rsidR="00750C51">
        <w:t xml:space="preserve"> (1) </w:t>
      </w:r>
      <w:r w:rsidR="005B1D20">
        <w:t xml:space="preserve">and (3) </w:t>
      </w:r>
      <w:r w:rsidR="00AD5F94">
        <w:t xml:space="preserve">exclude or include, respectively, relevant </w:t>
      </w:r>
      <w:r w:rsidR="005B1D20">
        <w:t>mature male</w:t>
      </w:r>
      <w:r w:rsidR="008F1CD2">
        <w:t xml:space="preserve"> GKC survey </w:t>
      </w:r>
      <w:r w:rsidR="00AD5F94">
        <w:t>catches</w:t>
      </w:r>
      <w:r w:rsidR="00E04EF4">
        <w:t>; proposed alternative (2</w:t>
      </w:r>
      <w:r w:rsidR="00750C51">
        <w:t xml:space="preserve">) </w:t>
      </w:r>
      <w:r w:rsidR="008F1CD2">
        <w:t>would introduce extra</w:t>
      </w:r>
      <w:r w:rsidR="001130DA">
        <w:t xml:space="preserve"> practical and theoretical complexities</w:t>
      </w:r>
      <w:r w:rsidR="007709AD">
        <w:t xml:space="preserve"> </w:t>
      </w:r>
      <w:r w:rsidR="001932B7">
        <w:t xml:space="preserve">relating to, for example, </w:t>
      </w:r>
      <w:r w:rsidR="00C37104">
        <w:t xml:space="preserve">random sample sizes, </w:t>
      </w:r>
      <w:r w:rsidR="001932B7">
        <w:t>variance calculation</w:t>
      </w:r>
      <w:r w:rsidR="00C37104">
        <w:t>,</w:t>
      </w:r>
      <w:r w:rsidR="001932B7">
        <w:t xml:space="preserve"> and deter</w:t>
      </w:r>
      <w:r w:rsidR="00C14492">
        <w:t>mination of</w:t>
      </w:r>
      <w:r w:rsidR="00CD156F">
        <w:t xml:space="preserve"> proper expansion factors</w:t>
      </w:r>
      <w:r w:rsidR="001932B7">
        <w:t xml:space="preserve"> </w:t>
      </w:r>
      <w:r w:rsidR="001130DA">
        <w:t xml:space="preserve">that in the author’s view are unjustified given the </w:t>
      </w:r>
      <w:r w:rsidR="00C37104">
        <w:t xml:space="preserve">close alignment of subareas 2-5 and the Pribilof District and of </w:t>
      </w:r>
      <w:r w:rsidR="00E32C4C">
        <w:t>mature male</w:t>
      </w:r>
      <w:r w:rsidR="00AD5F94">
        <w:t xml:space="preserve"> GKC </w:t>
      </w:r>
      <w:r w:rsidR="00C37104">
        <w:t xml:space="preserve">survey catches within the two regions. </w:t>
      </w:r>
      <w:r w:rsidR="00AD5F94">
        <w:t>Although the author recommends the use of subareas 2-5 for PIGKC b</w:t>
      </w:r>
      <w:r w:rsidR="00E23A5C">
        <w:t>iomass</w:t>
      </w:r>
      <w:r w:rsidR="00AD5F94">
        <w:t xml:space="preserve"> estimation, results are provided for each subarea individually to facilitate estimation based on any combination of subareas (Table 1). </w:t>
      </w:r>
    </w:p>
    <w:p w:rsidR="00272BB6" w:rsidRDefault="00272BB6" w:rsidP="009C68BA">
      <w:pPr>
        <w:pStyle w:val="ListParagraph"/>
        <w:spacing w:after="0"/>
        <w:ind w:left="0"/>
        <w:jc w:val="left"/>
      </w:pPr>
    </w:p>
    <w:p w:rsidR="00272BB6" w:rsidRDefault="00272BB6" w:rsidP="009C68BA">
      <w:pPr>
        <w:pStyle w:val="ListParagraph"/>
        <w:spacing w:after="0"/>
        <w:ind w:left="0"/>
        <w:jc w:val="left"/>
        <w:rPr>
          <w:b/>
          <w:u w:val="single"/>
        </w:rPr>
      </w:pPr>
      <w:r w:rsidRPr="00272BB6">
        <w:rPr>
          <w:b/>
          <w:u w:val="single"/>
        </w:rPr>
        <w:t>2014 PIGKC OFL Computation</w:t>
      </w:r>
    </w:p>
    <w:p w:rsidR="006728CD" w:rsidRPr="00E23A5C" w:rsidRDefault="008F1CD2" w:rsidP="009C68BA">
      <w:pPr>
        <w:pStyle w:val="ListParagraph"/>
        <w:spacing w:after="0"/>
        <w:ind w:left="0"/>
        <w:jc w:val="left"/>
        <w:rPr>
          <w:b/>
          <w:color w:val="000000" w:themeColor="text1"/>
          <w:u w:val="single"/>
        </w:rPr>
      </w:pPr>
      <w:r>
        <w:rPr>
          <w:color w:val="000000" w:themeColor="text1"/>
        </w:rPr>
        <w:t>Slope-survey e</w:t>
      </w:r>
      <w:r w:rsidRPr="008F1CD2">
        <w:rPr>
          <w:color w:val="000000" w:themeColor="text1"/>
        </w:rPr>
        <w:t xml:space="preserve">stimates for the three years 2008, 2010, and 2012 </w:t>
      </w:r>
      <w:r>
        <w:rPr>
          <w:color w:val="000000" w:themeColor="text1"/>
        </w:rPr>
        <w:t>based on the 20 strata within subareas 2</w:t>
      </w:r>
      <w:r w:rsidRPr="008F1CD2">
        <w:rPr>
          <w:color w:val="000000" w:themeColor="text1"/>
        </w:rPr>
        <w:t>-5 were averaged to obtain a</w:t>
      </w:r>
      <w:r w:rsidR="00E23A5C">
        <w:rPr>
          <w:color w:val="000000" w:themeColor="text1"/>
        </w:rPr>
        <w:t xml:space="preserve"> single estimate of PIGKC </w:t>
      </w:r>
      <w:r w:rsidRPr="008F1CD2">
        <w:rPr>
          <w:color w:val="000000" w:themeColor="text1"/>
        </w:rPr>
        <w:t xml:space="preserve">MMB equal to </w:t>
      </w:r>
      <w:r w:rsidR="00DC7317">
        <w:t>1.227</w:t>
      </w:r>
      <w:r w:rsidRPr="008F1CD2">
        <w:rPr>
          <w:color w:val="FF0000"/>
        </w:rPr>
        <w:t xml:space="preserve"> </w:t>
      </w:r>
      <w:r w:rsidRPr="008F1CD2">
        <w:rPr>
          <w:color w:val="000000" w:themeColor="text1"/>
        </w:rPr>
        <w:t>× 10</w:t>
      </w:r>
      <w:r w:rsidRPr="008F1CD2">
        <w:rPr>
          <w:color w:val="000000" w:themeColor="text1"/>
          <w:vertAlign w:val="superscript"/>
        </w:rPr>
        <w:t xml:space="preserve">6 </w:t>
      </w:r>
      <w:r w:rsidRPr="008F1CD2">
        <w:rPr>
          <w:color w:val="000000" w:themeColor="text1"/>
        </w:rPr>
        <w:t xml:space="preserve">lb with </w:t>
      </w:r>
      <w:r w:rsidRPr="008F1CD2">
        <w:rPr>
          <w:b/>
          <w:color w:val="000000" w:themeColor="text1"/>
        </w:rPr>
        <w:t>estimated</w:t>
      </w:r>
      <w:r w:rsidRPr="008F1CD2">
        <w:rPr>
          <w:color w:val="000000" w:themeColor="text1"/>
        </w:rPr>
        <w:t xml:space="preserve"> CV </w:t>
      </w:r>
      <w:r w:rsidR="004E3E80">
        <w:t>0.16</w:t>
      </w:r>
      <w:r w:rsidRPr="008F1CD2">
        <w:rPr>
          <w:color w:val="000000" w:themeColor="text1"/>
        </w:rPr>
        <w:t xml:space="preserve"> (Table 1).</w:t>
      </w:r>
      <w:r>
        <w:rPr>
          <w:color w:val="000000" w:themeColor="text1"/>
        </w:rPr>
        <w:t xml:space="preserve"> </w:t>
      </w:r>
      <w:r>
        <w:t xml:space="preserve">In accordance with </w:t>
      </w:r>
      <w:r w:rsidR="00E23A5C">
        <w:t xml:space="preserve">May 2013 </w:t>
      </w:r>
      <w:r>
        <w:t xml:space="preserve">CPT and </w:t>
      </w:r>
      <w:r w:rsidR="00E23A5C">
        <w:t xml:space="preserve">June 2013 </w:t>
      </w:r>
      <w:r>
        <w:t xml:space="preserve">SSC recommendations, the 2014 PIGKC OFL was </w:t>
      </w:r>
      <w:r w:rsidR="00E23A5C">
        <w:t xml:space="preserve">then </w:t>
      </w:r>
      <w:r>
        <w:t>computed by multiplying the estimate of stock MMB by the default postulated value of instantaneous natural mortality M, which is taken to be 0.18 yr</w:t>
      </w:r>
      <w:r>
        <w:rPr>
          <w:vertAlign w:val="superscript"/>
        </w:rPr>
        <w:t>-1</w:t>
      </w:r>
      <w:r>
        <w:t xml:space="preserve"> for BSAI king crab (NPFMC 2007).</w:t>
      </w:r>
      <w:r w:rsidR="00E23A5C">
        <w:t xml:space="preserve"> </w:t>
      </w:r>
      <w:r w:rsidR="00663044">
        <w:t>This approach</w:t>
      </w:r>
      <w:r w:rsidR="00A564FA">
        <w:t>, which</w:t>
      </w:r>
      <w:r w:rsidR="002B7B9F">
        <w:t xml:space="preserve"> parallels that </w:t>
      </w:r>
      <w:r w:rsidR="00C04B93">
        <w:t>used</w:t>
      </w:r>
      <w:r w:rsidR="00663044">
        <w:t xml:space="preserve"> for Tier-5 North Pacific groundfish stocks</w:t>
      </w:r>
      <w:r w:rsidR="00A564FA">
        <w:t xml:space="preserve">, here yields an </w:t>
      </w:r>
      <w:r w:rsidR="00AC1548">
        <w:t xml:space="preserve">annual </w:t>
      </w:r>
      <w:r w:rsidR="00E32C4C">
        <w:t>mature male</w:t>
      </w:r>
      <w:r w:rsidR="002B7B9F">
        <w:t xml:space="preserve"> </w:t>
      </w:r>
      <w:r w:rsidR="00A564FA">
        <w:t>OFL</w:t>
      </w:r>
      <w:r w:rsidR="006728CD">
        <w:t xml:space="preserve"> </w:t>
      </w:r>
      <w:r w:rsidR="002B7B9F">
        <w:t>of</w:t>
      </w:r>
      <w:r w:rsidR="00971435">
        <w:t xml:space="preserve"> </w:t>
      </w:r>
    </w:p>
    <w:p w:rsidR="006728CD" w:rsidRDefault="006728CD" w:rsidP="009C68BA">
      <w:pPr>
        <w:pStyle w:val="ListParagraph"/>
        <w:spacing w:after="0"/>
        <w:ind w:left="0"/>
        <w:jc w:val="left"/>
      </w:pPr>
    </w:p>
    <w:p w:rsidR="006728CD" w:rsidRPr="006728CD" w:rsidRDefault="00300888" w:rsidP="009C68BA">
      <w:pPr>
        <w:pStyle w:val="ListParagraph"/>
        <w:spacing w:after="0"/>
        <w:ind w:left="0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OFL</m:t>
            </m:r>
          </m:e>
          <m:sub>
            <m:r>
              <w:rPr>
                <w:rFonts w:ascii="Cambria Math" w:hAnsi="Cambria Math"/>
              </w:rPr>
              <m:t>MM</m:t>
            </m:r>
          </m:sub>
        </m:sSub>
        <m:r>
          <w:rPr>
            <w:rFonts w:ascii="Cambria Math" w:hAnsi="Cambria Math"/>
          </w:rPr>
          <m:t>=M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×MMB=</m:t>
            </m:r>
          </m:e>
        </m:acc>
        <m:r>
          <w:rPr>
            <w:rFonts w:ascii="Cambria Math" w:hAnsi="Cambria Math"/>
          </w:rPr>
          <m:t>0.18 ×1,227,180 lb=220,892 lb</m:t>
        </m:r>
      </m:oMath>
      <w:r w:rsidR="00B52E09">
        <w:t>.</w:t>
      </w:r>
      <w:r w:rsidR="002B7B9F">
        <w:tab/>
      </w:r>
      <w:r w:rsidR="00B52E09">
        <w:tab/>
      </w:r>
      <w:r w:rsidR="002B7B9F">
        <w:tab/>
      </w:r>
      <w:r w:rsidR="00407ACF">
        <w:tab/>
      </w:r>
      <w:r w:rsidR="002B7B9F">
        <w:t>[1]</w:t>
      </w:r>
    </w:p>
    <w:p w:rsidR="006728CD" w:rsidRDefault="006728CD" w:rsidP="009C68BA">
      <w:pPr>
        <w:pStyle w:val="ListParagraph"/>
        <w:spacing w:after="0"/>
        <w:ind w:left="0"/>
        <w:jc w:val="left"/>
      </w:pPr>
    </w:p>
    <w:p w:rsidR="006728CD" w:rsidRDefault="00796110" w:rsidP="009C68BA">
      <w:pPr>
        <w:pStyle w:val="ListParagraph"/>
        <w:spacing w:after="0"/>
        <w:ind w:left="0"/>
        <w:jc w:val="left"/>
      </w:pPr>
      <w:r>
        <w:t>All subsequent calculations here used to obtain estimates of discard mortality biomass required in deriving various components of the OFL rely on NMFS groundfish observer data, ADF&amp;G crab observer length-frequency data, NMFS crab size-to-weight models, an</w:t>
      </w:r>
      <w:r w:rsidR="00E32C4C">
        <w:t xml:space="preserve">d conventional NPFMC </w:t>
      </w:r>
      <w:r>
        <w:t>assumptions about Bering Sea king crab handling mortality in t</w:t>
      </w:r>
      <w:r w:rsidR="003A0DFB">
        <w:t>he different fisheries</w:t>
      </w:r>
      <w:r>
        <w:t>.</w:t>
      </w:r>
      <w:r w:rsidR="003A0DFB">
        <w:t xml:space="preserve"> </w:t>
      </w:r>
    </w:p>
    <w:p w:rsidR="00826D24" w:rsidRDefault="00826D24" w:rsidP="009C68BA">
      <w:pPr>
        <w:pStyle w:val="ListParagraph"/>
        <w:spacing w:after="0"/>
        <w:ind w:left="0"/>
        <w:jc w:val="left"/>
      </w:pPr>
    </w:p>
    <w:p w:rsidR="000670B8" w:rsidRDefault="00E32C4C" w:rsidP="009C68BA">
      <w:pPr>
        <w:pStyle w:val="ListParagraph"/>
        <w:spacing w:after="0"/>
        <w:ind w:left="0"/>
        <w:jc w:val="left"/>
      </w:pPr>
      <w:r>
        <w:t>Given the mature male</w:t>
      </w:r>
      <w:r w:rsidR="00826D24">
        <w:t xml:space="preserve"> OFL, the first step in determining the retained-catch </w:t>
      </w:r>
      <w:r w:rsidR="00A00B5A">
        <w:t xml:space="preserve">portion of the </w:t>
      </w:r>
      <w:r w:rsidR="00826D24">
        <w:t>OFL is to su</w:t>
      </w:r>
      <w:r>
        <w:t>btract suitable estimates of mature male</w:t>
      </w:r>
      <w:r w:rsidR="00826D24">
        <w:t xml:space="preserve"> discard mortality </w:t>
      </w:r>
      <w:r w:rsidR="007C69BE">
        <w:t xml:space="preserve">biomass </w:t>
      </w:r>
      <w:r w:rsidR="00826D24">
        <w:t xml:space="preserve">attributable to the </w:t>
      </w:r>
      <w:r w:rsidR="00F04DEA">
        <w:t>relevant non-directed fisheries.</w:t>
      </w:r>
      <w:r w:rsidR="00826D24">
        <w:t xml:space="preserve"> </w:t>
      </w:r>
      <w:r w:rsidR="00F04DEA">
        <w:t xml:space="preserve">Based on historical </w:t>
      </w:r>
      <w:r w:rsidR="007C69BE">
        <w:t>fishing in the region</w:t>
      </w:r>
      <w:r w:rsidR="00F04DEA">
        <w:t xml:space="preserve">, </w:t>
      </w:r>
      <w:r w:rsidR="00826D24">
        <w:t xml:space="preserve">these consist of the Bering Sea groundfish, snow crab </w:t>
      </w:r>
      <w:r w:rsidR="00826D24">
        <w:rPr>
          <w:i/>
        </w:rPr>
        <w:t>Chionoecetes opilio</w:t>
      </w:r>
      <w:r w:rsidR="00826D24">
        <w:t xml:space="preserve">, and grooved Tanner crab </w:t>
      </w:r>
      <w:r w:rsidR="00826D24">
        <w:rPr>
          <w:i/>
        </w:rPr>
        <w:t>C. tanneri</w:t>
      </w:r>
      <w:r w:rsidR="00F04DEA">
        <w:t xml:space="preserve"> fisheries (2012 </w:t>
      </w:r>
      <w:r w:rsidR="00A00B5A">
        <w:t xml:space="preserve">Crab </w:t>
      </w:r>
      <w:r w:rsidR="00F04DEA">
        <w:t>SAFE</w:t>
      </w:r>
      <w:r w:rsidR="00A00B5A">
        <w:t xml:space="preserve"> </w:t>
      </w:r>
      <w:r w:rsidR="00F04DEA">
        <w:t>,</w:t>
      </w:r>
      <w:r w:rsidR="000B320E">
        <w:t xml:space="preserve"> Fitch et al. 2012, ADF&amp;G Crab Observer Database</w:t>
      </w:r>
      <w:r w:rsidR="00F04DEA">
        <w:t>)</w:t>
      </w:r>
      <w:r w:rsidR="00826D24">
        <w:t>.</w:t>
      </w:r>
      <w:r w:rsidR="005751B5">
        <w:t xml:space="preserve"> </w:t>
      </w:r>
      <w:r w:rsidR="000670B8">
        <w:t xml:space="preserve">In the Bering </w:t>
      </w:r>
      <w:r w:rsidR="000670B8">
        <w:lastRenderedPageBreak/>
        <w:t xml:space="preserve">Sea </w:t>
      </w:r>
      <w:proofErr w:type="spellStart"/>
      <w:r w:rsidR="000670B8">
        <w:t>groundfish</w:t>
      </w:r>
      <w:proofErr w:type="spellEnd"/>
      <w:r w:rsidR="000670B8">
        <w:t xml:space="preserve"> fisheries, </w:t>
      </w:r>
      <w:r w:rsidR="005751B5">
        <w:t>Pengilly (</w:t>
      </w:r>
      <w:r w:rsidR="00323E5E">
        <w:t xml:space="preserve">draft May 2013 </w:t>
      </w:r>
      <w:r w:rsidR="005751B5">
        <w:t>PIGKC SAFE chapt.</w:t>
      </w:r>
      <w:r w:rsidR="00AB75C0">
        <w:t>) estimate</w:t>
      </w:r>
      <w:r w:rsidR="00DA4788">
        <w:t>d</w:t>
      </w:r>
      <w:r w:rsidR="00AB75C0">
        <w:t xml:space="preserve"> a </w:t>
      </w:r>
      <w:r w:rsidR="005751B5">
        <w:t xml:space="preserve">10-year </w:t>
      </w:r>
      <w:r w:rsidR="00AB75C0">
        <w:t xml:space="preserve">maximum </w:t>
      </w:r>
      <w:r w:rsidR="005751B5">
        <w:t xml:space="preserve">annual </w:t>
      </w:r>
      <w:r w:rsidR="00AB75C0">
        <w:t xml:space="preserve">PIGKC </w:t>
      </w:r>
      <w:r w:rsidR="00DA4788">
        <w:t xml:space="preserve">total </w:t>
      </w:r>
      <w:r w:rsidR="00AB75C0">
        <w:t xml:space="preserve">discard mortality of 10,826 lb </w:t>
      </w:r>
      <w:r w:rsidR="005751B5">
        <w:t>over the period</w:t>
      </w:r>
      <w:r w:rsidR="00EA3AAE">
        <w:t xml:space="preserve"> </w:t>
      </w:r>
      <w:r w:rsidR="005751B5" w:rsidRPr="005751B5">
        <w:t>2002/03</w:t>
      </w:r>
      <w:r w:rsidR="005751B5">
        <w:t xml:space="preserve"> through 2011/12</w:t>
      </w:r>
      <w:r w:rsidR="003C22D7">
        <w:t>, with the max</w:t>
      </w:r>
      <w:r w:rsidR="005751B5">
        <w:t xml:space="preserve">imum value coming from 2009/10. </w:t>
      </w:r>
      <w:r w:rsidR="00B30900">
        <w:t xml:space="preserve">(Relevant NMFS </w:t>
      </w:r>
      <w:proofErr w:type="spellStart"/>
      <w:r w:rsidR="00B30900">
        <w:t>groundfish</w:t>
      </w:r>
      <w:proofErr w:type="spellEnd"/>
      <w:r w:rsidR="00B30900">
        <w:t xml:space="preserve"> observer data for 2012/13 were not yet available at the time this document was prepared.) </w:t>
      </w:r>
      <w:r w:rsidR="005751B5">
        <w:t>Pengilly used data from NMFS reporting areas 512, 513, and 521 and assume</w:t>
      </w:r>
      <w:r w:rsidR="001E7AA5">
        <w:t>d</w:t>
      </w:r>
      <w:r w:rsidR="005751B5">
        <w:t xml:space="preserve"> </w:t>
      </w:r>
      <w:r w:rsidR="00FF45FA">
        <w:t xml:space="preserve">standard </w:t>
      </w:r>
      <w:r w:rsidR="003A0DFB">
        <w:t xml:space="preserve">GKC </w:t>
      </w:r>
      <w:r w:rsidR="005751B5">
        <w:t>handling mortalities of 0.8 and 0.5</w:t>
      </w:r>
      <w:r w:rsidR="001E7AA5">
        <w:t>, respectively,</w:t>
      </w:r>
      <w:r w:rsidR="005751B5">
        <w:t xml:space="preserve"> </w:t>
      </w:r>
      <w:r w:rsidR="001E7AA5">
        <w:t>for trawl and fixed gear types</w:t>
      </w:r>
      <w:r w:rsidR="00FF45FA">
        <w:t xml:space="preserve">. </w:t>
      </w:r>
      <w:r w:rsidR="00AC1548">
        <w:t xml:space="preserve">Extending </w:t>
      </w:r>
      <w:r w:rsidR="00325D5B">
        <w:t>Pengilly</w:t>
      </w:r>
      <w:r w:rsidR="00B30900">
        <w:t>’s work</w:t>
      </w:r>
      <w:r w:rsidR="00325D5B">
        <w:t xml:space="preserve">, this author estimated a </w:t>
      </w:r>
      <w:r w:rsidR="00DA4788">
        <w:t>maximum PIG</w:t>
      </w:r>
      <w:r w:rsidR="00985BDD">
        <w:t>KC total discard mortality of  1</w:t>
      </w:r>
      <w:r w:rsidR="00DA4788">
        <w:t>,</w:t>
      </w:r>
      <w:r w:rsidR="00985BDD">
        <w:t>061</w:t>
      </w:r>
      <w:r w:rsidR="00DA4788">
        <w:t xml:space="preserve"> lb</w:t>
      </w:r>
      <w:r w:rsidR="006D76E0">
        <w:t xml:space="preserve"> </w:t>
      </w:r>
      <w:r w:rsidR="00DA4788">
        <w:t>in the Bering Sea snow crab fishery over the</w:t>
      </w:r>
      <w:r w:rsidR="00325D5B">
        <w:t xml:space="preserve"> 10-year period </w:t>
      </w:r>
      <w:r w:rsidR="00AC1548">
        <w:t>2003/04 through 2012/13 under</w:t>
      </w:r>
      <w:r w:rsidR="006D76E0">
        <w:t xml:space="preserve"> assumption of a 50% handling mortality.</w:t>
      </w:r>
      <w:r w:rsidR="00325D5B">
        <w:t xml:space="preserve"> The maximum </w:t>
      </w:r>
      <w:r w:rsidR="004D62C2">
        <w:t xml:space="preserve">annual </w:t>
      </w:r>
      <w:r w:rsidR="00325D5B">
        <w:t>est</w:t>
      </w:r>
      <w:r w:rsidR="00A15F46">
        <w:t xml:space="preserve">imate is </w:t>
      </w:r>
      <w:r w:rsidR="00325D5B">
        <w:t>from the 2008/09 fishery when observers encountered 1 sublegal and</w:t>
      </w:r>
      <w:r w:rsidR="00B30900">
        <w:t xml:space="preserve"> 4 legal-sized GKC</w:t>
      </w:r>
      <w:r w:rsidR="00325D5B">
        <w:t xml:space="preserve"> in pot lift sampling. Because virtually</w:t>
      </w:r>
      <w:r w:rsidR="00B30900">
        <w:t xml:space="preserve"> all of the few GKC</w:t>
      </w:r>
      <w:r w:rsidR="00325D5B">
        <w:t xml:space="preserve"> captu</w:t>
      </w:r>
      <w:r w:rsidR="001E7AA5">
        <w:t>red in the snow crab fishery have been</w:t>
      </w:r>
      <w:r w:rsidR="00325D5B">
        <w:t xml:space="preserve"> </w:t>
      </w:r>
      <w:r w:rsidR="00A15F46">
        <w:t xml:space="preserve">unmeasured </w:t>
      </w:r>
      <w:r w:rsidR="00325D5B">
        <w:t>males</w:t>
      </w:r>
      <w:r w:rsidR="00A15F46">
        <w:t xml:space="preserve">, </w:t>
      </w:r>
      <w:r w:rsidR="003A0DFB">
        <w:t xml:space="preserve">the most recently </w:t>
      </w:r>
      <w:r w:rsidR="00323E5E">
        <w:t xml:space="preserve">reported PIGKC fishery average retained weight was used in biomass estimation and </w:t>
      </w:r>
      <w:r w:rsidR="00A15F46">
        <w:t xml:space="preserve">the estimated discard mortality </w:t>
      </w:r>
      <w:r w:rsidR="00323E5E">
        <w:t>biomass</w:t>
      </w:r>
      <w:r w:rsidR="00D056BD">
        <w:t xml:space="preserve"> </w:t>
      </w:r>
      <w:r w:rsidR="00A15F46">
        <w:t xml:space="preserve">was </w:t>
      </w:r>
      <w:r w:rsidR="003C22D7">
        <w:t xml:space="preserve">fully </w:t>
      </w:r>
      <w:r w:rsidR="00323E5E">
        <w:t>ascribed</w:t>
      </w:r>
      <w:r>
        <w:t xml:space="preserve"> to the mature male</w:t>
      </w:r>
      <w:r w:rsidR="00A15F46">
        <w:t xml:space="preserve"> component of the </w:t>
      </w:r>
      <w:r w:rsidR="00032C08">
        <w:t>stock</w:t>
      </w:r>
      <w:r w:rsidR="00A15F46">
        <w:t xml:space="preserve">. Groundfish discard mortality of PIGKC was likewise </w:t>
      </w:r>
      <w:r w:rsidR="00516731">
        <w:t xml:space="preserve">here </w:t>
      </w:r>
      <w:r w:rsidR="00A15F46">
        <w:t xml:space="preserve">assumed to </w:t>
      </w:r>
      <w:r w:rsidR="003A0DFB">
        <w:t xml:space="preserve">affect only </w:t>
      </w:r>
      <w:r w:rsidR="00D056BD">
        <w:t xml:space="preserve">mature males </w:t>
      </w:r>
      <w:r w:rsidR="003C22D7">
        <w:t xml:space="preserve">since the underlying </w:t>
      </w:r>
      <w:r w:rsidR="00516731">
        <w:t xml:space="preserve">NMFS </w:t>
      </w:r>
      <w:r w:rsidR="00FF45FA">
        <w:t xml:space="preserve">groundfish </w:t>
      </w:r>
      <w:r w:rsidR="00516731">
        <w:t xml:space="preserve">observer </w:t>
      </w:r>
      <w:r w:rsidR="003C22D7">
        <w:t xml:space="preserve">data provide </w:t>
      </w:r>
      <w:r w:rsidR="00A00B5A">
        <w:t>limited</w:t>
      </w:r>
      <w:r w:rsidR="003C22D7">
        <w:t xml:space="preserve"> information about size or sex</w:t>
      </w:r>
      <w:r w:rsidR="00D056BD">
        <w:t xml:space="preserve"> of </w:t>
      </w:r>
      <w:r w:rsidR="00A00B5A">
        <w:t>crab</w:t>
      </w:r>
      <w:r w:rsidR="00D056BD">
        <w:t xml:space="preserve"> bycatch</w:t>
      </w:r>
      <w:r w:rsidR="003C22D7">
        <w:t xml:space="preserve">. </w:t>
      </w:r>
    </w:p>
    <w:p w:rsidR="000670B8" w:rsidRDefault="000670B8" w:rsidP="009C68BA">
      <w:pPr>
        <w:pStyle w:val="ListParagraph"/>
        <w:spacing w:after="0"/>
        <w:ind w:left="0"/>
        <w:jc w:val="left"/>
      </w:pPr>
    </w:p>
    <w:p w:rsidR="00811EA8" w:rsidRDefault="003C22D7" w:rsidP="009C68BA">
      <w:pPr>
        <w:pStyle w:val="ListParagraph"/>
        <w:spacing w:after="0"/>
        <w:ind w:left="0"/>
        <w:jc w:val="left"/>
      </w:pPr>
      <w:r>
        <w:t>The third non-</w:t>
      </w:r>
      <w:r w:rsidR="001E7AA5">
        <w:t xml:space="preserve">directed fishery with historical </w:t>
      </w:r>
      <w:r>
        <w:t xml:space="preserve">impact on the PIGKC stock, the Bering Sea grooved Tanner crab fishery, </w:t>
      </w:r>
      <w:r w:rsidR="001E7AA5">
        <w:t xml:space="preserve">recorded a </w:t>
      </w:r>
      <w:r w:rsidR="00A00B5A">
        <w:t xml:space="preserve">peak </w:t>
      </w:r>
      <w:r w:rsidR="001E7AA5">
        <w:t>harvest of close to</w:t>
      </w:r>
      <w:r w:rsidR="00EC4DD8">
        <w:t xml:space="preserve"> 985,000 lb</w:t>
      </w:r>
      <w:r w:rsidR="00BB10E1">
        <w:t xml:space="preserve"> in 1995</w:t>
      </w:r>
      <w:r w:rsidR="00AA20E5">
        <w:t xml:space="preserve"> (Fitch et al. 2012). In 1999</w:t>
      </w:r>
      <w:r w:rsidR="00D27B68">
        <w:t xml:space="preserve"> ADF&amp;G est</w:t>
      </w:r>
      <w:r w:rsidR="007B6B76">
        <w:t>a</w:t>
      </w:r>
      <w:r w:rsidR="00D27B68">
        <w:t>blished a</w:t>
      </w:r>
      <w:r w:rsidR="007B6B76">
        <w:t xml:space="preserve"> GHL </w:t>
      </w:r>
      <w:r w:rsidR="00AA20E5">
        <w:t xml:space="preserve">range </w:t>
      </w:r>
      <w:r w:rsidR="007B6B76">
        <w:t xml:space="preserve">of </w:t>
      </w:r>
      <w:r w:rsidR="00B30900">
        <w:t xml:space="preserve">50,000 to </w:t>
      </w:r>
      <w:r w:rsidR="007B6B76">
        <w:t>20</w:t>
      </w:r>
      <w:r w:rsidR="00D27B68">
        <w:t>0,000 lb</w:t>
      </w:r>
      <w:r w:rsidR="00032C08">
        <w:t xml:space="preserve"> for this calendar-year</w:t>
      </w:r>
      <w:r w:rsidR="007B6B76">
        <w:t xml:space="preserve"> fishery</w:t>
      </w:r>
      <w:r w:rsidR="00AA20E5">
        <w:t xml:space="preserve"> (Fitch et al. 2012)</w:t>
      </w:r>
      <w:r w:rsidR="00210216">
        <w:t>.</w:t>
      </w:r>
      <w:r w:rsidR="00BB10E1">
        <w:t xml:space="preserve"> </w:t>
      </w:r>
      <w:r w:rsidR="00210216">
        <w:t>The</w:t>
      </w:r>
      <w:r w:rsidR="00D27B68">
        <w:t xml:space="preserve"> fishery </w:t>
      </w:r>
      <w:r w:rsidR="00A00B5A">
        <w:t>performed erratically</w:t>
      </w:r>
      <w:r w:rsidR="00D27B68">
        <w:t xml:space="preserve"> </w:t>
      </w:r>
      <w:r w:rsidR="00210216">
        <w:t xml:space="preserve">in subsequent years </w:t>
      </w:r>
      <w:r w:rsidR="00032C08">
        <w:t xml:space="preserve">and </w:t>
      </w:r>
      <w:r w:rsidR="00BB10E1">
        <w:t>has not been prosecuted since</w:t>
      </w:r>
      <w:r w:rsidR="004D62C2">
        <w:t xml:space="preserve"> 2005. Estimates of the ratio </w:t>
      </w:r>
      <w:r w:rsidR="00E32C4C">
        <w:t>of mature-male</w:t>
      </w:r>
      <w:r w:rsidR="00B30900">
        <w:t>-</w:t>
      </w:r>
      <w:r w:rsidR="0009147C">
        <w:t>GKC-</w:t>
      </w:r>
      <w:proofErr w:type="spellStart"/>
      <w:r w:rsidR="0009147C">
        <w:t>bycatch</w:t>
      </w:r>
      <w:proofErr w:type="spellEnd"/>
      <w:r w:rsidR="0009147C">
        <w:t xml:space="preserve"> </w:t>
      </w:r>
      <w:r w:rsidR="00BB10E1">
        <w:t>weight to retained</w:t>
      </w:r>
      <w:r w:rsidR="00516731">
        <w:t>-</w:t>
      </w:r>
      <w:r w:rsidR="0009147C">
        <w:t>grooved-</w:t>
      </w:r>
      <w:r w:rsidR="00BB10E1">
        <w:t>Tanner</w:t>
      </w:r>
      <w:r w:rsidR="0009147C">
        <w:t>-crab</w:t>
      </w:r>
      <w:r w:rsidR="00BB10E1">
        <w:t xml:space="preserve"> weight </w:t>
      </w:r>
      <w:r w:rsidR="007B6B76">
        <w:t xml:space="preserve">based on </w:t>
      </w:r>
      <w:r w:rsidR="00210216">
        <w:t>ADF</w:t>
      </w:r>
      <w:r w:rsidR="00763C80">
        <w:t xml:space="preserve">&amp;G </w:t>
      </w:r>
      <w:r w:rsidR="007B6B76">
        <w:t xml:space="preserve">observer </w:t>
      </w:r>
      <w:r w:rsidR="00763C80">
        <w:t xml:space="preserve">length-frequency </w:t>
      </w:r>
      <w:r w:rsidR="007B6B76">
        <w:t>data from the last three year</w:t>
      </w:r>
      <w:r w:rsidR="00032C08">
        <w:t>s in which the fi</w:t>
      </w:r>
      <w:r w:rsidR="00CB1E36">
        <w:t>shery occurred</w:t>
      </w:r>
      <w:r w:rsidR="0087474E">
        <w:t xml:space="preserve"> (200</w:t>
      </w:r>
      <w:r w:rsidR="008B369E">
        <w:t>3, 2004, 2005) average about 6.6</w:t>
      </w:r>
      <w:r w:rsidR="00CB1E36">
        <w:t>%</w:t>
      </w:r>
      <w:r w:rsidR="007B6B76">
        <w:t>.</w:t>
      </w:r>
      <w:r w:rsidR="00D27B68">
        <w:t xml:space="preserve"> </w:t>
      </w:r>
      <w:r w:rsidR="00FF45FA">
        <w:t xml:space="preserve">Applying a </w:t>
      </w:r>
      <w:r w:rsidR="00D27B68">
        <w:t>0.5 handling mor</w:t>
      </w:r>
      <w:r w:rsidR="00D056BD">
        <w:t>ality for king crab in non-directed fixe</w:t>
      </w:r>
      <w:r w:rsidR="001F5309">
        <w:t>d</w:t>
      </w:r>
      <w:r w:rsidR="00D056BD">
        <w:t>-gear</w:t>
      </w:r>
      <w:r w:rsidR="00D27B68">
        <w:t xml:space="preserve"> fisheries</w:t>
      </w:r>
      <w:r w:rsidR="00FF45FA">
        <w:t>,</w:t>
      </w:r>
      <w:r w:rsidR="00516731">
        <w:t xml:space="preserve"> </w:t>
      </w:r>
      <w:r w:rsidR="00D27B68">
        <w:t>a plausible upper bou</w:t>
      </w:r>
      <w:r w:rsidR="00E32C4C">
        <w:t xml:space="preserve">nd on expected PIGKC mature male </w:t>
      </w:r>
      <w:r w:rsidR="00D27B68">
        <w:t xml:space="preserve">discard morality </w:t>
      </w:r>
      <w:r w:rsidR="005769DE">
        <w:t>in a potential</w:t>
      </w:r>
      <w:r w:rsidR="00811EA8">
        <w:t xml:space="preserve"> Bering Sea grooved Tanner crab fishery </w:t>
      </w:r>
      <w:r w:rsidR="008B369E">
        <w:t xml:space="preserve">is thus </w:t>
      </w:r>
      <w:r w:rsidR="008B369E" w:rsidRPr="00407ACF">
        <w:rPr>
          <w:i/>
        </w:rPr>
        <w:t>200,000 lb</w:t>
      </w:r>
      <w:r w:rsidR="00407ACF" w:rsidRPr="00407ACF">
        <w:rPr>
          <w:i/>
        </w:rPr>
        <w:t xml:space="preserve"> </w:t>
      </w:r>
      <w:r w:rsidR="008B369E" w:rsidRPr="00407ACF">
        <w:rPr>
          <w:i/>
        </w:rPr>
        <w:t>×</w:t>
      </w:r>
      <w:r w:rsidR="00407ACF" w:rsidRPr="00407ACF">
        <w:rPr>
          <w:i/>
        </w:rPr>
        <w:t xml:space="preserve"> </w:t>
      </w:r>
      <w:r w:rsidR="008B369E" w:rsidRPr="00407ACF">
        <w:rPr>
          <w:i/>
        </w:rPr>
        <w:t>0.066</w:t>
      </w:r>
      <w:r w:rsidR="00407ACF" w:rsidRPr="00407ACF">
        <w:rPr>
          <w:i/>
        </w:rPr>
        <w:t xml:space="preserve"> </w:t>
      </w:r>
      <w:r w:rsidR="008B369E" w:rsidRPr="00407ACF">
        <w:rPr>
          <w:i/>
        </w:rPr>
        <w:t>×</w:t>
      </w:r>
      <w:r w:rsidR="00407ACF" w:rsidRPr="00407ACF">
        <w:rPr>
          <w:i/>
        </w:rPr>
        <w:t xml:space="preserve"> </w:t>
      </w:r>
      <w:r w:rsidR="008B369E" w:rsidRPr="00407ACF">
        <w:rPr>
          <w:i/>
        </w:rPr>
        <w:t>0.5 = 6,6</w:t>
      </w:r>
      <w:r w:rsidR="00D27B68" w:rsidRPr="00407ACF">
        <w:rPr>
          <w:i/>
        </w:rPr>
        <w:t>00 lb</w:t>
      </w:r>
      <w:r w:rsidR="00D27B68">
        <w:t>.</w:t>
      </w:r>
      <w:r w:rsidR="007B6B76">
        <w:t xml:space="preserve"> </w:t>
      </w:r>
      <w:r w:rsidR="0083163E">
        <w:t>T</w:t>
      </w:r>
      <w:r w:rsidR="00D27B68">
        <w:t>his leads to</w:t>
      </w:r>
    </w:p>
    <w:p w:rsidR="00EA3AAE" w:rsidRDefault="00EA3AAE" w:rsidP="009C68BA">
      <w:pPr>
        <w:pStyle w:val="ListParagraph"/>
        <w:spacing w:after="0"/>
        <w:ind w:left="0"/>
        <w:jc w:val="left"/>
      </w:pPr>
    </w:p>
    <w:p w:rsidR="00EA3AAE" w:rsidRDefault="00300888" w:rsidP="009C68BA">
      <w:pPr>
        <w:pStyle w:val="ListParagraph"/>
        <w:spacing w:after="0"/>
        <w:ind w:left="0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OFL</m:t>
            </m:r>
          </m:e>
          <m:sub>
            <m:r>
              <w:rPr>
                <w:rFonts w:ascii="Cambria Math" w:hAnsi="Cambria Math"/>
              </w:rPr>
              <m:t>MM,DF</m:t>
            </m:r>
          </m:sub>
        </m:sSub>
        <m:r>
          <w:rPr>
            <w:rFonts w:ascii="Cambria Math" w:hAnsi="Cambria Math"/>
          </w:rPr>
          <m:t>=220,892 lb-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10,826+1,061+6,600</m:t>
            </m:r>
          </m:e>
        </m:d>
        <m:r>
          <w:rPr>
            <w:rFonts w:ascii="Cambria Math" w:hAnsi="Cambria Math"/>
          </w:rPr>
          <m:t xml:space="preserve"> lb=202,405 lb</m:t>
        </m:r>
      </m:oMath>
      <w:r w:rsidR="00971435">
        <w:t xml:space="preserve">  </w:t>
      </w:r>
      <w:r w:rsidR="00971435">
        <w:tab/>
      </w:r>
      <w:r w:rsidR="00971435">
        <w:tab/>
      </w:r>
      <w:r w:rsidR="00B06499">
        <w:tab/>
      </w:r>
      <w:r w:rsidR="00971435">
        <w:t>[2]</w:t>
      </w:r>
    </w:p>
    <w:p w:rsidR="0009147C" w:rsidRDefault="0009147C" w:rsidP="009C68BA">
      <w:pPr>
        <w:pStyle w:val="ListParagraph"/>
        <w:spacing w:after="0"/>
        <w:ind w:left="0"/>
        <w:jc w:val="left"/>
      </w:pPr>
    </w:p>
    <w:p w:rsidR="00AA20E5" w:rsidRDefault="00971435" w:rsidP="004D62C2">
      <w:pPr>
        <w:pStyle w:val="ListParagraph"/>
        <w:spacing w:after="0"/>
        <w:ind w:left="0"/>
        <w:jc w:val="left"/>
      </w:pPr>
      <w:r>
        <w:t xml:space="preserve">as the </w:t>
      </w:r>
      <w:r w:rsidR="00E32C4C">
        <w:t>mature male</w:t>
      </w:r>
      <w:r w:rsidR="00811EA8">
        <w:t xml:space="preserve"> OF</w:t>
      </w:r>
      <w:r>
        <w:t xml:space="preserve">L in the directed PIGKC </w:t>
      </w:r>
      <w:r w:rsidR="00E32C4C">
        <w:t>fishery after accounting for mature male</w:t>
      </w:r>
      <w:r>
        <w:t xml:space="preserve"> discard mortality </w:t>
      </w:r>
      <w:r w:rsidR="00BB12B9">
        <w:t xml:space="preserve">biomass </w:t>
      </w:r>
      <w:r>
        <w:t xml:space="preserve">in the </w:t>
      </w:r>
      <w:r w:rsidR="00CB1E36">
        <w:t xml:space="preserve">three </w:t>
      </w:r>
      <w:r>
        <w:t>relevant non-directed fisheries</w:t>
      </w:r>
      <w:r w:rsidR="00CB1E36">
        <w:t>: Bering Sea groundfish, snow crab, and grooved Tanner crab fisheries</w:t>
      </w:r>
      <w:r>
        <w:t>.</w:t>
      </w:r>
      <w:r w:rsidR="004D62C2">
        <w:t xml:space="preserve"> </w:t>
      </w:r>
    </w:p>
    <w:p w:rsidR="00AA20E5" w:rsidRDefault="00AA20E5" w:rsidP="004D62C2">
      <w:pPr>
        <w:pStyle w:val="ListParagraph"/>
        <w:spacing w:after="0"/>
        <w:ind w:left="0"/>
        <w:jc w:val="left"/>
      </w:pPr>
    </w:p>
    <w:p w:rsidR="00663044" w:rsidRDefault="004D62C2" w:rsidP="004D62C2">
      <w:pPr>
        <w:pStyle w:val="ListParagraph"/>
        <w:spacing w:after="0"/>
        <w:ind w:left="0"/>
        <w:jc w:val="left"/>
      </w:pPr>
      <w:r>
        <w:t>The re</w:t>
      </w:r>
      <w:r w:rsidR="00407ACF">
        <w:t xml:space="preserve">tained catch </w:t>
      </w:r>
      <w:r>
        <w:t xml:space="preserve">OFL in the </w:t>
      </w:r>
      <w:r w:rsidR="00CB1E36">
        <w:t xml:space="preserve">PIGKC </w:t>
      </w:r>
      <w:r w:rsidR="00407ACF">
        <w:t xml:space="preserve">directed fishery is then calculated as </w:t>
      </w:r>
    </w:p>
    <w:p w:rsidR="004D62C2" w:rsidRDefault="004D62C2" w:rsidP="004D62C2">
      <w:pPr>
        <w:pStyle w:val="ListParagraph"/>
        <w:spacing w:after="0"/>
        <w:ind w:left="0"/>
        <w:jc w:val="left"/>
      </w:pPr>
    </w:p>
    <w:p w:rsidR="00663044" w:rsidRDefault="00300888" w:rsidP="003135CD">
      <w:pPr>
        <w:pStyle w:val="ListParagraph"/>
        <w:spacing w:after="0"/>
        <w:ind w:left="0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OFL</m:t>
            </m:r>
          </m:e>
          <m:sub>
            <m:r>
              <w:rPr>
                <w:rFonts w:ascii="Cambria Math" w:hAnsi="Cambria Math"/>
              </w:rPr>
              <m:t>RET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202,405 lb</m:t>
            </m:r>
          </m:num>
          <m:den>
            <m:r>
              <w:rPr>
                <w:rFonts w:ascii="Cambria Math" w:hAnsi="Cambria Math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0.2</m:t>
                </m:r>
              </m:e>
            </m:d>
            <m:r>
              <w:rPr>
                <w:rFonts w:ascii="Cambria Math" w:hAnsi="Cambria Math"/>
              </w:rPr>
              <m:t>(0.129)</m:t>
            </m:r>
          </m:den>
        </m:f>
        <m:r>
          <w:rPr>
            <w:rFonts w:ascii="Cambria Math" w:hAnsi="Cambria Math"/>
          </w:rPr>
          <m:t>=197,314 lb</m:t>
        </m:r>
      </m:oMath>
      <w:r w:rsidR="003135CD">
        <w:t>,</w:t>
      </w:r>
      <w:r w:rsidR="003135CD">
        <w:tab/>
      </w:r>
      <w:r w:rsidR="003135CD">
        <w:tab/>
      </w:r>
      <w:r w:rsidR="003135CD">
        <w:tab/>
      </w:r>
      <w:r w:rsidR="003135CD">
        <w:tab/>
      </w:r>
      <w:r w:rsidR="003135CD">
        <w:tab/>
      </w:r>
      <w:r w:rsidR="003135CD">
        <w:tab/>
      </w:r>
      <w:r w:rsidR="003135CD">
        <w:tab/>
        <w:t>[3]</w:t>
      </w:r>
    </w:p>
    <w:p w:rsidR="003135CD" w:rsidRPr="003135CD" w:rsidRDefault="003135CD" w:rsidP="003135CD">
      <w:pPr>
        <w:pStyle w:val="ListParagraph"/>
        <w:spacing w:after="0"/>
        <w:ind w:left="0"/>
        <w:jc w:val="left"/>
        <w:rPr>
          <w:b/>
        </w:rPr>
      </w:pPr>
    </w:p>
    <w:p w:rsidR="003135CD" w:rsidRDefault="003135CD" w:rsidP="00AB75C0">
      <w:pPr>
        <w:spacing w:after="0"/>
        <w:jc w:val="left"/>
      </w:pPr>
      <w:r>
        <w:t>where 0.129 is the a</w:t>
      </w:r>
      <w:r w:rsidR="00E32C4C">
        <w:t>verage estimated ratio of matu</w:t>
      </w:r>
      <w:r w:rsidR="00D57971">
        <w:t>r</w:t>
      </w:r>
      <w:r w:rsidR="00E32C4C">
        <w:t>e-male</w:t>
      </w:r>
      <w:r w:rsidR="004460FF">
        <w:t>-</w:t>
      </w:r>
      <w:r>
        <w:t>discard weight to retained</w:t>
      </w:r>
      <w:r w:rsidR="004460FF">
        <w:t>-</w:t>
      </w:r>
      <w:r>
        <w:t xml:space="preserve">catch weight in the last three prosecuted PIGKC fisheries </w:t>
      </w:r>
      <w:r w:rsidR="0087474E">
        <w:t>(2010, 2011, 2012)</w:t>
      </w:r>
      <w:r w:rsidR="00FF45FA">
        <w:t>,</w:t>
      </w:r>
      <w:r w:rsidR="00BB12B9">
        <w:t xml:space="preserve"> </w:t>
      </w:r>
      <w:r w:rsidR="0083163E">
        <w:t xml:space="preserve">and 0.2 is the assumed </w:t>
      </w:r>
      <w:r>
        <w:t xml:space="preserve">mortality </w:t>
      </w:r>
      <w:r w:rsidR="0083163E">
        <w:t xml:space="preserve">rate </w:t>
      </w:r>
      <w:r>
        <w:t xml:space="preserve">of discarded </w:t>
      </w:r>
      <w:r w:rsidR="0083163E">
        <w:t>P</w:t>
      </w:r>
      <w:r w:rsidR="004460FF">
        <w:t>GKC in the directed fishery</w:t>
      </w:r>
      <w:r>
        <w:t>.</w:t>
      </w:r>
      <w:r w:rsidR="00BB12B9">
        <w:t xml:space="preserve"> </w:t>
      </w:r>
      <w:r w:rsidR="00D57971">
        <w:t>Note that this value is about 31% more than the 150,000-lb guideline harvest level (GHL) in place under ADF&amp;G management of the PIGKC fishery since 2001 (Fitch et al. 2012</w:t>
      </w:r>
      <w:r w:rsidR="00D57971" w:rsidRPr="002B7B9F">
        <w:t>).</w:t>
      </w:r>
    </w:p>
    <w:p w:rsidR="00D050FD" w:rsidRDefault="00D050FD" w:rsidP="00AB75C0">
      <w:pPr>
        <w:spacing w:after="0"/>
        <w:jc w:val="left"/>
      </w:pPr>
    </w:p>
    <w:p w:rsidR="00950E1C" w:rsidRDefault="002C3F3D" w:rsidP="00AB75C0">
      <w:pPr>
        <w:spacing w:after="0"/>
        <w:jc w:val="left"/>
      </w:pPr>
      <w:r>
        <w:t xml:space="preserve">The </w:t>
      </w:r>
      <w:r w:rsidR="00A265D4">
        <w:t xml:space="preserve">PIGKC </w:t>
      </w:r>
      <w:r>
        <w:t>total catch OFL may now be obtained by a</w:t>
      </w:r>
      <w:r w:rsidR="00210216">
        <w:t xml:space="preserve">djoining to the retained catch OFL </w:t>
      </w:r>
      <w:r w:rsidR="009928B6">
        <w:t xml:space="preserve">appropriate </w:t>
      </w:r>
      <w:r w:rsidR="00210216">
        <w:t>estimates of expected</w:t>
      </w:r>
      <w:r w:rsidR="00A265D4">
        <w:t xml:space="preserve"> total discard mortality. In the directed fishery estimate</w:t>
      </w:r>
      <w:r w:rsidR="00777461">
        <w:t xml:space="preserve">s of the </w:t>
      </w:r>
      <w:r w:rsidR="00777461">
        <w:lastRenderedPageBreak/>
        <w:t xml:space="preserve">ratio of total-discard </w:t>
      </w:r>
      <w:r w:rsidR="00A265D4">
        <w:t>weight to retained</w:t>
      </w:r>
      <w:r w:rsidR="009928B6">
        <w:t>-catch</w:t>
      </w:r>
      <w:r w:rsidR="003A0DFB">
        <w:t xml:space="preserve"> weight average</w:t>
      </w:r>
      <w:r w:rsidR="00A265D4">
        <w:t xml:space="preserve"> 0.212 over the last </w:t>
      </w:r>
      <w:r w:rsidR="00BB12B9">
        <w:t>three years (2010, 2011, 2012), again based on ADF&amp;G observer length-frequency data</w:t>
      </w:r>
      <w:r w:rsidR="00FF45FA">
        <w:t xml:space="preserve">. </w:t>
      </w:r>
      <w:r w:rsidR="00A265D4">
        <w:t xml:space="preserve">Assuming 20% handling mortality, an estimate of OFL total discard mortality in the directed fishery is then </w:t>
      </w:r>
      <w:r w:rsidR="00A265D4" w:rsidRPr="00A265D4">
        <w:rPr>
          <w:i/>
        </w:rPr>
        <w:t>0.212</w:t>
      </w:r>
      <w:r w:rsidR="00A265D4">
        <w:rPr>
          <w:i/>
        </w:rPr>
        <w:t xml:space="preserve"> </w:t>
      </w:r>
      <w:r w:rsidR="00A265D4" w:rsidRPr="00A265D4">
        <w:rPr>
          <w:i/>
        </w:rPr>
        <w:t>×</w:t>
      </w:r>
      <w:r w:rsidR="00A265D4">
        <w:rPr>
          <w:i/>
        </w:rPr>
        <w:t xml:space="preserve"> </w:t>
      </w:r>
      <w:r w:rsidR="000670B8">
        <w:rPr>
          <w:i/>
        </w:rPr>
        <w:t>197,314</w:t>
      </w:r>
      <w:r w:rsidR="00A265D4" w:rsidRPr="00A265D4">
        <w:rPr>
          <w:i/>
        </w:rPr>
        <w:t xml:space="preserve"> lb</w:t>
      </w:r>
      <w:r w:rsidR="00A265D4">
        <w:rPr>
          <w:i/>
        </w:rPr>
        <w:t xml:space="preserve"> </w:t>
      </w:r>
      <w:r w:rsidR="00A265D4">
        <w:t xml:space="preserve">× </w:t>
      </w:r>
      <w:r w:rsidR="00B15490">
        <w:rPr>
          <w:i/>
        </w:rPr>
        <w:t xml:space="preserve">0.2 = </w:t>
      </w:r>
      <w:r w:rsidR="00196C9E">
        <w:rPr>
          <w:i/>
        </w:rPr>
        <w:t>8,366</w:t>
      </w:r>
      <w:r w:rsidR="00A265D4" w:rsidRPr="00A265D4">
        <w:rPr>
          <w:i/>
        </w:rPr>
        <w:t xml:space="preserve"> lb</w:t>
      </w:r>
      <w:r w:rsidR="00A265D4">
        <w:t xml:space="preserve">. </w:t>
      </w:r>
      <w:r w:rsidR="00407ACF">
        <w:t>In the grooved Tanner crab fishery, aver</w:t>
      </w:r>
      <w:r w:rsidR="00777461">
        <w:t xml:space="preserve">age estimated total-GKC-discard </w:t>
      </w:r>
      <w:r w:rsidR="00407ACF">
        <w:t>weight to retained-</w:t>
      </w:r>
      <w:r w:rsidR="00950E1C">
        <w:t>grooved-Tanner-</w:t>
      </w:r>
      <w:r w:rsidR="00407ACF">
        <w:t xml:space="preserve">catch weight is 0.079 for the </w:t>
      </w:r>
      <w:r w:rsidR="00950E1C">
        <w:t xml:space="preserve">last three years of the fishery (2003, 2004, 2005), so an estimate of expected total </w:t>
      </w:r>
      <w:r w:rsidR="00272BB6">
        <w:t>PI</w:t>
      </w:r>
      <w:r w:rsidR="00950E1C">
        <w:t xml:space="preserve">GKC discard mortality in a fully prosecuted fishery is </w:t>
      </w:r>
      <w:r w:rsidR="00950E1C" w:rsidRPr="00950E1C">
        <w:rPr>
          <w:i/>
        </w:rPr>
        <w:t>0.079 × 200,000</w:t>
      </w:r>
      <w:r w:rsidR="00950E1C">
        <w:rPr>
          <w:i/>
        </w:rPr>
        <w:t xml:space="preserve"> lb</w:t>
      </w:r>
      <w:r w:rsidR="00950E1C" w:rsidRPr="00950E1C">
        <w:rPr>
          <w:i/>
        </w:rPr>
        <w:t xml:space="preserve"> × 0.5 = 7,900</w:t>
      </w:r>
      <w:r w:rsidR="00950E1C">
        <w:rPr>
          <w:i/>
        </w:rPr>
        <w:t xml:space="preserve"> lb</w:t>
      </w:r>
      <w:r w:rsidR="00950E1C">
        <w:t>, ass</w:t>
      </w:r>
      <w:r w:rsidR="00777461">
        <w:t xml:space="preserve">uming 50% handling mortality of </w:t>
      </w:r>
      <w:r w:rsidR="00272BB6">
        <w:t>PI</w:t>
      </w:r>
      <w:r w:rsidR="00950E1C">
        <w:t xml:space="preserve">GKC. As all </w:t>
      </w:r>
      <w:r w:rsidR="00524C4B">
        <w:t>PIGKC discard mortality</w:t>
      </w:r>
      <w:r w:rsidR="00950E1C">
        <w:t xml:space="preserve"> in the Bering Sea groundfish and snow crab fisheries was assumed comprised of mature males</w:t>
      </w:r>
      <w:r w:rsidR="00524C4B">
        <w:t>,</w:t>
      </w:r>
      <w:r w:rsidR="00950E1C">
        <w:t xml:space="preserve"> the PIGKC total catch OFL is</w:t>
      </w:r>
      <w:r w:rsidR="003A0DFB">
        <w:t xml:space="preserve"> thus</w:t>
      </w:r>
    </w:p>
    <w:p w:rsidR="00950E1C" w:rsidRDefault="00950E1C" w:rsidP="00AB75C0">
      <w:pPr>
        <w:spacing w:after="0"/>
        <w:jc w:val="left"/>
      </w:pPr>
    </w:p>
    <w:p w:rsidR="0090178B" w:rsidRDefault="00300888" w:rsidP="00AB75C0">
      <w:pPr>
        <w:spacing w:after="0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OFL</m:t>
            </m:r>
          </m:e>
          <m:sub>
            <m:r>
              <w:rPr>
                <w:rFonts w:ascii="Cambria Math" w:hAnsi="Cambria Math"/>
              </w:rPr>
              <m:t>TC</m:t>
            </m:r>
          </m:sub>
        </m:sSub>
        <m:r>
          <w:rPr>
            <w:rFonts w:ascii="Cambria Math" w:hAnsi="Cambria Math"/>
          </w:rPr>
          <m:t>=197,314 l</m:t>
        </m:r>
        <m:r>
          <w:rPr>
            <w:rFonts w:ascii="Cambria Math" w:hAnsi="Cambria Math"/>
          </w:rPr>
          <m:t>b+8,366 lb+10,826 lb+1,061 lb+7,900 lb=225,467 lb</m:t>
        </m:r>
      </m:oMath>
      <w:r w:rsidR="0090178B">
        <w:t>.</w:t>
      </w:r>
      <w:r w:rsidR="001D667D">
        <w:t xml:space="preserve"> </w:t>
      </w:r>
      <w:r w:rsidR="00524C4B">
        <w:tab/>
      </w:r>
      <w:r w:rsidR="001D667D">
        <w:t>[4]</w:t>
      </w:r>
      <w:r w:rsidR="00950E1C">
        <w:t xml:space="preserve">   </w:t>
      </w:r>
    </w:p>
    <w:p w:rsidR="0090178B" w:rsidRDefault="0090178B" w:rsidP="00AB75C0">
      <w:pPr>
        <w:spacing w:after="0"/>
        <w:jc w:val="left"/>
      </w:pPr>
    </w:p>
    <w:p w:rsidR="00B50E55" w:rsidRDefault="00CE2729" w:rsidP="00AB75C0">
      <w:pPr>
        <w:spacing w:after="0"/>
        <w:jc w:val="left"/>
      </w:pPr>
      <w:r>
        <w:t xml:space="preserve">Table 2 lists </w:t>
      </w:r>
      <w:r w:rsidR="0083163E">
        <w:t>the primary</w:t>
      </w:r>
      <w:r w:rsidR="00EC66AA">
        <w:t xml:space="preserve"> estimates and parameters</w:t>
      </w:r>
      <w:r>
        <w:t xml:space="preserve"> used in obtaining this result; Table 3</w:t>
      </w:r>
      <w:r w:rsidR="00FF45FA">
        <w:t xml:space="preserve"> lists the components in the total catch OFL and</w:t>
      </w:r>
      <w:r>
        <w:t xml:space="preserve"> summarizes the </w:t>
      </w:r>
      <w:r w:rsidR="0083163E">
        <w:t xml:space="preserve">key </w:t>
      </w:r>
      <w:r>
        <w:t xml:space="preserve">steps </w:t>
      </w:r>
      <w:r w:rsidR="0083163E">
        <w:t xml:space="preserve">[1] – [4] </w:t>
      </w:r>
      <w:r>
        <w:t>in its derivation.</w:t>
      </w:r>
    </w:p>
    <w:p w:rsidR="000670B8" w:rsidRDefault="000670B8" w:rsidP="00AB75C0">
      <w:pPr>
        <w:spacing w:after="0"/>
        <w:jc w:val="left"/>
      </w:pPr>
    </w:p>
    <w:p w:rsidR="00913142" w:rsidRDefault="00913142" w:rsidP="00AB75C0">
      <w:pPr>
        <w:spacing w:after="0"/>
        <w:jc w:val="left"/>
      </w:pPr>
      <w:r>
        <w:rPr>
          <w:b/>
          <w:u w:val="single"/>
        </w:rPr>
        <w:t xml:space="preserve">2014 </w:t>
      </w:r>
      <w:r w:rsidR="00AE443D">
        <w:rPr>
          <w:b/>
          <w:u w:val="single"/>
        </w:rPr>
        <w:t xml:space="preserve">PIGKC </w:t>
      </w:r>
      <w:r>
        <w:rPr>
          <w:b/>
          <w:u w:val="single"/>
        </w:rPr>
        <w:t>ABC Calculation</w:t>
      </w:r>
    </w:p>
    <w:p w:rsidR="00913142" w:rsidRDefault="00913142" w:rsidP="007E0D86">
      <w:pPr>
        <w:spacing w:after="0"/>
        <w:jc w:val="left"/>
      </w:pPr>
      <w:r>
        <w:t xml:space="preserve">Consistent with Tier-5 crab and Tier-5 groundfish assessment methodology, the author recommends use of a 10% buffer to specify the </w:t>
      </w:r>
      <w:r w:rsidR="00E32C4C">
        <w:t xml:space="preserve">(hypothetical) </w:t>
      </w:r>
      <w:r>
        <w:t>PIGKC 2014 ABC according to</w:t>
      </w:r>
    </w:p>
    <w:p w:rsidR="00913142" w:rsidRDefault="00913142" w:rsidP="007E0D86">
      <w:pPr>
        <w:spacing w:after="0"/>
        <w:jc w:val="left"/>
      </w:pPr>
    </w:p>
    <w:p w:rsidR="002D2507" w:rsidRDefault="00913142" w:rsidP="007E0D86">
      <w:pPr>
        <w:spacing w:after="0"/>
        <w:jc w:val="left"/>
      </w:pPr>
      <m:oMath>
        <m:r>
          <w:rPr>
            <w:rFonts w:ascii="Cambria Math" w:hAnsi="Cambria Math"/>
          </w:rPr>
          <m:t>ABC=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1-0.1</m:t>
            </m:r>
          </m:e>
        </m:d>
        <m:r>
          <w:rPr>
            <w:rFonts w:ascii="Cambria Math" w:hAnsi="Cambria Math"/>
          </w:rPr>
          <m:t>OFL</m:t>
        </m:r>
      </m:oMath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2D2507" w:rsidRDefault="002D2507" w:rsidP="007E0D86">
      <w:pPr>
        <w:spacing w:after="0"/>
        <w:jc w:val="left"/>
      </w:pPr>
    </w:p>
    <w:p w:rsidR="00516731" w:rsidRDefault="00A515B9" w:rsidP="007E0D86">
      <w:pPr>
        <w:spacing w:after="0"/>
        <w:jc w:val="left"/>
      </w:pPr>
      <w:r>
        <w:t>When applied to the total-catch OFL this yields an a</w:t>
      </w:r>
      <w:r w:rsidR="00196C9E">
        <w:t xml:space="preserve">uthor-recommended ABC of </w:t>
      </w:r>
      <w:r w:rsidR="00196C9E" w:rsidRPr="00196C9E">
        <w:rPr>
          <w:i/>
        </w:rPr>
        <w:t>202,921</w:t>
      </w:r>
      <w:r w:rsidRPr="00196C9E">
        <w:rPr>
          <w:i/>
        </w:rPr>
        <w:t xml:space="preserve"> lb</w:t>
      </w:r>
      <w:r w:rsidR="0086744E">
        <w:t xml:space="preserve"> (Table 3)</w:t>
      </w:r>
      <w:r>
        <w:t>.</w:t>
      </w:r>
      <w:r w:rsidDel="00A515B9">
        <w:t xml:space="preserve"> </w:t>
      </w:r>
    </w:p>
    <w:p w:rsidR="00516731" w:rsidRDefault="00516731" w:rsidP="00CA3EC2">
      <w:pPr>
        <w:spacing w:after="0"/>
        <w:jc w:val="left"/>
        <w:rPr>
          <w:b/>
          <w:u w:val="single"/>
        </w:rPr>
      </w:pPr>
    </w:p>
    <w:p w:rsidR="00FF45FA" w:rsidRDefault="00FF45FA" w:rsidP="00CA3EC2">
      <w:pPr>
        <w:spacing w:after="0"/>
        <w:jc w:val="left"/>
        <w:rPr>
          <w:sz w:val="20"/>
          <w:szCs w:val="20"/>
          <w:u w:val="single"/>
        </w:rPr>
      </w:pPr>
    </w:p>
    <w:p w:rsidR="00B40B44" w:rsidRDefault="00B40B44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:rsidR="00031809" w:rsidRPr="00B40B44" w:rsidRDefault="00115AB5" w:rsidP="00B40B44">
      <w:pPr>
        <w:spacing w:after="0"/>
        <w:rPr>
          <w:b/>
          <w:u w:val="single"/>
        </w:rPr>
      </w:pPr>
      <w:r w:rsidRPr="00A90C90">
        <w:rPr>
          <w:b/>
          <w:u w:val="single"/>
        </w:rPr>
        <w:lastRenderedPageBreak/>
        <w:t>References</w:t>
      </w:r>
    </w:p>
    <w:p w:rsidR="004267D9" w:rsidRDefault="004267D9" w:rsidP="00CA3EC2">
      <w:pPr>
        <w:spacing w:after="0"/>
        <w:jc w:val="left"/>
      </w:pPr>
      <w:r>
        <w:t xml:space="preserve">Fitch, H., M. Deiman, J. Shaishnikoff, and K. Herring. 2012. Annual management report for the </w:t>
      </w:r>
      <w:r>
        <w:tab/>
        <w:t xml:space="preserve">commercial and subsistence shellfish fisheries of the Bering Sea, 2010/11. Pages 75-1776 </w:t>
      </w:r>
      <w:r>
        <w:tab/>
        <w:t>[In] Fitch</w:t>
      </w:r>
      <w:r w:rsidRPr="002C7142">
        <w:t>,</w:t>
      </w:r>
      <w:r>
        <w:t xml:space="preserve"> H., M. Schwenzfeier, B. Baechler, T. Hartill, M. Salmon, M. Deiman, E. </w:t>
      </w:r>
      <w:r>
        <w:tab/>
        <w:t>Evans, E. Henry, L. Wald, J. Shaishnikoff, K. Herring, and J. Wilson. 2012</w:t>
      </w:r>
      <w:r w:rsidRPr="002C7142">
        <w:t xml:space="preserve">.  Annual </w:t>
      </w:r>
      <w:r>
        <w:tab/>
      </w:r>
      <w:r w:rsidRPr="002C7142">
        <w:t xml:space="preserve">management report for the commercial and subsistence shellfish fisheries of the Aleutian </w:t>
      </w:r>
      <w:r>
        <w:tab/>
      </w:r>
      <w:r w:rsidRPr="002C7142">
        <w:t xml:space="preserve">Islands, </w:t>
      </w:r>
      <w:smartTag w:uri="urn:schemas-microsoft-com:office:smarttags" w:element="place">
        <w:r w:rsidRPr="002C7142">
          <w:t>Bering Sea</w:t>
        </w:r>
      </w:smartTag>
      <w:r w:rsidRPr="002C7142">
        <w:t xml:space="preserve"> and the Westward Region’s </w:t>
      </w:r>
      <w:r>
        <w:t>Shellfish Observer Program, 2010/11</w:t>
      </w:r>
      <w:r w:rsidRPr="002C7142">
        <w:t xml:space="preserve">.  </w:t>
      </w:r>
      <w:r>
        <w:tab/>
      </w:r>
      <w:r w:rsidRPr="002C7142">
        <w:t xml:space="preserve">Alaska Department of Fish and Game, </w:t>
      </w:r>
      <w:r>
        <w:t>Fishery Management Report No. 12-22</w:t>
      </w:r>
      <w:r w:rsidRPr="002C7142">
        <w:t xml:space="preserve">, </w:t>
      </w:r>
      <w:r>
        <w:tab/>
      </w:r>
      <w:smartTag w:uri="urn:schemas-microsoft-com:office:smarttags" w:element="City">
        <w:smartTag w:uri="urn:schemas-microsoft-com:office:smarttags" w:element="place">
          <w:r w:rsidRPr="002C7142">
            <w:t>Anchorage</w:t>
          </w:r>
        </w:smartTag>
      </w:smartTag>
      <w:r w:rsidRPr="002C7142">
        <w:t>.</w:t>
      </w:r>
    </w:p>
    <w:p w:rsidR="004267D9" w:rsidRDefault="004267D9" w:rsidP="00CA3EC2">
      <w:pPr>
        <w:spacing w:after="0"/>
        <w:jc w:val="left"/>
      </w:pPr>
    </w:p>
    <w:p w:rsidR="005F58E4" w:rsidRPr="00494BA3" w:rsidRDefault="003471AE" w:rsidP="005F58E4">
      <w:pPr>
        <w:spacing w:after="0"/>
        <w:rPr>
          <w:spacing w:val="-3"/>
          <w:szCs w:val="22"/>
        </w:rPr>
      </w:pPr>
      <w:r w:rsidRPr="003471AE">
        <w:rPr>
          <w:spacing w:val="-3"/>
          <w:szCs w:val="22"/>
        </w:rPr>
        <w:t>Gaeuman, W. 2013. Summary of the 2011/12 mandatory crab observer program database for the</w:t>
      </w:r>
    </w:p>
    <w:p w:rsidR="00852C18" w:rsidRDefault="003471AE" w:rsidP="00852C18">
      <w:pPr>
        <w:spacing w:after="0"/>
        <w:ind w:left="720" w:hanging="720"/>
        <w:rPr>
          <w:spacing w:val="-3"/>
          <w:szCs w:val="22"/>
        </w:rPr>
      </w:pPr>
      <w:r w:rsidRPr="003471AE">
        <w:rPr>
          <w:spacing w:val="-3"/>
          <w:szCs w:val="22"/>
        </w:rPr>
        <w:t xml:space="preserve">  </w:t>
      </w:r>
      <w:r w:rsidRPr="003471AE">
        <w:rPr>
          <w:spacing w:val="-3"/>
          <w:szCs w:val="22"/>
        </w:rPr>
        <w:tab/>
        <w:t>Bering Sea/Aleutian Islands commercial crab fisheries. Alaska Department of Fish and Game, Fishery Data Series No. 13-21, Anchorage.</w:t>
      </w:r>
    </w:p>
    <w:p w:rsidR="00852C18" w:rsidRPr="00852C18" w:rsidRDefault="00852C18" w:rsidP="00852C18">
      <w:pPr>
        <w:spacing w:after="0"/>
        <w:ind w:left="720" w:hanging="720"/>
        <w:rPr>
          <w:spacing w:val="-3"/>
          <w:szCs w:val="22"/>
        </w:rPr>
      </w:pPr>
    </w:p>
    <w:p w:rsidR="00B32C36" w:rsidRDefault="00B32C36" w:rsidP="00B32C36">
      <w:pPr>
        <w:spacing w:after="0"/>
        <w:jc w:val="left"/>
      </w:pPr>
      <w:r>
        <w:t>Hoff, G.R., and L.L. Britt. 2003. The 2002</w:t>
      </w:r>
      <w:r w:rsidRPr="001820D1">
        <w:t xml:space="preserve"> eastern Bering</w:t>
      </w:r>
      <w:r>
        <w:t xml:space="preserve"> </w:t>
      </w:r>
      <w:r w:rsidRPr="001820D1">
        <w:t>Sea upper continental slope survey of</w:t>
      </w:r>
    </w:p>
    <w:p w:rsidR="00B32C36" w:rsidRDefault="00B32C36" w:rsidP="00B32C36">
      <w:pPr>
        <w:spacing w:after="0"/>
        <w:jc w:val="left"/>
      </w:pPr>
      <w:r w:rsidRPr="001820D1">
        <w:t xml:space="preserve"> </w:t>
      </w:r>
      <w:r>
        <w:tab/>
      </w:r>
      <w:r w:rsidRPr="001820D1">
        <w:t>groundfish and invertebrate</w:t>
      </w:r>
      <w:r>
        <w:t xml:space="preserve"> </w:t>
      </w:r>
      <w:r w:rsidRPr="001820D1">
        <w:t xml:space="preserve">resources. U.S. Dep. </w:t>
      </w:r>
      <w:proofErr w:type="spellStart"/>
      <w:r w:rsidRPr="001820D1">
        <w:t>Commer</w:t>
      </w:r>
      <w:proofErr w:type="spellEnd"/>
      <w:r w:rsidRPr="001820D1">
        <w:t xml:space="preserve">., NOAA Tech. Memo. </w:t>
      </w:r>
      <w:r>
        <w:tab/>
        <w:t>NMFS-AFSC-141</w:t>
      </w:r>
      <w:r w:rsidRPr="001820D1">
        <w:t>,</w:t>
      </w:r>
      <w:r>
        <w:t xml:space="preserve"> 261</w:t>
      </w:r>
      <w:r w:rsidRPr="001820D1">
        <w:t xml:space="preserve"> p.</w:t>
      </w:r>
    </w:p>
    <w:p w:rsidR="00B32C36" w:rsidRDefault="00B32C36" w:rsidP="00B32C36">
      <w:pPr>
        <w:spacing w:after="0"/>
        <w:jc w:val="left"/>
      </w:pPr>
    </w:p>
    <w:p w:rsidR="00B32C36" w:rsidRDefault="00B32C36" w:rsidP="00B32C36">
      <w:pPr>
        <w:spacing w:after="0"/>
        <w:jc w:val="left"/>
      </w:pPr>
      <w:r>
        <w:t>Hoff, G.R., and L.L. Britt. 2005. Results of the 2004</w:t>
      </w:r>
      <w:r w:rsidRPr="001820D1">
        <w:t xml:space="preserve"> eastern Bering</w:t>
      </w:r>
      <w:r>
        <w:t xml:space="preserve"> </w:t>
      </w:r>
      <w:r w:rsidRPr="001820D1">
        <w:t xml:space="preserve">Sea upper continental slope </w:t>
      </w:r>
      <w:r>
        <w:tab/>
      </w:r>
      <w:r w:rsidRPr="001820D1">
        <w:t xml:space="preserve">survey of </w:t>
      </w:r>
      <w:proofErr w:type="spellStart"/>
      <w:r w:rsidRPr="001820D1">
        <w:t>groundfish</w:t>
      </w:r>
      <w:proofErr w:type="spellEnd"/>
      <w:r w:rsidRPr="001820D1">
        <w:t xml:space="preserve"> and invertebrate</w:t>
      </w:r>
      <w:r>
        <w:t xml:space="preserve"> </w:t>
      </w:r>
      <w:r w:rsidRPr="001820D1">
        <w:t xml:space="preserve">resources. U.S. Dep. </w:t>
      </w:r>
      <w:proofErr w:type="spellStart"/>
      <w:r w:rsidRPr="001820D1">
        <w:t>Commer</w:t>
      </w:r>
      <w:proofErr w:type="spellEnd"/>
      <w:r w:rsidRPr="001820D1">
        <w:t xml:space="preserve">., NOAA Tech. </w:t>
      </w:r>
      <w:r>
        <w:tab/>
        <w:t>Memo. NMFS-AFSC-156</w:t>
      </w:r>
      <w:r w:rsidRPr="001820D1">
        <w:t>,</w:t>
      </w:r>
      <w:r>
        <w:t xml:space="preserve"> 276</w:t>
      </w:r>
      <w:r w:rsidRPr="001820D1">
        <w:t xml:space="preserve"> p.</w:t>
      </w:r>
    </w:p>
    <w:p w:rsidR="00B32C36" w:rsidRDefault="00B32C36" w:rsidP="00CA3EC2">
      <w:pPr>
        <w:spacing w:after="0"/>
        <w:jc w:val="left"/>
      </w:pPr>
    </w:p>
    <w:p w:rsidR="00B32C36" w:rsidRDefault="00B32C36" w:rsidP="00CA3EC2">
      <w:pPr>
        <w:spacing w:after="0"/>
        <w:jc w:val="left"/>
      </w:pPr>
      <w:r>
        <w:t>Hoff, G.R., and L.</w:t>
      </w:r>
      <w:r w:rsidRPr="001820D1">
        <w:t>L. Britt. 2009. Results of the 2008 eastern Bering</w:t>
      </w:r>
      <w:r>
        <w:t xml:space="preserve"> </w:t>
      </w:r>
      <w:r w:rsidRPr="001820D1">
        <w:t xml:space="preserve">Sea upper continental slope </w:t>
      </w:r>
      <w:r>
        <w:tab/>
      </w:r>
      <w:r w:rsidRPr="001820D1">
        <w:t xml:space="preserve">survey of </w:t>
      </w:r>
      <w:proofErr w:type="spellStart"/>
      <w:r w:rsidRPr="001820D1">
        <w:t>groundfish</w:t>
      </w:r>
      <w:proofErr w:type="spellEnd"/>
      <w:r w:rsidRPr="001820D1">
        <w:t xml:space="preserve"> and invertebrate</w:t>
      </w:r>
      <w:r>
        <w:t xml:space="preserve"> </w:t>
      </w:r>
      <w:r w:rsidRPr="001820D1">
        <w:t xml:space="preserve">resources. U.S. Dep. </w:t>
      </w:r>
      <w:proofErr w:type="spellStart"/>
      <w:r w:rsidRPr="001820D1">
        <w:t>Commer</w:t>
      </w:r>
      <w:proofErr w:type="spellEnd"/>
      <w:r w:rsidRPr="001820D1">
        <w:t xml:space="preserve">., NOAA Tech. </w:t>
      </w:r>
      <w:r>
        <w:tab/>
      </w:r>
      <w:r w:rsidRPr="001820D1">
        <w:t>Memo. NMFS-AFSC-197,</w:t>
      </w:r>
      <w:r>
        <w:t xml:space="preserve"> </w:t>
      </w:r>
      <w:r w:rsidRPr="001820D1">
        <w:t>294 p.</w:t>
      </w:r>
    </w:p>
    <w:p w:rsidR="00B32C36" w:rsidRDefault="00B32C36" w:rsidP="00CA3EC2">
      <w:pPr>
        <w:spacing w:after="0"/>
        <w:jc w:val="left"/>
      </w:pPr>
    </w:p>
    <w:p w:rsidR="0032643F" w:rsidRDefault="007C5E1A" w:rsidP="00CA3EC2">
      <w:pPr>
        <w:spacing w:after="0"/>
        <w:jc w:val="left"/>
      </w:pPr>
      <w:r>
        <w:t>Hoff, G.R., and L.L. Britt. 2011. Results of the 2010 easter</w:t>
      </w:r>
      <w:r w:rsidR="00115AB5">
        <w:t>n</w:t>
      </w:r>
      <w:r>
        <w:t xml:space="preserve"> Bering Sea upper continental slope </w:t>
      </w:r>
      <w:r w:rsidR="00B9703A">
        <w:tab/>
      </w:r>
      <w:r>
        <w:t xml:space="preserve">survey of </w:t>
      </w:r>
      <w:proofErr w:type="spellStart"/>
      <w:r>
        <w:t>groundfish</w:t>
      </w:r>
      <w:proofErr w:type="spellEnd"/>
      <w:r>
        <w:t xml:space="preserve"> and invertebrate resources. U.S. Dep. </w:t>
      </w:r>
      <w:proofErr w:type="spellStart"/>
      <w:r>
        <w:t>Commer</w:t>
      </w:r>
      <w:proofErr w:type="spellEnd"/>
      <w:r>
        <w:t xml:space="preserve">., NOAA Tech. </w:t>
      </w:r>
      <w:r w:rsidR="00B9703A">
        <w:tab/>
      </w:r>
      <w:r>
        <w:t>Memo. NMFS-AFSC-224, 300 p.</w:t>
      </w:r>
    </w:p>
    <w:p w:rsidR="001820D1" w:rsidRDefault="001820D1" w:rsidP="00CA3EC2">
      <w:pPr>
        <w:spacing w:after="0"/>
        <w:jc w:val="left"/>
      </w:pPr>
    </w:p>
    <w:p w:rsidR="00CA3EC2" w:rsidRDefault="00A852DB" w:rsidP="00CA3EC2">
      <w:pPr>
        <w:spacing w:after="0"/>
        <w:jc w:val="left"/>
      </w:pPr>
      <w:r>
        <w:t xml:space="preserve">Otto,  </w:t>
      </w:r>
      <w:r w:rsidR="002379EC">
        <w:t>R.S.</w:t>
      </w:r>
      <w:r>
        <w:t xml:space="preserve"> , and  </w:t>
      </w:r>
      <w:r w:rsidR="002379EC">
        <w:t xml:space="preserve">P.A. </w:t>
      </w:r>
      <w:proofErr w:type="spellStart"/>
      <w:r>
        <w:t>Cummiskey</w:t>
      </w:r>
      <w:proofErr w:type="spellEnd"/>
      <w:r>
        <w:t>. 1985.</w:t>
      </w:r>
      <w:r w:rsidR="002379EC">
        <w:t xml:space="preserve"> Observations on the reproductive biology of golden </w:t>
      </w:r>
      <w:r w:rsidR="00B9703A">
        <w:tab/>
      </w:r>
      <w:r w:rsidR="002379EC">
        <w:t>king crab (</w:t>
      </w:r>
      <w:proofErr w:type="spellStart"/>
      <w:r w:rsidR="002379EC">
        <w:rPr>
          <w:i/>
        </w:rPr>
        <w:t>Lithodes</w:t>
      </w:r>
      <w:proofErr w:type="spellEnd"/>
      <w:r w:rsidR="002379EC">
        <w:rPr>
          <w:i/>
        </w:rPr>
        <w:t xml:space="preserve"> </w:t>
      </w:r>
      <w:proofErr w:type="spellStart"/>
      <w:r w:rsidR="002379EC">
        <w:rPr>
          <w:i/>
        </w:rPr>
        <w:t>aequispina</w:t>
      </w:r>
      <w:proofErr w:type="spellEnd"/>
      <w:r w:rsidR="002379EC">
        <w:t xml:space="preserve">) in the Bering Sea and Aleutian Islands. Pages 123–136 </w:t>
      </w:r>
      <w:r w:rsidR="00654063">
        <w:tab/>
        <w:t>[In]</w:t>
      </w:r>
      <w:r w:rsidR="002379EC">
        <w:t xml:space="preserve"> Proceedings of the International King Crab Symposium. University of Alaska Sea </w:t>
      </w:r>
      <w:r w:rsidR="00654063">
        <w:tab/>
      </w:r>
      <w:r w:rsidR="002379EC">
        <w:t>Grant Report No. 85-12, Fairbanks.</w:t>
      </w:r>
    </w:p>
    <w:p w:rsidR="001E5627" w:rsidRDefault="001E5627" w:rsidP="00CA3EC2">
      <w:pPr>
        <w:spacing w:after="0"/>
        <w:jc w:val="left"/>
      </w:pPr>
    </w:p>
    <w:p w:rsidR="00550DFE" w:rsidRDefault="001E5627" w:rsidP="00550DFE">
      <w:pPr>
        <w:spacing w:after="0"/>
        <w:jc w:val="left"/>
      </w:pPr>
      <w:r>
        <w:t xml:space="preserve">North Pacific Fishery Management Council (NPFMC). 2007. Public Review Draft: </w:t>
      </w:r>
      <w:r w:rsidR="00B9703A">
        <w:tab/>
      </w:r>
      <w:r w:rsidR="00654063">
        <w:t>Environmental a</w:t>
      </w:r>
      <w:r>
        <w:t>ssessmen</w:t>
      </w:r>
      <w:r w:rsidR="00654063">
        <w:t xml:space="preserve">t for proposed Amendment 24 to </w:t>
      </w:r>
      <w:r>
        <w:t xml:space="preserve">the Fishery Management </w:t>
      </w:r>
      <w:r w:rsidR="00B9703A">
        <w:tab/>
      </w:r>
      <w:r>
        <w:t>Plan for B</w:t>
      </w:r>
      <w:r w:rsidR="00654063">
        <w:t>ering Sea and Aleutian Islands king and Tanner crabs to revise o</w:t>
      </w:r>
      <w:r>
        <w:t xml:space="preserve">verfishing </w:t>
      </w:r>
      <w:r w:rsidR="00B9703A">
        <w:tab/>
      </w:r>
      <w:r w:rsidR="00654063">
        <w:t>d</w:t>
      </w:r>
      <w:r>
        <w:t>efinitions. 14 November 2007. North Pacific Fishery Management Council, Anchorage.</w:t>
      </w:r>
    </w:p>
    <w:p w:rsidR="00550DFE" w:rsidRDefault="00550DFE" w:rsidP="00550DFE">
      <w:pPr>
        <w:spacing w:after="0"/>
        <w:jc w:val="left"/>
      </w:pPr>
    </w:p>
    <w:p w:rsidR="00550DFE" w:rsidRDefault="00550DFE" w:rsidP="00550DFE">
      <w:pPr>
        <w:spacing w:after="0"/>
        <w:jc w:val="left"/>
      </w:pPr>
    </w:p>
    <w:p w:rsidR="007A799F" w:rsidRPr="00DC22EB" w:rsidRDefault="007A799F" w:rsidP="00DC22EB">
      <w:pPr>
        <w:spacing w:after="0"/>
      </w:pPr>
    </w:p>
    <w:p w:rsidR="00C6476A" w:rsidRDefault="00C6476A" w:rsidP="007A799F">
      <w:pPr>
        <w:spacing w:after="0"/>
        <w:rPr>
          <w:sz w:val="22"/>
          <w:szCs w:val="22"/>
        </w:rPr>
      </w:pPr>
    </w:p>
    <w:p w:rsidR="007A799F" w:rsidRDefault="007A799F" w:rsidP="00DC22EB">
      <w:pPr>
        <w:spacing w:after="0"/>
        <w:jc w:val="left"/>
        <w:rPr>
          <w:sz w:val="22"/>
          <w:szCs w:val="22"/>
        </w:rPr>
      </w:pPr>
    </w:p>
    <w:p w:rsidR="007A799F" w:rsidRDefault="007A799F" w:rsidP="007A799F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860E3" w:rsidRDefault="00CF0D9B" w:rsidP="00B32C36">
      <w:pPr>
        <w:spacing w:after="0"/>
        <w:ind w:right="333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Table 1</w:t>
      </w:r>
      <w:r w:rsidR="007A799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Author computed </w:t>
      </w:r>
      <w:r w:rsidR="007A799F">
        <w:rPr>
          <w:sz w:val="22"/>
          <w:szCs w:val="22"/>
        </w:rPr>
        <w:t xml:space="preserve">EBS slope-survey estimates </w:t>
      </w:r>
    </w:p>
    <w:p w:rsidR="00A860E3" w:rsidRDefault="00CF0D9B" w:rsidP="00B32C36">
      <w:pPr>
        <w:spacing w:after="0"/>
        <w:ind w:right="3330"/>
        <w:jc w:val="left"/>
        <w:rPr>
          <w:sz w:val="22"/>
          <w:szCs w:val="22"/>
        </w:rPr>
      </w:pPr>
      <w:r>
        <w:rPr>
          <w:sz w:val="22"/>
          <w:szCs w:val="22"/>
        </w:rPr>
        <w:t>(10</w:t>
      </w:r>
      <w:r w:rsidR="0090369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lb) </w:t>
      </w:r>
      <w:r w:rsidR="007A799F">
        <w:rPr>
          <w:sz w:val="22"/>
          <w:szCs w:val="22"/>
        </w:rPr>
        <w:t xml:space="preserve">of golden king crab </w:t>
      </w:r>
      <w:r>
        <w:rPr>
          <w:sz w:val="22"/>
          <w:szCs w:val="22"/>
        </w:rPr>
        <w:t xml:space="preserve">mature male biomass by </w:t>
      </w:r>
    </w:p>
    <w:p w:rsidR="00A860E3" w:rsidRDefault="00CF0D9B" w:rsidP="00B32C36">
      <w:pPr>
        <w:spacing w:after="0"/>
        <w:ind w:right="3330"/>
        <w:jc w:val="left"/>
        <w:rPr>
          <w:sz w:val="22"/>
          <w:szCs w:val="22"/>
        </w:rPr>
      </w:pPr>
      <w:r>
        <w:rPr>
          <w:sz w:val="22"/>
          <w:szCs w:val="22"/>
        </w:rPr>
        <w:t>survey subarea.</w:t>
      </w:r>
      <w:r w:rsidR="00A515B9">
        <w:rPr>
          <w:sz w:val="22"/>
          <w:szCs w:val="22"/>
        </w:rPr>
        <w:t xml:space="preserve"> </w:t>
      </w:r>
      <w:r w:rsidR="00524C4B">
        <w:rPr>
          <w:sz w:val="22"/>
          <w:szCs w:val="22"/>
        </w:rPr>
        <w:t xml:space="preserve">The author recommended estimate of </w:t>
      </w:r>
    </w:p>
    <w:p w:rsidR="00A860E3" w:rsidRDefault="00524C4B" w:rsidP="00B32C36">
      <w:pPr>
        <w:spacing w:after="0"/>
        <w:ind w:right="3330"/>
        <w:jc w:val="left"/>
        <w:rPr>
          <w:sz w:val="22"/>
          <w:szCs w:val="22"/>
        </w:rPr>
      </w:pPr>
      <w:r>
        <w:rPr>
          <w:sz w:val="22"/>
          <w:szCs w:val="22"/>
        </w:rPr>
        <w:t>PIGKC</w:t>
      </w:r>
      <w:r w:rsidR="00B32C36">
        <w:rPr>
          <w:sz w:val="22"/>
          <w:szCs w:val="22"/>
        </w:rPr>
        <w:t xml:space="preserve"> </w:t>
      </w:r>
      <w:r w:rsidR="00332C8B">
        <w:rPr>
          <w:sz w:val="22"/>
          <w:szCs w:val="22"/>
        </w:rPr>
        <w:t>MMB is 1.227</w:t>
      </w:r>
      <w:r>
        <w:rPr>
          <w:sz w:val="22"/>
          <w:szCs w:val="22"/>
        </w:rPr>
        <w:t xml:space="preserve"> × 10</w:t>
      </w:r>
      <w:r w:rsidR="00A860E3">
        <w:rPr>
          <w:sz w:val="22"/>
          <w:szCs w:val="22"/>
          <w:vertAlign w:val="superscript"/>
        </w:rPr>
        <w:t>6</w:t>
      </w:r>
      <w:r w:rsidR="00332C8B">
        <w:rPr>
          <w:sz w:val="22"/>
          <w:szCs w:val="22"/>
        </w:rPr>
        <w:t xml:space="preserve"> lb based on survey subareas 2</w:t>
      </w:r>
      <w:r>
        <w:rPr>
          <w:sz w:val="22"/>
          <w:szCs w:val="22"/>
        </w:rPr>
        <w:t xml:space="preserve"> </w:t>
      </w:r>
    </w:p>
    <w:p w:rsidR="00A860E3" w:rsidRDefault="00524C4B" w:rsidP="00B32C36">
      <w:pPr>
        <w:spacing w:after="0"/>
        <w:ind w:right="3330"/>
        <w:jc w:val="left"/>
        <w:rPr>
          <w:sz w:val="22"/>
          <w:szCs w:val="22"/>
        </w:rPr>
      </w:pPr>
      <w:r>
        <w:rPr>
          <w:sz w:val="22"/>
          <w:szCs w:val="22"/>
        </w:rPr>
        <w:t>through 5. Survey</w:t>
      </w:r>
      <w:r w:rsidR="00B32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data supplied by C. Armistead, </w:t>
      </w:r>
    </w:p>
    <w:p w:rsidR="00524C4B" w:rsidRPr="00524C4B" w:rsidRDefault="00524C4B" w:rsidP="00B32C36">
      <w:pPr>
        <w:spacing w:after="0"/>
        <w:ind w:right="3330"/>
        <w:jc w:val="left"/>
        <w:rPr>
          <w:sz w:val="22"/>
          <w:szCs w:val="22"/>
        </w:rPr>
      </w:pPr>
      <w:r>
        <w:rPr>
          <w:sz w:val="22"/>
          <w:szCs w:val="22"/>
        </w:rPr>
        <w:t>NMFS-AFSC Kodiak lab.</w:t>
      </w:r>
    </w:p>
    <w:tbl>
      <w:tblPr>
        <w:tblW w:w="0" w:type="auto"/>
        <w:tblInd w:w="95" w:type="dxa"/>
        <w:tblLook w:val="04A0"/>
      </w:tblPr>
      <w:tblGrid>
        <w:gridCol w:w="1191"/>
        <w:gridCol w:w="571"/>
        <w:gridCol w:w="672"/>
        <w:gridCol w:w="571"/>
        <w:gridCol w:w="571"/>
        <w:gridCol w:w="571"/>
        <w:gridCol w:w="571"/>
        <w:gridCol w:w="672"/>
      </w:tblGrid>
      <w:tr w:rsidR="00CF0D9B" w:rsidRPr="00AB3F26" w:rsidTr="00A564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9B" w:rsidRPr="00AB3F26" w:rsidRDefault="00CF0D9B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D9B" w:rsidRPr="00AB3F26" w:rsidRDefault="00CF0D9B" w:rsidP="00CF0D9B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</w:t>
            </w: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ubarea (south to north)</w:t>
            </w:r>
          </w:p>
        </w:tc>
      </w:tr>
      <w:tr w:rsidR="00AB3F26" w:rsidRPr="00AB3F26" w:rsidTr="00AB3F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F26" w:rsidRPr="00AB3F26" w:rsidRDefault="00E23A5C" w:rsidP="00AB3F26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  <w:r w:rsidR="00AB3F26"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-5</w:t>
            </w:r>
          </w:p>
        </w:tc>
      </w:tr>
      <w:tr w:rsidR="00AB3F26" w:rsidRPr="00AB3F26" w:rsidTr="00AB3F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903697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1,</w:t>
            </w:r>
            <w:r w:rsidR="00AB3F26"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F26" w:rsidRPr="00AB3F26" w:rsidRDefault="00903697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1,</w:t>
            </w:r>
            <w:r w:rsidR="00535A1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456</w:t>
            </w:r>
          </w:p>
        </w:tc>
      </w:tr>
      <w:tr w:rsidR="00AB3F26" w:rsidRPr="00AB3F26" w:rsidTr="00AB3F26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F26" w:rsidRPr="00AB3F26" w:rsidRDefault="00903697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1,</w:t>
            </w:r>
            <w:r w:rsidR="00535A1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266</w:t>
            </w:r>
            <w:r w:rsid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F26" w:rsidRPr="00AB3F26" w:rsidTr="00AB3F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F26" w:rsidRPr="00AB3F26" w:rsidRDefault="00535A17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960</w:t>
            </w:r>
            <w:r w:rsid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F26" w:rsidRPr="00AB3F26" w:rsidTr="00AB3F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AB3F26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Percent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F26" w:rsidRPr="00AB3F26" w:rsidRDefault="004E3E80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96%</w:t>
            </w:r>
          </w:p>
        </w:tc>
      </w:tr>
      <w:tr w:rsidR="00A860E3" w:rsidRPr="00AB3F26" w:rsidTr="003616E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681046" w:rsidP="003616E0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3-year </w:t>
            </w:r>
            <w:r w:rsidR="00A860E3"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Av</w:t>
            </w:r>
            <w:r w:rsidR="00A860E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B3F2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0E3" w:rsidRPr="00AB3F26" w:rsidRDefault="00A860E3" w:rsidP="003616E0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1,227 </w:t>
            </w:r>
          </w:p>
        </w:tc>
      </w:tr>
      <w:tr w:rsidR="008112B8" w:rsidRPr="00AB3F26" w:rsidTr="00AB3F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8112B8" w:rsidRDefault="008112B8" w:rsidP="00AB3F26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CV(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12B8" w:rsidRPr="00AB3F26" w:rsidRDefault="00332C8B" w:rsidP="00AB3F26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0.16</w:t>
            </w:r>
          </w:p>
        </w:tc>
      </w:tr>
    </w:tbl>
    <w:p w:rsidR="007A799F" w:rsidRPr="00CE3300" w:rsidRDefault="007A799F" w:rsidP="007A799F">
      <w:pPr>
        <w:spacing w:after="0"/>
        <w:jc w:val="left"/>
        <w:rPr>
          <w:sz w:val="22"/>
          <w:szCs w:val="22"/>
        </w:rPr>
      </w:pPr>
    </w:p>
    <w:p w:rsidR="00EC66AA" w:rsidRDefault="00EC66AA" w:rsidP="00DC22EB">
      <w:pPr>
        <w:spacing w:after="0"/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DE24DC" w:rsidRDefault="00DE24DC" w:rsidP="00DC22EB">
      <w:pPr>
        <w:spacing w:after="0"/>
        <w:rPr>
          <w:sz w:val="22"/>
          <w:szCs w:val="22"/>
        </w:rPr>
      </w:pPr>
    </w:p>
    <w:p w:rsidR="0005695A" w:rsidRPr="00A74B35" w:rsidRDefault="00A74B35" w:rsidP="00DC22EB">
      <w:pPr>
        <w:spacing w:after="0"/>
        <w:rPr>
          <w:sz w:val="22"/>
          <w:szCs w:val="22"/>
        </w:rPr>
      </w:pPr>
      <w:r>
        <w:rPr>
          <w:sz w:val="22"/>
          <w:szCs w:val="22"/>
        </w:rPr>
        <w:t>Table 2: Key quan</w:t>
      </w:r>
      <w:r w:rsidR="00B915DF">
        <w:rPr>
          <w:sz w:val="22"/>
          <w:szCs w:val="22"/>
        </w:rPr>
        <w:t xml:space="preserve">tities used in 2014 </w:t>
      </w:r>
      <w:r w:rsidR="00DE24DC">
        <w:rPr>
          <w:sz w:val="22"/>
          <w:szCs w:val="22"/>
        </w:rPr>
        <w:t xml:space="preserve">PIGKC </w:t>
      </w:r>
      <w:r w:rsidR="00B915DF">
        <w:rPr>
          <w:sz w:val="22"/>
          <w:szCs w:val="22"/>
        </w:rPr>
        <w:t>OFL computation.</w:t>
      </w:r>
    </w:p>
    <w:tbl>
      <w:tblPr>
        <w:tblStyle w:val="TableGrid"/>
        <w:tblW w:w="0" w:type="auto"/>
        <w:tblLook w:val="04A0"/>
      </w:tblPr>
      <w:tblGrid>
        <w:gridCol w:w="3162"/>
        <w:gridCol w:w="2013"/>
        <w:gridCol w:w="4202"/>
      </w:tblGrid>
      <w:tr w:rsidR="00B915DF" w:rsidRPr="001F5309" w:rsidTr="0005695A">
        <w:tc>
          <w:tcPr>
            <w:tcW w:w="0" w:type="auto"/>
          </w:tcPr>
          <w:p w:rsidR="002D2507" w:rsidRPr="001F5309" w:rsidRDefault="002D2507" w:rsidP="0005695A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695A" w:rsidRPr="001F5309" w:rsidRDefault="0005695A" w:rsidP="0005695A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F5309">
              <w:rPr>
                <w:rFonts w:asciiTheme="minorHAnsi" w:hAnsiTheme="minorHAnsi"/>
                <w:b/>
                <w:sz w:val="18"/>
                <w:szCs w:val="18"/>
              </w:rPr>
              <w:t>Estimate/Parameter</w:t>
            </w:r>
          </w:p>
        </w:tc>
        <w:tc>
          <w:tcPr>
            <w:tcW w:w="0" w:type="auto"/>
          </w:tcPr>
          <w:p w:rsidR="002D2507" w:rsidRPr="001F5309" w:rsidRDefault="002D2507" w:rsidP="0005695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695A" w:rsidRPr="001F5309" w:rsidRDefault="0005695A" w:rsidP="0005695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5309">
              <w:rPr>
                <w:rFonts w:asciiTheme="minorHAnsi" w:hAnsiTheme="minorHAnsi"/>
                <w:b/>
                <w:sz w:val="18"/>
                <w:szCs w:val="18"/>
              </w:rPr>
              <w:t>Value</w:t>
            </w:r>
          </w:p>
        </w:tc>
        <w:tc>
          <w:tcPr>
            <w:tcW w:w="0" w:type="auto"/>
          </w:tcPr>
          <w:p w:rsidR="002D2507" w:rsidRPr="001F5309" w:rsidRDefault="002D2507" w:rsidP="0005695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695A" w:rsidRPr="001F5309" w:rsidRDefault="0005695A" w:rsidP="0005695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5309">
              <w:rPr>
                <w:rFonts w:asciiTheme="minorHAnsi" w:hAnsiTheme="minorHAnsi"/>
                <w:b/>
                <w:sz w:val="18"/>
                <w:szCs w:val="18"/>
              </w:rPr>
              <w:t>Basis</w:t>
            </w:r>
          </w:p>
        </w:tc>
      </w:tr>
      <w:tr w:rsidR="00B915DF" w:rsidRPr="001F5309" w:rsidTr="00A74B35">
        <w:tc>
          <w:tcPr>
            <w:tcW w:w="0" w:type="auto"/>
            <w:tcBorders>
              <w:bottom w:val="single" w:sz="4" w:space="0" w:color="auto"/>
            </w:tcBorders>
          </w:tcPr>
          <w:p w:rsidR="00B915DF" w:rsidRPr="001F5309" w:rsidRDefault="00B915DF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B915DF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 MM</w:t>
            </w:r>
            <w:r w:rsidR="0005695A" w:rsidRPr="001F5309">
              <w:rPr>
                <w:rFonts w:asciiTheme="minorHAnsi" w:hAnsiTheme="minorHAnsi"/>
                <w:sz w:val="18"/>
                <w:szCs w:val="18"/>
              </w:rPr>
              <w:t xml:space="preserve"> CL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15DF" w:rsidRPr="001F5309" w:rsidRDefault="00B915DF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107 mm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5B9" w:rsidRDefault="00A515B9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05695A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Otto and </w:t>
            </w:r>
            <w:proofErr w:type="spellStart"/>
            <w:r w:rsidRPr="001F5309">
              <w:rPr>
                <w:rFonts w:asciiTheme="minorHAnsi" w:hAnsiTheme="minorHAnsi"/>
                <w:sz w:val="18"/>
                <w:szCs w:val="18"/>
              </w:rPr>
              <w:t>Commiskey</w:t>
            </w:r>
            <w:proofErr w:type="spellEnd"/>
            <w:r w:rsidRPr="001F5309">
              <w:rPr>
                <w:rFonts w:asciiTheme="minorHAnsi" w:hAnsiTheme="minorHAnsi"/>
                <w:sz w:val="18"/>
                <w:szCs w:val="18"/>
              </w:rPr>
              <w:t xml:space="preserve"> 1985</w:t>
            </w:r>
          </w:p>
        </w:tc>
      </w:tr>
      <w:tr w:rsidR="00B915DF" w:rsidRPr="001F5309" w:rsidTr="00A74B35">
        <w:tc>
          <w:tcPr>
            <w:tcW w:w="0" w:type="auto"/>
            <w:tcBorders>
              <w:top w:val="single" w:sz="4" w:space="0" w:color="auto"/>
            </w:tcBorders>
          </w:tcPr>
          <w:p w:rsidR="00120EB1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05695A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 stock MMB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20EB1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4E3E80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1,227,180</w:t>
            </w:r>
            <w:r w:rsidR="0005695A" w:rsidRPr="001F5309">
              <w:rPr>
                <w:rFonts w:asciiTheme="minorHAnsi" w:hAnsiTheme="minorHAnsi"/>
                <w:sz w:val="18"/>
                <w:szCs w:val="18"/>
              </w:rPr>
              <w:t xml:space="preserve"> lb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95A" w:rsidRPr="001F5309" w:rsidRDefault="0005695A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average estimate from 2008, 2010, 2012 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 xml:space="preserve">NMFS 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>EBS</w:t>
            </w:r>
          </w:p>
          <w:p w:rsidR="0005695A" w:rsidRPr="001F5309" w:rsidRDefault="0005695A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slo</w:t>
            </w:r>
            <w:r w:rsidR="004E3E80">
              <w:rPr>
                <w:rFonts w:asciiTheme="minorHAnsi" w:hAnsiTheme="minorHAnsi"/>
                <w:sz w:val="18"/>
                <w:szCs w:val="18"/>
              </w:rPr>
              <w:t>pe-survey results for subareas 2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>-5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Bering Sea king crab natural mortality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0.18 yr</w:t>
            </w:r>
            <w:r w:rsidRPr="001F5309">
              <w:rPr>
                <w:rFonts w:asciiTheme="minorHAnsi" w:hAnsiTheme="min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</w:tcPr>
          <w:p w:rsidR="0005695A" w:rsidRPr="001F5309" w:rsidRDefault="0005695A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NPFMC 2007</w:t>
            </w:r>
          </w:p>
        </w:tc>
      </w:tr>
      <w:tr w:rsidR="00B915DF" w:rsidRPr="001F5309" w:rsidTr="0005695A">
        <w:tc>
          <w:tcPr>
            <w:tcW w:w="0" w:type="auto"/>
          </w:tcPr>
          <w:p w:rsidR="00120EB1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directed fishery king crab </w:t>
            </w:r>
          </w:p>
          <w:p w:rsidR="00120EB1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handling mortality</w:t>
            </w:r>
          </w:p>
        </w:tc>
        <w:tc>
          <w:tcPr>
            <w:tcW w:w="0" w:type="auto"/>
          </w:tcPr>
          <w:p w:rsidR="00120EB1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0.2</w:t>
            </w:r>
          </w:p>
        </w:tc>
        <w:tc>
          <w:tcPr>
            <w:tcW w:w="0" w:type="auto"/>
          </w:tcPr>
          <w:p w:rsidR="0005695A" w:rsidRDefault="0005695A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6744E" w:rsidRPr="0086744E" w:rsidRDefault="0086744E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6744E">
              <w:rPr>
                <w:rFonts w:asciiTheme="minorHAnsi" w:hAnsiTheme="minorHAnsi"/>
                <w:sz w:val="18"/>
                <w:szCs w:val="18"/>
              </w:rPr>
              <w:t xml:space="preserve">draft May 2013 PIGKC SAFE </w:t>
            </w:r>
            <w:proofErr w:type="spellStart"/>
            <w:r w:rsidRPr="0086744E">
              <w:rPr>
                <w:rFonts w:asciiTheme="minorHAnsi" w:hAnsiTheme="minorHAnsi"/>
                <w:sz w:val="18"/>
                <w:szCs w:val="18"/>
              </w:rPr>
              <w:t>chapt</w:t>
            </w:r>
            <w:proofErr w:type="spellEnd"/>
            <w:r w:rsidRPr="0086744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king crab handling mortality in other</w:t>
            </w:r>
          </w:p>
          <w:p w:rsidR="00120EB1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fixed-gear fisheries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20EB1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05695A" w:rsidRDefault="0005695A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6744E" w:rsidRPr="001F5309" w:rsidRDefault="0086744E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6744E">
              <w:rPr>
                <w:rFonts w:asciiTheme="minorHAnsi" w:hAnsiTheme="minorHAnsi"/>
                <w:sz w:val="18"/>
                <w:szCs w:val="18"/>
              </w:rPr>
              <w:t xml:space="preserve">draft May 2013 PIGKC SAFE </w:t>
            </w:r>
            <w:proofErr w:type="spellStart"/>
            <w:r w:rsidRPr="0086744E">
              <w:rPr>
                <w:rFonts w:asciiTheme="minorHAnsi" w:hAnsiTheme="minorHAnsi"/>
                <w:sz w:val="18"/>
                <w:szCs w:val="18"/>
              </w:rPr>
              <w:t>chapt</w:t>
            </w:r>
            <w:proofErr w:type="spellEnd"/>
            <w:r w:rsidRPr="0086744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king crab handling mortality in trawl</w:t>
            </w:r>
          </w:p>
          <w:p w:rsidR="00120EB1" w:rsidRPr="001F5309" w:rsidRDefault="00120EB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fisheries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20EB1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0.8</w:t>
            </w:r>
          </w:p>
        </w:tc>
        <w:tc>
          <w:tcPr>
            <w:tcW w:w="0" w:type="auto"/>
          </w:tcPr>
          <w:p w:rsidR="0086744E" w:rsidRDefault="0086744E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6744E" w:rsidRPr="001F5309" w:rsidRDefault="0086744E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6744E">
              <w:rPr>
                <w:rFonts w:asciiTheme="minorHAnsi" w:hAnsiTheme="minorHAnsi"/>
                <w:sz w:val="18"/>
                <w:szCs w:val="18"/>
              </w:rPr>
              <w:t xml:space="preserve">draft May 2013 PIGKC SAFE </w:t>
            </w:r>
            <w:proofErr w:type="spellStart"/>
            <w:r w:rsidRPr="0086744E">
              <w:rPr>
                <w:rFonts w:asciiTheme="minorHAnsi" w:hAnsiTheme="minorHAnsi"/>
                <w:sz w:val="18"/>
                <w:szCs w:val="18"/>
              </w:rPr>
              <w:t>chapt</w:t>
            </w:r>
            <w:proofErr w:type="spellEnd"/>
            <w:r w:rsidRPr="0086744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16731" w:rsidRPr="001F5309" w:rsidTr="0005695A">
        <w:tc>
          <w:tcPr>
            <w:tcW w:w="0" w:type="auto"/>
          </w:tcPr>
          <w:p w:rsidR="00516731" w:rsidRDefault="0051673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516731" w:rsidRPr="001F5309" w:rsidRDefault="00516731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male GKC size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>-to-weight power model</w:t>
            </w:r>
          </w:p>
        </w:tc>
        <w:tc>
          <w:tcPr>
            <w:tcW w:w="0" w:type="auto"/>
          </w:tcPr>
          <w:p w:rsidR="00516731" w:rsidRDefault="00516731" w:rsidP="0051673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 millimeters -&gt; grams</w:t>
            </w:r>
          </w:p>
          <w:p w:rsidR="00516731" w:rsidRPr="001F5309" w:rsidRDefault="00516731" w:rsidP="0051673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α=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>0.000298</w:t>
            </w:r>
            <w:r>
              <w:rPr>
                <w:rFonts w:asciiTheme="minorHAnsi" w:hAnsiTheme="minorHAnsi"/>
                <w:sz w:val="18"/>
                <w:szCs w:val="18"/>
              </w:rPr>
              <w:t>, β=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>3.135</w:t>
            </w:r>
          </w:p>
        </w:tc>
        <w:tc>
          <w:tcPr>
            <w:tcW w:w="0" w:type="auto"/>
          </w:tcPr>
          <w:p w:rsidR="00516731" w:rsidRDefault="0051673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516731" w:rsidRDefault="0051673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NPFMC 2007</w:t>
            </w:r>
          </w:p>
        </w:tc>
      </w:tr>
      <w:tr w:rsidR="00516731" w:rsidRPr="001F5309" w:rsidTr="0005695A">
        <w:tc>
          <w:tcPr>
            <w:tcW w:w="0" w:type="auto"/>
          </w:tcPr>
          <w:p w:rsidR="00516731" w:rsidRDefault="00516731" w:rsidP="00516731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516731" w:rsidRPr="001F5309" w:rsidRDefault="00516731" w:rsidP="00516731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female GKC size-to-weight power model</w:t>
            </w:r>
          </w:p>
        </w:tc>
        <w:tc>
          <w:tcPr>
            <w:tcW w:w="0" w:type="auto"/>
          </w:tcPr>
          <w:p w:rsidR="00516731" w:rsidRDefault="00516731" w:rsidP="0051673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 millimeters -&gt; grams</w:t>
            </w:r>
          </w:p>
          <w:p w:rsidR="00516731" w:rsidRPr="001F5309" w:rsidRDefault="00516731" w:rsidP="0051673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α=0.001424, β=2.781</w:t>
            </w:r>
          </w:p>
        </w:tc>
        <w:tc>
          <w:tcPr>
            <w:tcW w:w="0" w:type="auto"/>
          </w:tcPr>
          <w:p w:rsidR="00516731" w:rsidRDefault="0051673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516731" w:rsidRDefault="0051673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NPFMC 2007</w:t>
            </w:r>
          </w:p>
        </w:tc>
      </w:tr>
      <w:tr w:rsidR="00516731" w:rsidRPr="001F5309" w:rsidTr="0005695A">
        <w:tc>
          <w:tcPr>
            <w:tcW w:w="0" w:type="auto"/>
          </w:tcPr>
          <w:p w:rsidR="00516731" w:rsidRDefault="00516731" w:rsidP="00516731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male grooved Tanner crab</w:t>
            </w:r>
          </w:p>
          <w:p w:rsidR="00516731" w:rsidRPr="001F5309" w:rsidRDefault="00516731" w:rsidP="00516731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size-to-weight power model</w:t>
            </w:r>
          </w:p>
        </w:tc>
        <w:tc>
          <w:tcPr>
            <w:tcW w:w="0" w:type="auto"/>
          </w:tcPr>
          <w:p w:rsidR="00516731" w:rsidRDefault="00516731" w:rsidP="0051673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CW millimeters -&gt; grams</w:t>
            </w:r>
          </w:p>
          <w:p w:rsidR="00516731" w:rsidRPr="001F5309" w:rsidRDefault="00516731" w:rsidP="00516731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α=0.0001186, β=3.1892</w:t>
            </w:r>
          </w:p>
        </w:tc>
        <w:tc>
          <w:tcPr>
            <w:tcW w:w="0" w:type="auto"/>
          </w:tcPr>
          <w:p w:rsidR="00516731" w:rsidRDefault="0051673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516731" w:rsidRDefault="0051673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NPFMC 2007</w:t>
            </w:r>
          </w:p>
        </w:tc>
      </w:tr>
      <w:tr w:rsidR="00B915DF" w:rsidRPr="001F5309" w:rsidTr="0005695A">
        <w:tc>
          <w:tcPr>
            <w:tcW w:w="0" w:type="auto"/>
          </w:tcPr>
          <w:p w:rsidR="00196C9E" w:rsidRDefault="00196C9E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PIGKC MM</w:t>
            </w:r>
            <w:r w:rsidR="00120EB1" w:rsidRPr="001F53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and total </w:t>
            </w:r>
            <w:r w:rsidR="00120EB1" w:rsidRPr="001F5309">
              <w:rPr>
                <w:rFonts w:asciiTheme="minorHAnsi" w:hAnsiTheme="minorHAnsi"/>
                <w:sz w:val="18"/>
                <w:szCs w:val="18"/>
              </w:rPr>
              <w:t>discard mortality</w:t>
            </w:r>
            <w:r w:rsidR="00A74B35" w:rsidRPr="001F5309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</w:p>
          <w:p w:rsidR="00120EB1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Bering Sea</w:t>
            </w:r>
            <w:r w:rsidR="00196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6C9E">
              <w:rPr>
                <w:rFonts w:asciiTheme="minorHAnsi" w:hAnsiTheme="minorHAnsi"/>
                <w:sz w:val="18"/>
                <w:szCs w:val="18"/>
              </w:rPr>
              <w:t>groundfish</w:t>
            </w:r>
            <w:proofErr w:type="spellEnd"/>
            <w:r w:rsidR="00196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0EB1" w:rsidRPr="001F5309">
              <w:rPr>
                <w:rFonts w:asciiTheme="minorHAnsi" w:hAnsiTheme="minorHAnsi"/>
                <w:sz w:val="18"/>
                <w:szCs w:val="18"/>
              </w:rPr>
              <w:t>fisheries</w:t>
            </w:r>
          </w:p>
        </w:tc>
        <w:tc>
          <w:tcPr>
            <w:tcW w:w="0" w:type="auto"/>
          </w:tcPr>
          <w:p w:rsidR="00120EB1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10,826 lb</w:t>
            </w:r>
          </w:p>
        </w:tc>
        <w:tc>
          <w:tcPr>
            <w:tcW w:w="0" w:type="auto"/>
          </w:tcPr>
          <w:p w:rsidR="00B915DF" w:rsidRPr="001F5309" w:rsidRDefault="00120EB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10-year maximum estimate from draft 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 xml:space="preserve">2013 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>PIGKC</w:t>
            </w:r>
          </w:p>
          <w:p w:rsidR="0005695A" w:rsidRPr="001F5309" w:rsidRDefault="00120EB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SAFE chapter</w:t>
            </w:r>
          </w:p>
        </w:tc>
      </w:tr>
      <w:tr w:rsidR="00B915DF" w:rsidRPr="001F5309" w:rsidTr="0005695A">
        <w:tc>
          <w:tcPr>
            <w:tcW w:w="0" w:type="auto"/>
          </w:tcPr>
          <w:p w:rsidR="00196C9E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 MM</w:t>
            </w:r>
            <w:r w:rsidR="00120EB1" w:rsidRPr="001F53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6C9E">
              <w:rPr>
                <w:rFonts w:asciiTheme="minorHAnsi" w:hAnsiTheme="minorHAnsi"/>
                <w:sz w:val="18"/>
                <w:szCs w:val="18"/>
              </w:rPr>
              <w:t xml:space="preserve">and total </w:t>
            </w:r>
            <w:r w:rsidR="00120EB1" w:rsidRPr="001F5309">
              <w:rPr>
                <w:rFonts w:asciiTheme="minorHAnsi" w:hAnsiTheme="minorHAnsi"/>
                <w:sz w:val="18"/>
                <w:szCs w:val="18"/>
              </w:rPr>
              <w:t>discard mortality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</w:p>
          <w:p w:rsidR="00120EB1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Bering Sea</w:t>
            </w:r>
            <w:r w:rsidR="00196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0EB1" w:rsidRPr="001F5309">
              <w:rPr>
                <w:rFonts w:asciiTheme="minorHAnsi" w:hAnsiTheme="minorHAnsi"/>
                <w:sz w:val="18"/>
                <w:szCs w:val="18"/>
              </w:rPr>
              <w:t>snow crab fishery</w:t>
            </w:r>
          </w:p>
        </w:tc>
        <w:tc>
          <w:tcPr>
            <w:tcW w:w="0" w:type="auto"/>
          </w:tcPr>
          <w:p w:rsidR="00120EB1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695A" w:rsidRPr="001F5309" w:rsidRDefault="00120EB1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1,061 lb</w:t>
            </w:r>
          </w:p>
        </w:tc>
        <w:tc>
          <w:tcPr>
            <w:tcW w:w="0" w:type="auto"/>
          </w:tcPr>
          <w:p w:rsidR="00120EB1" w:rsidRPr="001F5309" w:rsidRDefault="00120EB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10-year maximum estimate from draft 2013 PIGKC</w:t>
            </w:r>
          </w:p>
          <w:p w:rsidR="0005695A" w:rsidRPr="001F5309" w:rsidRDefault="00120EB1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SAFE chapter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,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 xml:space="preserve"> author estimate for 2012/13 fishery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-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>MM-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discard/retained-catch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 xml:space="preserve"> in</w:t>
            </w:r>
          </w:p>
          <w:p w:rsidR="001F6423" w:rsidRPr="001F5309" w:rsidRDefault="001F6423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Bering Sea grooved Tanner fishery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F6423" w:rsidRPr="001F5309" w:rsidRDefault="001F6423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0.066</w:t>
            </w:r>
          </w:p>
        </w:tc>
        <w:tc>
          <w:tcPr>
            <w:tcW w:w="0" w:type="auto"/>
          </w:tcPr>
          <w:p w:rsidR="0005695A" w:rsidRPr="001F5309" w:rsidRDefault="001F6423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2003-2005 ADF&amp;G observer length-frequency data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B915DF" w:rsidRPr="001F5309" w:rsidRDefault="00B915DF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NMFS size-to-weight </w:t>
            </w:r>
            <w:r w:rsidR="00516731">
              <w:rPr>
                <w:rFonts w:asciiTheme="minorHAnsi" w:hAnsiTheme="minorHAnsi"/>
                <w:sz w:val="18"/>
                <w:szCs w:val="18"/>
              </w:rPr>
              <w:t>models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PIGKC-MM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-discard/retained-catch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 xml:space="preserve"> in</w:t>
            </w:r>
          </w:p>
          <w:p w:rsidR="001F6423" w:rsidRPr="001F5309" w:rsidRDefault="001F6423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 directed fishery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F6423" w:rsidRPr="001F5309" w:rsidRDefault="001F6423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0.129</w:t>
            </w:r>
          </w:p>
        </w:tc>
        <w:tc>
          <w:tcPr>
            <w:tcW w:w="0" w:type="auto"/>
          </w:tcPr>
          <w:p w:rsidR="001F6423" w:rsidRPr="001F5309" w:rsidRDefault="001F6423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2010-2012 ADF&amp;G observer length-frequency data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B915DF" w:rsidRPr="001F5309" w:rsidRDefault="00B915DF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NMFS size-to-weight </w:t>
            </w:r>
            <w:r w:rsidR="00516731">
              <w:rPr>
                <w:rFonts w:asciiTheme="minorHAnsi" w:hAnsiTheme="minorHAnsi"/>
                <w:sz w:val="18"/>
                <w:szCs w:val="18"/>
              </w:rPr>
              <w:t>models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PIGKC-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tota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 xml:space="preserve">l-discard/retained-catch in </w:t>
            </w:r>
          </w:p>
          <w:p w:rsidR="001F6423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PIGKC 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directed fishery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F6423" w:rsidRPr="001F5309" w:rsidRDefault="001F6423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0.212</w:t>
            </w:r>
          </w:p>
        </w:tc>
        <w:tc>
          <w:tcPr>
            <w:tcW w:w="0" w:type="auto"/>
          </w:tcPr>
          <w:p w:rsidR="001F6423" w:rsidRPr="001F5309" w:rsidRDefault="00A74B35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2010-2012 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 xml:space="preserve">ADF&amp;G observer </w:t>
            </w:r>
            <w:r w:rsidRPr="001F5309">
              <w:rPr>
                <w:rFonts w:asciiTheme="minorHAnsi" w:hAnsiTheme="minorHAnsi"/>
                <w:sz w:val="18"/>
                <w:szCs w:val="18"/>
              </w:rPr>
              <w:t xml:space="preserve">length-frequency </w:t>
            </w:r>
            <w:r w:rsidR="001F6423" w:rsidRPr="001F5309">
              <w:rPr>
                <w:rFonts w:asciiTheme="minorHAnsi" w:hAnsiTheme="minorHAnsi"/>
                <w:sz w:val="18"/>
                <w:szCs w:val="18"/>
              </w:rPr>
              <w:t>data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B915DF" w:rsidRPr="001F5309" w:rsidRDefault="00B915DF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NMFS size-to-weight equations</w:t>
            </w:r>
          </w:p>
        </w:tc>
      </w:tr>
      <w:tr w:rsidR="00B915DF" w:rsidRPr="001F5309" w:rsidTr="0005695A">
        <w:tc>
          <w:tcPr>
            <w:tcW w:w="0" w:type="auto"/>
          </w:tcPr>
          <w:p w:rsidR="0005695A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PIGKC-total-discard/retained-catch in</w:t>
            </w:r>
          </w:p>
          <w:p w:rsidR="00A74B35" w:rsidRPr="001F5309" w:rsidRDefault="00A74B35" w:rsidP="0005695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Bering Sea grooved Tanner fishery</w:t>
            </w:r>
          </w:p>
        </w:tc>
        <w:tc>
          <w:tcPr>
            <w:tcW w:w="0" w:type="auto"/>
          </w:tcPr>
          <w:p w:rsidR="0005695A" w:rsidRPr="001F5309" w:rsidRDefault="0005695A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A74B35" w:rsidRPr="001F5309" w:rsidRDefault="00A74B35" w:rsidP="0005695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0.079</w:t>
            </w:r>
          </w:p>
        </w:tc>
        <w:tc>
          <w:tcPr>
            <w:tcW w:w="0" w:type="auto"/>
          </w:tcPr>
          <w:p w:rsidR="00A74B35" w:rsidRPr="001F5309" w:rsidRDefault="00A74B35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>2003-2005 ADF&amp;G observer length-frequency data</w:t>
            </w:r>
            <w:r w:rsidR="00B915DF" w:rsidRPr="001F5309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B915DF" w:rsidRPr="001F5309" w:rsidRDefault="00B915DF" w:rsidP="00A74B35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5309">
              <w:rPr>
                <w:rFonts w:asciiTheme="minorHAnsi" w:hAnsiTheme="minorHAnsi"/>
                <w:sz w:val="18"/>
                <w:szCs w:val="18"/>
              </w:rPr>
              <w:t xml:space="preserve">NMFS size-to-weight </w:t>
            </w:r>
            <w:r w:rsidR="00516731">
              <w:rPr>
                <w:rFonts w:asciiTheme="minorHAnsi" w:hAnsiTheme="minorHAnsi"/>
                <w:sz w:val="18"/>
                <w:szCs w:val="18"/>
              </w:rPr>
              <w:t>models</w:t>
            </w:r>
          </w:p>
        </w:tc>
      </w:tr>
    </w:tbl>
    <w:p w:rsidR="00B915DF" w:rsidRDefault="00B915DF" w:rsidP="00DC22EB">
      <w:pPr>
        <w:spacing w:after="0"/>
      </w:pPr>
    </w:p>
    <w:p w:rsidR="00DE24DC" w:rsidRDefault="00DE24DC" w:rsidP="00B915DF">
      <w:pPr>
        <w:spacing w:after="0"/>
        <w:jc w:val="left"/>
        <w:rPr>
          <w:sz w:val="22"/>
          <w:szCs w:val="22"/>
        </w:rPr>
      </w:pPr>
    </w:p>
    <w:p w:rsidR="00B915DF" w:rsidRDefault="00B915DF" w:rsidP="00B915DF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Table 3: Steps in 2014 </w:t>
      </w:r>
      <w:r w:rsidR="00D8493B">
        <w:rPr>
          <w:sz w:val="22"/>
          <w:szCs w:val="22"/>
        </w:rPr>
        <w:t xml:space="preserve">PIGKC </w:t>
      </w:r>
      <w:r>
        <w:rPr>
          <w:sz w:val="22"/>
          <w:szCs w:val="22"/>
        </w:rPr>
        <w:t>OFL</w:t>
      </w:r>
      <w:r w:rsidR="00360029">
        <w:rPr>
          <w:sz w:val="22"/>
          <w:szCs w:val="22"/>
        </w:rPr>
        <w:t>/ABC</w:t>
      </w:r>
      <w:r>
        <w:rPr>
          <w:sz w:val="22"/>
          <w:szCs w:val="22"/>
        </w:rPr>
        <w:t xml:space="preserve"> computation.</w:t>
      </w:r>
    </w:p>
    <w:tbl>
      <w:tblPr>
        <w:tblStyle w:val="TableGrid"/>
        <w:tblW w:w="0" w:type="auto"/>
        <w:tblLook w:val="04A0"/>
      </w:tblPr>
      <w:tblGrid>
        <w:gridCol w:w="1588"/>
        <w:gridCol w:w="3737"/>
        <w:gridCol w:w="3224"/>
        <w:gridCol w:w="702"/>
      </w:tblGrid>
      <w:tr w:rsidR="00913142" w:rsidRPr="00DE24DC" w:rsidTr="00B915DF">
        <w:tc>
          <w:tcPr>
            <w:tcW w:w="0" w:type="auto"/>
          </w:tcPr>
          <w:p w:rsidR="00DE24DC" w:rsidRPr="00DE24DC" w:rsidRDefault="00DE24DC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15DF" w:rsidRPr="00DE24DC" w:rsidRDefault="00360029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BRP</w:t>
            </w:r>
          </w:p>
        </w:tc>
        <w:tc>
          <w:tcPr>
            <w:tcW w:w="0" w:type="auto"/>
          </w:tcPr>
          <w:p w:rsidR="002D2507" w:rsidRDefault="002D2507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15DF" w:rsidRPr="00DE24DC" w:rsidRDefault="00B915DF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E24DC">
              <w:rPr>
                <w:rFonts w:asciiTheme="minorHAnsi" w:hAnsi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0" w:type="auto"/>
          </w:tcPr>
          <w:p w:rsidR="002D2507" w:rsidRDefault="002D2507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15DF" w:rsidRPr="00DE24DC" w:rsidRDefault="00B915DF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E24DC">
              <w:rPr>
                <w:rFonts w:asciiTheme="minorHAnsi" w:hAnsiTheme="minorHAnsi"/>
                <w:b/>
                <w:sz w:val="18"/>
                <w:szCs w:val="18"/>
              </w:rPr>
              <w:t>Computation</w:t>
            </w:r>
          </w:p>
        </w:tc>
        <w:tc>
          <w:tcPr>
            <w:tcW w:w="0" w:type="auto"/>
          </w:tcPr>
          <w:p w:rsidR="002D2507" w:rsidRDefault="002D2507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15DF" w:rsidRPr="00DE24DC" w:rsidRDefault="00B915DF" w:rsidP="00B915DF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DE24DC">
              <w:rPr>
                <w:rFonts w:asciiTheme="minorHAnsi" w:hAnsiTheme="minorHAnsi"/>
                <w:b/>
                <w:sz w:val="18"/>
                <w:szCs w:val="18"/>
              </w:rPr>
              <w:t>Value</w:t>
            </w:r>
            <w:r w:rsidR="002D25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="00DE24DC" w:rsidRPr="00DE24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913142" w:rsidRPr="00DE24DC" w:rsidTr="00B915DF">
        <w:tc>
          <w:tcPr>
            <w:tcW w:w="0" w:type="auto"/>
          </w:tcPr>
          <w:p w:rsidR="00D8493B" w:rsidRP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DE24DC" w:rsidRDefault="000529F6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mature male</w:t>
            </w:r>
            <w:r w:rsidR="00360029">
              <w:rPr>
                <w:rFonts w:asciiTheme="minorHAnsi" w:hAnsiTheme="minorHAnsi"/>
                <w:sz w:val="18"/>
                <w:szCs w:val="18"/>
              </w:rPr>
              <w:t xml:space="preserve"> OFL</w:t>
            </w:r>
          </w:p>
        </w:tc>
        <w:tc>
          <w:tcPr>
            <w:tcW w:w="0" w:type="auto"/>
          </w:tcPr>
          <w:p w:rsidR="00D8493B" w:rsidRP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DE24DC" w:rsidRDefault="000529F6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 xml:space="preserve">natural mortality x </w:t>
            </w:r>
            <w:r w:rsidR="00B40B44">
              <w:rPr>
                <w:rFonts w:asciiTheme="minorHAnsi" w:hAnsiTheme="minorHAnsi"/>
                <w:sz w:val="18"/>
                <w:szCs w:val="18"/>
              </w:rPr>
              <w:t xml:space="preserve">estimated </w:t>
            </w:r>
            <w:r w:rsidRPr="00DE24DC">
              <w:rPr>
                <w:rFonts w:asciiTheme="minorHAnsi" w:hAnsiTheme="minorHAnsi"/>
                <w:sz w:val="18"/>
                <w:szCs w:val="18"/>
              </w:rPr>
              <w:t>MMB</w:t>
            </w:r>
          </w:p>
        </w:tc>
        <w:tc>
          <w:tcPr>
            <w:tcW w:w="0" w:type="auto"/>
          </w:tcPr>
          <w:p w:rsidR="00D8493B" w:rsidRP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DE24DC" w:rsidRDefault="00196C9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(0.18)(1,227,180</w:t>
            </w:r>
            <w:r w:rsidR="000529F6" w:rsidRPr="00DE24D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8493B" w:rsidRPr="00DE24DC" w:rsidRDefault="00D8493B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DE24DC" w:rsidRDefault="000529F6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2</w:t>
            </w:r>
            <w:r w:rsidR="00196C9E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913142" w:rsidRPr="00DE24DC" w:rsidTr="00B915DF">
        <w:tc>
          <w:tcPr>
            <w:tcW w:w="0" w:type="auto"/>
          </w:tcPr>
          <w:p w:rsidR="00B915DF" w:rsidRPr="00DE24DC" w:rsidRDefault="0083163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mature male</w:t>
            </w:r>
            <w:r w:rsidR="00360029">
              <w:rPr>
                <w:rFonts w:asciiTheme="minorHAnsi" w:hAnsiTheme="minorHAnsi"/>
                <w:sz w:val="18"/>
                <w:szCs w:val="18"/>
              </w:rPr>
              <w:t xml:space="preserve"> OFL</w:t>
            </w:r>
          </w:p>
          <w:p w:rsidR="0083163E" w:rsidRPr="00DE24DC" w:rsidRDefault="0083163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in directed fishery</w:t>
            </w:r>
          </w:p>
        </w:tc>
        <w:tc>
          <w:tcPr>
            <w:tcW w:w="0" w:type="auto"/>
          </w:tcPr>
          <w:p w:rsidR="00847961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MM OFL</w:t>
            </w:r>
            <w:r w:rsidR="00847961" w:rsidRPr="00DE24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24DC">
              <w:rPr>
                <w:rFonts w:asciiTheme="minorHAnsi" w:hAnsiTheme="minorHAnsi"/>
                <w:sz w:val="18"/>
                <w:szCs w:val="18"/>
              </w:rPr>
              <w:t xml:space="preserve">less MM </w:t>
            </w:r>
            <w:proofErr w:type="spellStart"/>
            <w:r w:rsidR="00DE24DC">
              <w:rPr>
                <w:rFonts w:asciiTheme="minorHAnsi" w:hAnsiTheme="minorHAnsi"/>
                <w:sz w:val="18"/>
                <w:szCs w:val="18"/>
              </w:rPr>
              <w:t>bycatch</w:t>
            </w:r>
            <w:proofErr w:type="spellEnd"/>
            <w:r w:rsidR="00DE24DC">
              <w:rPr>
                <w:rFonts w:asciiTheme="minorHAnsi" w:hAnsiTheme="minorHAnsi"/>
                <w:sz w:val="18"/>
                <w:szCs w:val="18"/>
              </w:rPr>
              <w:t xml:space="preserve"> discard mortality</w:t>
            </w:r>
          </w:p>
          <w:p w:rsidR="00DE24DC" w:rsidRPr="00DE24DC" w:rsidRDefault="00DE24DC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GF, snow crab, and GT crab fisheries</w:t>
            </w:r>
          </w:p>
        </w:tc>
        <w:tc>
          <w:tcPr>
            <w:tcW w:w="0" w:type="auto"/>
          </w:tcPr>
          <w:p w:rsidR="00847961" w:rsidRPr="00DE24DC" w:rsidRDefault="00847961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3163E" w:rsidRPr="00DE24DC" w:rsidRDefault="00196C9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220,892</w:t>
            </w:r>
            <w:r w:rsidR="0083163E" w:rsidRPr="00DE24DC">
              <w:rPr>
                <w:rFonts w:asciiTheme="minorHAnsi" w:hAnsiTheme="minorHAnsi"/>
                <w:sz w:val="18"/>
                <w:szCs w:val="18"/>
              </w:rPr>
              <w:t xml:space="preserve"> – 10,826 – 1,061 – 6,600</w:t>
            </w:r>
          </w:p>
        </w:tc>
        <w:tc>
          <w:tcPr>
            <w:tcW w:w="0" w:type="auto"/>
          </w:tcPr>
          <w:p w:rsidR="00B915DF" w:rsidRPr="00DE24DC" w:rsidRDefault="00B915DF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3163E" w:rsidRPr="00DE24DC" w:rsidRDefault="0083163E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2</w:t>
            </w:r>
            <w:r w:rsidR="00196C9E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</w:tr>
      <w:tr w:rsidR="00913142" w:rsidRPr="00DE24DC" w:rsidTr="00B915DF">
        <w:tc>
          <w:tcPr>
            <w:tcW w:w="0" w:type="auto"/>
          </w:tcPr>
          <w:p w:rsidR="00B915DF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retained catch</w:t>
            </w:r>
            <w:r w:rsidR="00360029">
              <w:rPr>
                <w:rFonts w:asciiTheme="minorHAnsi" w:hAnsiTheme="minorHAnsi"/>
                <w:sz w:val="18"/>
                <w:szCs w:val="18"/>
              </w:rPr>
              <w:t xml:space="preserve"> OFL</w:t>
            </w:r>
          </w:p>
          <w:p w:rsidR="00DE24DC" w:rsidRPr="00DE24DC" w:rsidRDefault="00DE24DC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directed fishery</w:t>
            </w:r>
          </w:p>
        </w:tc>
        <w:tc>
          <w:tcPr>
            <w:tcW w:w="0" w:type="auto"/>
          </w:tcPr>
          <w:p w:rsidR="00B915DF" w:rsidRPr="00DE24DC" w:rsidRDefault="00DE24DC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retained proportion </w:t>
            </w:r>
            <w:r w:rsidR="00D8493B" w:rsidRPr="00DE24DC">
              <w:rPr>
                <w:rFonts w:asciiTheme="minorHAnsi" w:hAnsiTheme="minorHAnsi"/>
                <w:sz w:val="18"/>
                <w:szCs w:val="18"/>
              </w:rPr>
              <w:t>of MM fishing mortality</w:t>
            </w:r>
          </w:p>
          <w:p w:rsidR="00D8493B" w:rsidRP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in directed fishery</w:t>
            </w:r>
          </w:p>
        </w:tc>
        <w:tc>
          <w:tcPr>
            <w:tcW w:w="0" w:type="auto"/>
          </w:tcPr>
          <w:p w:rsidR="00D8493B" w:rsidRP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DE24DC" w:rsidRDefault="00196C9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202,405</w:t>
            </w:r>
            <w:r w:rsidR="005167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93B" w:rsidRPr="00DE24DC">
              <w:rPr>
                <w:rFonts w:asciiTheme="minorHAnsi" w:hAnsiTheme="minorHAnsi"/>
                <w:sz w:val="18"/>
                <w:szCs w:val="18"/>
              </w:rPr>
              <w:t>/</w:t>
            </w:r>
            <w:r w:rsidR="005167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93B" w:rsidRPr="00DE24DC">
              <w:rPr>
                <w:rFonts w:asciiTheme="minorHAnsi" w:hAnsiTheme="minorHAnsi"/>
                <w:sz w:val="18"/>
                <w:szCs w:val="18"/>
              </w:rPr>
              <w:t>[</w:t>
            </w:r>
            <w:r w:rsidR="005167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93B" w:rsidRPr="00DE24DC">
              <w:rPr>
                <w:rFonts w:asciiTheme="minorHAnsi" w:hAnsiTheme="minorHAnsi"/>
                <w:sz w:val="18"/>
                <w:szCs w:val="18"/>
              </w:rPr>
              <w:t>1+(0.2)(0.129)</w:t>
            </w:r>
            <w:r w:rsidR="008674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93B" w:rsidRPr="00DE24DC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D8493B" w:rsidRPr="00DE24DC" w:rsidRDefault="00D8493B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C91026" w:rsidRDefault="00196C9E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197</w:t>
            </w:r>
            <w:r w:rsidR="00C91026">
              <w:rPr>
                <w:rFonts w:asciiTheme="minorHAnsi" w:hAnsiTheme="minorHAnsi"/>
                <w:sz w:val="18"/>
                <w:szCs w:val="18"/>
                <w:vertAlign w:val="superscript"/>
              </w:rPr>
              <w:t>b</w:t>
            </w:r>
          </w:p>
        </w:tc>
      </w:tr>
      <w:tr w:rsidR="00913142" w:rsidRPr="00DE24DC" w:rsidTr="00B915DF">
        <w:tc>
          <w:tcPr>
            <w:tcW w:w="0" w:type="auto"/>
          </w:tcPr>
          <w:p w:rsidR="00DE24DC" w:rsidRDefault="00DE24DC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B915DF" w:rsidRP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>total catch</w:t>
            </w:r>
            <w:r w:rsidR="00360029">
              <w:rPr>
                <w:rFonts w:asciiTheme="minorHAnsi" w:hAnsiTheme="minorHAnsi"/>
                <w:sz w:val="18"/>
                <w:szCs w:val="18"/>
              </w:rPr>
              <w:t xml:space="preserve"> OFL</w:t>
            </w:r>
          </w:p>
        </w:tc>
        <w:tc>
          <w:tcPr>
            <w:tcW w:w="0" w:type="auto"/>
          </w:tcPr>
          <w:p w:rsidR="00DE24DC" w:rsidRDefault="00D8493B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24DC">
              <w:rPr>
                <w:rFonts w:asciiTheme="minorHAnsi" w:hAnsiTheme="minorHAnsi"/>
                <w:sz w:val="18"/>
                <w:szCs w:val="18"/>
              </w:rPr>
              <w:t xml:space="preserve">retained catch OFL plus </w:t>
            </w:r>
            <w:r w:rsidRPr="00DE24DC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  <w:r w:rsidRPr="00DE24DC">
              <w:rPr>
                <w:rFonts w:asciiTheme="minorHAnsi" w:hAnsiTheme="minorHAnsi"/>
                <w:sz w:val="18"/>
                <w:szCs w:val="18"/>
              </w:rPr>
              <w:t xml:space="preserve"> discard</w:t>
            </w:r>
            <w:r w:rsidR="00DE24DC">
              <w:rPr>
                <w:rFonts w:asciiTheme="minorHAnsi" w:hAnsiTheme="minorHAnsi"/>
                <w:sz w:val="18"/>
                <w:szCs w:val="18"/>
              </w:rPr>
              <w:t xml:space="preserve"> mortality </w:t>
            </w:r>
          </w:p>
          <w:p w:rsidR="00D8493B" w:rsidRPr="00DE24DC" w:rsidRDefault="00DE24DC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="00D8493B" w:rsidRPr="00DE24DC">
              <w:rPr>
                <w:rFonts w:asciiTheme="minorHAnsi" w:hAnsiTheme="minorHAnsi"/>
                <w:sz w:val="18"/>
                <w:szCs w:val="18"/>
              </w:rPr>
              <w:t xml:space="preserve">directed, </w:t>
            </w:r>
            <w:r>
              <w:rPr>
                <w:rFonts w:asciiTheme="minorHAnsi" w:hAnsiTheme="minorHAnsi"/>
                <w:sz w:val="18"/>
                <w:szCs w:val="18"/>
              </w:rPr>
              <w:t>GF, snow crab, and GT crab fisheries</w:t>
            </w:r>
          </w:p>
        </w:tc>
        <w:tc>
          <w:tcPr>
            <w:tcW w:w="0" w:type="auto"/>
          </w:tcPr>
          <w:p w:rsidR="00913142" w:rsidRDefault="00DE24DC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E24DC" w:rsidRPr="00DE24DC" w:rsidRDefault="00196C9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197,314</w:t>
            </w:r>
            <w:r w:rsidR="009131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/>
                <w:sz w:val="18"/>
                <w:szCs w:val="18"/>
              </w:rPr>
              <w:t>+ 8,366</w:t>
            </w:r>
            <w:r w:rsidR="00DE24DC">
              <w:rPr>
                <w:rFonts w:asciiTheme="minorHAnsi" w:hAnsiTheme="minorHAnsi"/>
                <w:sz w:val="18"/>
                <w:szCs w:val="18"/>
              </w:rPr>
              <w:t xml:space="preserve"> + 1</w:t>
            </w:r>
            <w:r w:rsidR="00913142">
              <w:rPr>
                <w:rFonts w:asciiTheme="minorHAnsi" w:hAnsiTheme="minorHAnsi"/>
                <w:sz w:val="18"/>
                <w:szCs w:val="18"/>
              </w:rPr>
              <w:t>0,826</w:t>
            </w:r>
            <w:r w:rsidR="00DE24DC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13142">
              <w:rPr>
                <w:rFonts w:asciiTheme="minorHAnsi" w:hAnsiTheme="minorHAnsi"/>
                <w:sz w:val="18"/>
                <w:szCs w:val="18"/>
              </w:rPr>
              <w:t xml:space="preserve">1,061 + </w:t>
            </w:r>
            <w:r w:rsidR="00DE24DC">
              <w:rPr>
                <w:rFonts w:asciiTheme="minorHAnsi" w:hAnsiTheme="minorHAnsi"/>
                <w:sz w:val="18"/>
                <w:szCs w:val="18"/>
              </w:rPr>
              <w:t>7,900</w:t>
            </w:r>
          </w:p>
        </w:tc>
        <w:tc>
          <w:tcPr>
            <w:tcW w:w="0" w:type="auto"/>
          </w:tcPr>
          <w:p w:rsidR="00B915DF" w:rsidRDefault="00B915DF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DE24DC" w:rsidRPr="00C91026" w:rsidRDefault="00DE24DC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4E3E80">
              <w:rPr>
                <w:rFonts w:asciiTheme="minorHAnsi" w:hAnsiTheme="minorHAnsi"/>
                <w:sz w:val="18"/>
                <w:szCs w:val="18"/>
              </w:rPr>
              <w:t>25</w:t>
            </w:r>
            <w:r w:rsidR="00DC57B7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</w:p>
        </w:tc>
      </w:tr>
      <w:tr w:rsidR="0086744E" w:rsidRPr="00DE24DC" w:rsidTr="00B915DF">
        <w:tc>
          <w:tcPr>
            <w:tcW w:w="0" w:type="auto"/>
          </w:tcPr>
          <w:p w:rsidR="0086744E" w:rsidRDefault="0086744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ABC (total catch)</w:t>
            </w:r>
          </w:p>
        </w:tc>
        <w:tc>
          <w:tcPr>
            <w:tcW w:w="0" w:type="auto"/>
          </w:tcPr>
          <w:p w:rsidR="0086744E" w:rsidRPr="00DE24DC" w:rsidRDefault="0086744E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 catch OFL with 10% buffer</w:t>
            </w:r>
          </w:p>
        </w:tc>
        <w:tc>
          <w:tcPr>
            <w:tcW w:w="0" w:type="auto"/>
          </w:tcPr>
          <w:p w:rsidR="0086744E" w:rsidRDefault="004E3E80" w:rsidP="00B915DF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 – 0.1)(225,467</w:t>
            </w:r>
            <w:r w:rsidR="008674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6744E" w:rsidRPr="00C91026" w:rsidRDefault="004E3E80" w:rsidP="00DE24DC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203</w:t>
            </w:r>
            <w:r w:rsidR="00DC57B7">
              <w:rPr>
                <w:rFonts w:asciiTheme="minorHAnsi" w:hAnsiTheme="minorHAnsi"/>
                <w:sz w:val="18"/>
                <w:szCs w:val="18"/>
                <w:vertAlign w:val="superscript"/>
              </w:rPr>
              <w:t>d</w:t>
            </w:r>
          </w:p>
        </w:tc>
      </w:tr>
    </w:tbl>
    <w:p w:rsidR="00C91026" w:rsidRDefault="002D2507" w:rsidP="00B915DF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 xml:space="preserve"> 10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lb to three significant digits.</w:t>
      </w:r>
    </w:p>
    <w:p w:rsidR="00DC57B7" w:rsidRPr="00DC57B7" w:rsidRDefault="00DC57B7" w:rsidP="00B915DF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 xml:space="preserve"> 126 if only subarea 2 (Pribilof Canyon) is used for stock biomass estimation.</w:t>
      </w:r>
    </w:p>
    <w:p w:rsidR="00C91026" w:rsidRDefault="00DC57B7" w:rsidP="00B915DF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c</w:t>
      </w:r>
      <w:r w:rsidR="00C91026">
        <w:rPr>
          <w:sz w:val="18"/>
          <w:szCs w:val="18"/>
        </w:rPr>
        <w:t xml:space="preserve"> 154 if only subarea 2 (Pribilof Canyon) is used for stock biomass estimation.</w:t>
      </w:r>
    </w:p>
    <w:p w:rsidR="00E02923" w:rsidRDefault="00DC57B7" w:rsidP="00B915DF">
      <w:pPr>
        <w:spacing w:after="0"/>
        <w:jc w:val="left"/>
      </w:pPr>
      <w:r>
        <w:rPr>
          <w:sz w:val="18"/>
          <w:szCs w:val="18"/>
          <w:vertAlign w:val="superscript"/>
        </w:rPr>
        <w:t>d</w:t>
      </w:r>
      <w:r w:rsidR="00C91026">
        <w:rPr>
          <w:sz w:val="18"/>
          <w:szCs w:val="18"/>
        </w:rPr>
        <w:t xml:space="preserve"> 138 if only subarea 2 (Pribilof Canyon) is used for stock biomass estimation.</w:t>
      </w:r>
      <w:r w:rsidR="00550DFE">
        <w:br w:type="page"/>
      </w:r>
      <w:r w:rsidR="003E600E">
        <w:rPr>
          <w:noProof/>
        </w:rPr>
        <w:lastRenderedPageBreak/>
        <w:drawing>
          <wp:inline distT="0" distB="0" distL="0" distR="0">
            <wp:extent cx="5943600" cy="4080739"/>
            <wp:effectExtent l="19050" t="0" r="0" b="0"/>
            <wp:docPr id="6" name="Picture 2" descr="C:\Documents and Settings\wbgaeuman\Local Settings\Temporary Internet Files\Content.Word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bgaeuman\Local Settings\Temporary Internet Files\Content.Word\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E5" w:rsidRDefault="00C036E5" w:rsidP="00DC22EB">
      <w:pPr>
        <w:spacing w:after="0"/>
      </w:pPr>
    </w:p>
    <w:p w:rsidR="003E600E" w:rsidRDefault="00C036E5" w:rsidP="003E600E">
      <w:pPr>
        <w:spacing w:after="0"/>
        <w:ind w:right="-450"/>
        <w:jc w:val="left"/>
        <w:rPr>
          <w:sz w:val="22"/>
          <w:szCs w:val="22"/>
        </w:rPr>
      </w:pPr>
      <w:r w:rsidRPr="00C036E5">
        <w:rPr>
          <w:sz w:val="22"/>
          <w:szCs w:val="22"/>
        </w:rPr>
        <w:t xml:space="preserve">Figure 1. </w:t>
      </w:r>
      <w:r w:rsidRPr="00C036E5">
        <w:rPr>
          <w:rStyle w:val="CaptiontitleChar"/>
          <w:rFonts w:eastAsia="Calibri"/>
          <w:szCs w:val="22"/>
        </w:rPr>
        <w:t xml:space="preserve">King crab Registration Area Q (Bering Sea), showing borders of the Pribilof District </w:t>
      </w:r>
      <w:r w:rsidRPr="00C036E5">
        <w:rPr>
          <w:sz w:val="22"/>
          <w:szCs w:val="22"/>
        </w:rPr>
        <w:t xml:space="preserve"> (from Figure</w:t>
      </w:r>
    </w:p>
    <w:p w:rsidR="00C036E5" w:rsidRPr="00C036E5" w:rsidRDefault="003E600E" w:rsidP="003E600E">
      <w:pPr>
        <w:spacing w:after="0"/>
        <w:ind w:right="-450"/>
        <w:jc w:val="left"/>
        <w:rPr>
          <w:sz w:val="22"/>
          <w:szCs w:val="22"/>
        </w:rPr>
        <w:sectPr w:rsidR="00C036E5" w:rsidRPr="00C036E5" w:rsidSect="008773F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2-4 </w:t>
      </w:r>
      <w:r w:rsidR="00C036E5" w:rsidRPr="00C036E5">
        <w:rPr>
          <w:i/>
          <w:sz w:val="22"/>
          <w:szCs w:val="22"/>
        </w:rPr>
        <w:t>in</w:t>
      </w:r>
      <w:r w:rsidR="00C036E5" w:rsidRPr="00C036E5">
        <w:rPr>
          <w:sz w:val="22"/>
          <w:szCs w:val="22"/>
        </w:rPr>
        <w:t xml:space="preserve"> </w:t>
      </w:r>
      <w:r>
        <w:rPr>
          <w:sz w:val="22"/>
          <w:szCs w:val="22"/>
        </w:rPr>
        <w:t>Fitch</w:t>
      </w:r>
      <w:r w:rsidR="00C036E5" w:rsidRPr="00C036E5">
        <w:rPr>
          <w:sz w:val="22"/>
          <w:szCs w:val="22"/>
        </w:rPr>
        <w:t xml:space="preserve"> et al. 20</w:t>
      </w:r>
      <w:r w:rsidR="00780AE4">
        <w:rPr>
          <w:sz w:val="22"/>
          <w:szCs w:val="22"/>
        </w:rPr>
        <w:t>12</w:t>
      </w:r>
      <w:r w:rsidR="00C036E5" w:rsidRPr="00C036E5">
        <w:rPr>
          <w:sz w:val="22"/>
          <w:szCs w:val="22"/>
        </w:rPr>
        <w:t>).</w:t>
      </w:r>
    </w:p>
    <w:p w:rsidR="00CE3300" w:rsidRDefault="00FD2FB7" w:rsidP="00FD2FB7">
      <w:pPr>
        <w:spacing w:after="0"/>
        <w:ind w:right="990"/>
        <w:rPr>
          <w:sz w:val="22"/>
          <w:szCs w:val="22"/>
        </w:rPr>
      </w:pPr>
      <w:r w:rsidRPr="00FD2FB7">
        <w:rPr>
          <w:noProof/>
          <w:sz w:val="22"/>
          <w:szCs w:val="22"/>
        </w:rPr>
        <w:lastRenderedPageBreak/>
        <w:drawing>
          <wp:inline distT="0" distB="0" distL="0" distR="0">
            <wp:extent cx="5724525" cy="6825615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B7" w:rsidRDefault="00FD2FB7" w:rsidP="00CE3300">
      <w:pPr>
        <w:spacing w:after="0"/>
        <w:rPr>
          <w:sz w:val="22"/>
          <w:szCs w:val="22"/>
        </w:rPr>
      </w:pPr>
    </w:p>
    <w:p w:rsidR="00FD2FB7" w:rsidRDefault="00C036E5" w:rsidP="00FD2FB7">
      <w:pPr>
        <w:spacing w:after="0"/>
        <w:ind w:right="1260"/>
        <w:rPr>
          <w:sz w:val="22"/>
          <w:szCs w:val="22"/>
        </w:rPr>
      </w:pPr>
      <w:r>
        <w:rPr>
          <w:sz w:val="22"/>
          <w:szCs w:val="22"/>
        </w:rPr>
        <w:t>Figure 2</w:t>
      </w:r>
      <w:r w:rsidR="00FD2FB7" w:rsidRPr="00FD2FB7">
        <w:rPr>
          <w:sz w:val="22"/>
          <w:szCs w:val="22"/>
        </w:rPr>
        <w:t>. Map of st</w:t>
      </w:r>
      <w:r w:rsidR="00FD2FB7">
        <w:rPr>
          <w:sz w:val="22"/>
          <w:szCs w:val="22"/>
        </w:rPr>
        <w:t>andard survey area for NMFS</w:t>
      </w:r>
      <w:r w:rsidR="00FD2FB7" w:rsidRPr="00FD2FB7">
        <w:rPr>
          <w:sz w:val="22"/>
          <w:szCs w:val="22"/>
        </w:rPr>
        <w:t xml:space="preserve"> eastern Bering Sea upper continental slope trawl survey with survey subareas identified; black dots show locations of successful tows during the 2010 survey (from Figure 1 </w:t>
      </w:r>
      <w:r w:rsidR="00FD2FB7" w:rsidRPr="00FD2FB7">
        <w:rPr>
          <w:i/>
          <w:sz w:val="22"/>
          <w:szCs w:val="22"/>
        </w:rPr>
        <w:t>in</w:t>
      </w:r>
      <w:r w:rsidR="00FD2FB7" w:rsidRPr="00FD2FB7">
        <w:rPr>
          <w:sz w:val="22"/>
          <w:szCs w:val="22"/>
        </w:rPr>
        <w:t xml:space="preserve"> Hoff and Britt 2011).</w:t>
      </w:r>
    </w:p>
    <w:p w:rsidR="001D7E94" w:rsidRDefault="001D7E94" w:rsidP="00FD2FB7">
      <w:pPr>
        <w:spacing w:after="0"/>
        <w:ind w:right="1260"/>
        <w:rPr>
          <w:sz w:val="22"/>
          <w:szCs w:val="22"/>
        </w:rPr>
      </w:pPr>
    </w:p>
    <w:p w:rsidR="001D7E94" w:rsidRDefault="001D7E94" w:rsidP="00FD2FB7">
      <w:pPr>
        <w:spacing w:after="0"/>
        <w:ind w:right="1260"/>
        <w:rPr>
          <w:sz w:val="22"/>
          <w:szCs w:val="22"/>
        </w:rPr>
      </w:pPr>
    </w:p>
    <w:p w:rsidR="001D7E94" w:rsidRDefault="001D7E94" w:rsidP="00FD2FB7">
      <w:pPr>
        <w:spacing w:after="0"/>
        <w:ind w:right="1260"/>
        <w:rPr>
          <w:sz w:val="22"/>
          <w:szCs w:val="22"/>
        </w:rPr>
      </w:pPr>
    </w:p>
    <w:p w:rsidR="001D7E94" w:rsidRDefault="001D7E94" w:rsidP="00FD2FB7">
      <w:pPr>
        <w:spacing w:after="0"/>
        <w:ind w:right="1260"/>
        <w:rPr>
          <w:sz w:val="22"/>
          <w:szCs w:val="22"/>
        </w:rPr>
      </w:pPr>
    </w:p>
    <w:p w:rsidR="001D7E94" w:rsidRDefault="00D75E92" w:rsidP="00FD2FB7">
      <w:pPr>
        <w:spacing w:after="0"/>
        <w:ind w:right="1260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184140" cy="3792855"/>
            <wp:effectExtent l="19050" t="0" r="0" b="0"/>
            <wp:docPr id="8" name="Picture 5" descr="C:\Documents and Settings\wbgaeuman\Local Settings\Temporary Internet Files\Content.Word\pribpi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bgaeuman\Local Settings\Temporary Internet Files\Content.Word\pribpic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92" w:rsidRDefault="00D75E92" w:rsidP="00FD2FB7">
      <w:pPr>
        <w:spacing w:after="0"/>
        <w:ind w:right="1260"/>
        <w:rPr>
          <w:sz w:val="22"/>
          <w:szCs w:val="22"/>
        </w:rPr>
      </w:pPr>
    </w:p>
    <w:p w:rsidR="00D75E92" w:rsidRDefault="001D7E94" w:rsidP="001D7E94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Figure 3. GKC mature male catch distribution in subareas 1-5 of the 2008 EBS continental </w:t>
      </w:r>
    </w:p>
    <w:p w:rsidR="001D7E94" w:rsidRDefault="001D7E94" w:rsidP="001D7E94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slope survey.</w:t>
      </w:r>
      <w:r w:rsidR="00D75E92">
        <w:rPr>
          <w:sz w:val="22"/>
          <w:szCs w:val="22"/>
        </w:rPr>
        <w:t xml:space="preserve"> Nonzero catches are proportional to symbol areas. The maximum catch was</w:t>
      </w: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48 GKC.</w:t>
      </w: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1D7E94" w:rsidRDefault="00D75E92" w:rsidP="001D7E94">
      <w:pPr>
        <w:spacing w:after="0"/>
        <w:ind w:right="126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231765" cy="3792855"/>
            <wp:effectExtent l="19050" t="0" r="6985" b="0"/>
            <wp:docPr id="2" name="Picture 1" descr="C:\Documents and Settings\wbgaeuman\Desktop\pribpi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bgaeuman\Desktop\pribpic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D75E92" w:rsidRDefault="001D7E94" w:rsidP="001D7E94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Figure 4. GKC mature male catch distribu</w:t>
      </w:r>
      <w:r w:rsidR="00502D0F">
        <w:rPr>
          <w:sz w:val="22"/>
          <w:szCs w:val="22"/>
        </w:rPr>
        <w:t>tion in subareas 1-5 of the 2010</w:t>
      </w:r>
      <w:r>
        <w:rPr>
          <w:sz w:val="22"/>
          <w:szCs w:val="22"/>
        </w:rPr>
        <w:t xml:space="preserve"> EBS continental </w:t>
      </w:r>
    </w:p>
    <w:p w:rsidR="00D75E92" w:rsidRDefault="001D7E94" w:rsidP="00D75E92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slope survey.</w:t>
      </w:r>
      <w:r w:rsidR="00D75E92">
        <w:rPr>
          <w:sz w:val="22"/>
          <w:szCs w:val="22"/>
        </w:rPr>
        <w:t xml:space="preserve"> Nonzero catches are proportional to symbol areas. The maximum catch was</w:t>
      </w:r>
    </w:p>
    <w:p w:rsidR="001D7E94" w:rsidRDefault="00D75E92" w:rsidP="00D75E92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21 GKC.</w:t>
      </w: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1D7E94" w:rsidRDefault="00D75E92" w:rsidP="001D7E94">
      <w:pPr>
        <w:spacing w:after="0"/>
        <w:ind w:right="1260"/>
        <w:jc w:val="lef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184140" cy="3792855"/>
            <wp:effectExtent l="19050" t="0" r="0" b="0"/>
            <wp:docPr id="3" name="Picture 2" descr="C:\Documents and Settings\wbgaeuman\Local Settings\Temporary Internet Files\Content.Word\pribpi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bgaeuman\Local Settings\Temporary Internet Files\Content.Word\pribpic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92" w:rsidRDefault="00D75E92" w:rsidP="001D7E94">
      <w:pPr>
        <w:spacing w:after="0"/>
        <w:ind w:right="1260"/>
        <w:jc w:val="left"/>
        <w:rPr>
          <w:sz w:val="22"/>
          <w:szCs w:val="22"/>
        </w:rPr>
      </w:pPr>
    </w:p>
    <w:p w:rsidR="00D75E92" w:rsidRDefault="001D7E94" w:rsidP="001D7E94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Figure 5. GKC mature male catch distribu</w:t>
      </w:r>
      <w:r w:rsidR="00502D0F">
        <w:rPr>
          <w:sz w:val="22"/>
          <w:szCs w:val="22"/>
        </w:rPr>
        <w:t>tion in subareas 1-5 of the 2012</w:t>
      </w:r>
      <w:r>
        <w:rPr>
          <w:sz w:val="22"/>
          <w:szCs w:val="22"/>
        </w:rPr>
        <w:t xml:space="preserve"> EBS continental </w:t>
      </w:r>
    </w:p>
    <w:p w:rsidR="00D75E92" w:rsidRDefault="001D7E94" w:rsidP="00D75E92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slope survey.</w:t>
      </w:r>
      <w:r w:rsidR="00D75E92">
        <w:rPr>
          <w:sz w:val="22"/>
          <w:szCs w:val="22"/>
        </w:rPr>
        <w:t xml:space="preserve"> Nonzero catches are proportional to symbol areas. The maximum catch was</w:t>
      </w:r>
    </w:p>
    <w:p w:rsidR="001D7E94" w:rsidRDefault="00D75E92" w:rsidP="00D75E92">
      <w:pPr>
        <w:spacing w:after="0"/>
        <w:ind w:right="1260"/>
        <w:jc w:val="left"/>
        <w:rPr>
          <w:sz w:val="22"/>
          <w:szCs w:val="22"/>
        </w:rPr>
      </w:pPr>
      <w:r>
        <w:rPr>
          <w:sz w:val="22"/>
          <w:szCs w:val="22"/>
        </w:rPr>
        <w:t>20 GKC.</w:t>
      </w:r>
    </w:p>
    <w:p w:rsidR="000D44AC" w:rsidRPr="000D44AC" w:rsidRDefault="000D44AC" w:rsidP="0071765F">
      <w:pPr>
        <w:spacing w:after="0"/>
        <w:jc w:val="left"/>
        <w:rPr>
          <w:sz w:val="22"/>
          <w:szCs w:val="22"/>
        </w:rPr>
      </w:pPr>
    </w:p>
    <w:sectPr w:rsidR="000D44AC" w:rsidRPr="000D44AC" w:rsidSect="0031464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26" w:rsidRDefault="00C91026" w:rsidP="00611532">
      <w:pPr>
        <w:spacing w:after="0"/>
      </w:pPr>
      <w:r>
        <w:separator/>
      </w:r>
    </w:p>
  </w:endnote>
  <w:endnote w:type="continuationSeparator" w:id="0">
    <w:p w:rsidR="00C91026" w:rsidRDefault="00C91026" w:rsidP="006115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3626"/>
      <w:docPartObj>
        <w:docPartGallery w:val="Page Numbers (Bottom of Page)"/>
        <w:docPartUnique/>
      </w:docPartObj>
    </w:sdtPr>
    <w:sdtContent>
      <w:p w:rsidR="00C91026" w:rsidRDefault="00C91026">
        <w:pPr>
          <w:pStyle w:val="Footer"/>
          <w:jc w:val="center"/>
        </w:pPr>
        <w:fldSimple w:instr=" PAGE   \* MERGEFORMAT ">
          <w:r w:rsidR="00D57971">
            <w:rPr>
              <w:noProof/>
            </w:rPr>
            <w:t>1</w:t>
          </w:r>
        </w:fldSimple>
      </w:p>
    </w:sdtContent>
  </w:sdt>
  <w:p w:rsidR="00C91026" w:rsidRDefault="00C91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26" w:rsidRDefault="00C91026" w:rsidP="00611532">
      <w:pPr>
        <w:spacing w:after="0"/>
      </w:pPr>
      <w:r>
        <w:separator/>
      </w:r>
    </w:p>
  </w:footnote>
  <w:footnote w:type="continuationSeparator" w:id="0">
    <w:p w:rsidR="00C91026" w:rsidRDefault="00C91026" w:rsidP="00611532">
      <w:pPr>
        <w:spacing w:after="0"/>
      </w:pPr>
      <w:r>
        <w:continuationSeparator/>
      </w:r>
    </w:p>
  </w:footnote>
  <w:footnote w:id="1">
    <w:p w:rsidR="00C91026" w:rsidRPr="00391E4B" w:rsidRDefault="00C91026" w:rsidP="001F71CF">
      <w:pPr>
        <w:pStyle w:val="FootnoteText"/>
        <w:jc w:val="left"/>
      </w:pPr>
      <w:r w:rsidRPr="00391E4B">
        <w:rPr>
          <w:rStyle w:val="FootnoteReference"/>
        </w:rPr>
        <w:footnoteRef/>
      </w:r>
      <w:r w:rsidRPr="00391E4B">
        <w:t xml:space="preserve"> Report of the Scientific and Statistical Committee to the North Pacific Fishery Management Council, June 3-5, 2013, p. 10.</w:t>
      </w:r>
    </w:p>
  </w:footnote>
  <w:footnote w:id="2">
    <w:p w:rsidR="00C91026" w:rsidRDefault="00C91026" w:rsidP="001F71CF">
      <w:pPr>
        <w:pStyle w:val="FootnoteText"/>
        <w:jc w:val="left"/>
      </w:pPr>
      <w:r w:rsidRPr="00391E4B">
        <w:rPr>
          <w:rStyle w:val="FootnoteReference"/>
        </w:rPr>
        <w:footnoteRef/>
      </w:r>
      <w:r w:rsidRPr="00391E4B">
        <w:t xml:space="preserve"> A site was considered </w:t>
      </w:r>
      <w:proofErr w:type="spellStart"/>
      <w:r w:rsidRPr="00391E4B">
        <w:t>trawlable</w:t>
      </w:r>
      <w:proofErr w:type="spellEnd"/>
      <w:r w:rsidRPr="00391E4B">
        <w:t xml:space="preserve"> “when the depth changed less than 50 m over the 2-nmi transect and there were no detectable obstacles in the trawl path.” (Hoff and Britt 2011, p.4)</w:t>
      </w:r>
    </w:p>
  </w:footnote>
  <w:footnote w:id="3">
    <w:p w:rsidR="00C91026" w:rsidRDefault="00C91026">
      <w:pPr>
        <w:pStyle w:val="FootnoteText"/>
      </w:pPr>
      <w:r>
        <w:rPr>
          <w:rStyle w:val="FootnoteReference"/>
        </w:rPr>
        <w:footnoteRef/>
      </w:r>
      <w:r>
        <w:t xml:space="preserve"> D. </w:t>
      </w:r>
      <w:proofErr w:type="spellStart"/>
      <w:r>
        <w:t>Sommerton</w:t>
      </w:r>
      <w:proofErr w:type="spellEnd"/>
      <w:r>
        <w:t>, 2 May 2013 email exchange with C. Rose, M. Dorn, and J. Hoff as summarized in May 2013 CPT report.</w:t>
      </w:r>
    </w:p>
  </w:footnote>
  <w:footnote w:id="4">
    <w:p w:rsidR="00C91026" w:rsidRDefault="00C91026">
      <w:pPr>
        <w:pStyle w:val="FootnoteText"/>
      </w:pPr>
      <w:r>
        <w:rPr>
          <w:rStyle w:val="FootnoteReference"/>
        </w:rPr>
        <w:footnoteRef/>
      </w:r>
      <w:r>
        <w:t xml:space="preserve"> C. Armistead, NMFS-AFSC Kodiak Laboratory, 18 Mar 2013 email.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9AC"/>
    <w:multiLevelType w:val="hybridMultilevel"/>
    <w:tmpl w:val="609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E67"/>
    <w:multiLevelType w:val="hybridMultilevel"/>
    <w:tmpl w:val="76D68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DFE4CCE"/>
    <w:multiLevelType w:val="hybridMultilevel"/>
    <w:tmpl w:val="900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19B5"/>
    <w:multiLevelType w:val="hybridMultilevel"/>
    <w:tmpl w:val="B74A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B5A"/>
    <w:multiLevelType w:val="hybridMultilevel"/>
    <w:tmpl w:val="CA2E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54CD6"/>
    <w:multiLevelType w:val="hybridMultilevel"/>
    <w:tmpl w:val="F412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43F"/>
    <w:rsid w:val="00003C8A"/>
    <w:rsid w:val="000068DB"/>
    <w:rsid w:val="0001492A"/>
    <w:rsid w:val="00014BEA"/>
    <w:rsid w:val="000232B9"/>
    <w:rsid w:val="00024956"/>
    <w:rsid w:val="00031809"/>
    <w:rsid w:val="00032C08"/>
    <w:rsid w:val="000369A3"/>
    <w:rsid w:val="00044CA2"/>
    <w:rsid w:val="00047CA6"/>
    <w:rsid w:val="00050DFF"/>
    <w:rsid w:val="000529F6"/>
    <w:rsid w:val="00053BC7"/>
    <w:rsid w:val="0005695A"/>
    <w:rsid w:val="00064EC2"/>
    <w:rsid w:val="000670B8"/>
    <w:rsid w:val="00067BC9"/>
    <w:rsid w:val="000705AC"/>
    <w:rsid w:val="00072704"/>
    <w:rsid w:val="000757DE"/>
    <w:rsid w:val="00077B56"/>
    <w:rsid w:val="000808E6"/>
    <w:rsid w:val="00081780"/>
    <w:rsid w:val="00081C64"/>
    <w:rsid w:val="0008526B"/>
    <w:rsid w:val="00086A31"/>
    <w:rsid w:val="0009147C"/>
    <w:rsid w:val="00093464"/>
    <w:rsid w:val="000A4C49"/>
    <w:rsid w:val="000B320E"/>
    <w:rsid w:val="000B42DD"/>
    <w:rsid w:val="000C3613"/>
    <w:rsid w:val="000D44AC"/>
    <w:rsid w:val="000D5C7C"/>
    <w:rsid w:val="000F2C06"/>
    <w:rsid w:val="000F3AEE"/>
    <w:rsid w:val="00103C56"/>
    <w:rsid w:val="0010506F"/>
    <w:rsid w:val="001130DA"/>
    <w:rsid w:val="00115AB5"/>
    <w:rsid w:val="001166C7"/>
    <w:rsid w:val="00120EB1"/>
    <w:rsid w:val="00125099"/>
    <w:rsid w:val="00126E97"/>
    <w:rsid w:val="0015193B"/>
    <w:rsid w:val="00154116"/>
    <w:rsid w:val="0015513B"/>
    <w:rsid w:val="00155B63"/>
    <w:rsid w:val="00160911"/>
    <w:rsid w:val="0016424C"/>
    <w:rsid w:val="00166030"/>
    <w:rsid w:val="00166C15"/>
    <w:rsid w:val="001716A6"/>
    <w:rsid w:val="00174E85"/>
    <w:rsid w:val="001778EC"/>
    <w:rsid w:val="001820D1"/>
    <w:rsid w:val="00182CCB"/>
    <w:rsid w:val="00186EA2"/>
    <w:rsid w:val="001916EC"/>
    <w:rsid w:val="00192606"/>
    <w:rsid w:val="0019277C"/>
    <w:rsid w:val="00192FB7"/>
    <w:rsid w:val="001932B7"/>
    <w:rsid w:val="0019392B"/>
    <w:rsid w:val="00196C9E"/>
    <w:rsid w:val="001A714B"/>
    <w:rsid w:val="001A79B7"/>
    <w:rsid w:val="001B164C"/>
    <w:rsid w:val="001B5D68"/>
    <w:rsid w:val="001C5896"/>
    <w:rsid w:val="001D667D"/>
    <w:rsid w:val="001D7250"/>
    <w:rsid w:val="001D7E94"/>
    <w:rsid w:val="001E078A"/>
    <w:rsid w:val="001E1CA1"/>
    <w:rsid w:val="001E5627"/>
    <w:rsid w:val="001E7AA5"/>
    <w:rsid w:val="001F5309"/>
    <w:rsid w:val="001F6423"/>
    <w:rsid w:val="001F71CF"/>
    <w:rsid w:val="00203D00"/>
    <w:rsid w:val="00210216"/>
    <w:rsid w:val="00222AA3"/>
    <w:rsid w:val="00232CE5"/>
    <w:rsid w:val="00232E54"/>
    <w:rsid w:val="002346D6"/>
    <w:rsid w:val="0023554E"/>
    <w:rsid w:val="002379EC"/>
    <w:rsid w:val="0024137C"/>
    <w:rsid w:val="002415A6"/>
    <w:rsid w:val="002437EC"/>
    <w:rsid w:val="00244BE8"/>
    <w:rsid w:val="00255469"/>
    <w:rsid w:val="00272BB6"/>
    <w:rsid w:val="0028788C"/>
    <w:rsid w:val="00291515"/>
    <w:rsid w:val="00294EA3"/>
    <w:rsid w:val="00295CE3"/>
    <w:rsid w:val="002A114E"/>
    <w:rsid w:val="002B23FE"/>
    <w:rsid w:val="002B7B9F"/>
    <w:rsid w:val="002C0FCE"/>
    <w:rsid w:val="002C34E1"/>
    <w:rsid w:val="002C3F3D"/>
    <w:rsid w:val="002C5655"/>
    <w:rsid w:val="002C595C"/>
    <w:rsid w:val="002D223C"/>
    <w:rsid w:val="002D2507"/>
    <w:rsid w:val="002D5203"/>
    <w:rsid w:val="002D5DA5"/>
    <w:rsid w:val="002E1BD3"/>
    <w:rsid w:val="002E4C9D"/>
    <w:rsid w:val="002F2D27"/>
    <w:rsid w:val="002F7CE9"/>
    <w:rsid w:val="00300888"/>
    <w:rsid w:val="00302477"/>
    <w:rsid w:val="003135CD"/>
    <w:rsid w:val="0031464F"/>
    <w:rsid w:val="0032285B"/>
    <w:rsid w:val="00323E5E"/>
    <w:rsid w:val="003253E1"/>
    <w:rsid w:val="00325D5B"/>
    <w:rsid w:val="0032643F"/>
    <w:rsid w:val="003312A0"/>
    <w:rsid w:val="00331366"/>
    <w:rsid w:val="00332C8B"/>
    <w:rsid w:val="00340C22"/>
    <w:rsid w:val="0034273C"/>
    <w:rsid w:val="003471AE"/>
    <w:rsid w:val="00351559"/>
    <w:rsid w:val="00355F03"/>
    <w:rsid w:val="00360029"/>
    <w:rsid w:val="003616E0"/>
    <w:rsid w:val="0036666B"/>
    <w:rsid w:val="003703FE"/>
    <w:rsid w:val="0037484A"/>
    <w:rsid w:val="00374DC4"/>
    <w:rsid w:val="00381F0E"/>
    <w:rsid w:val="00383BCE"/>
    <w:rsid w:val="00391E4B"/>
    <w:rsid w:val="003924E8"/>
    <w:rsid w:val="003A0DFB"/>
    <w:rsid w:val="003A162C"/>
    <w:rsid w:val="003A414F"/>
    <w:rsid w:val="003B1853"/>
    <w:rsid w:val="003B7CBD"/>
    <w:rsid w:val="003C22D7"/>
    <w:rsid w:val="003C2DCD"/>
    <w:rsid w:val="003C5259"/>
    <w:rsid w:val="003C5FA2"/>
    <w:rsid w:val="003D19CB"/>
    <w:rsid w:val="003D338F"/>
    <w:rsid w:val="003D33E0"/>
    <w:rsid w:val="003D673F"/>
    <w:rsid w:val="003D7CDB"/>
    <w:rsid w:val="003E2D35"/>
    <w:rsid w:val="003E5DE9"/>
    <w:rsid w:val="003E600E"/>
    <w:rsid w:val="003F2489"/>
    <w:rsid w:val="003F2E2A"/>
    <w:rsid w:val="00400EB7"/>
    <w:rsid w:val="00404887"/>
    <w:rsid w:val="004079B2"/>
    <w:rsid w:val="00407ACF"/>
    <w:rsid w:val="00410950"/>
    <w:rsid w:val="004267D9"/>
    <w:rsid w:val="004338F7"/>
    <w:rsid w:val="00436463"/>
    <w:rsid w:val="004402D5"/>
    <w:rsid w:val="00440AC9"/>
    <w:rsid w:val="00442608"/>
    <w:rsid w:val="004460FF"/>
    <w:rsid w:val="00447945"/>
    <w:rsid w:val="00450F32"/>
    <w:rsid w:val="0046451F"/>
    <w:rsid w:val="004673AF"/>
    <w:rsid w:val="00467732"/>
    <w:rsid w:val="00472E3B"/>
    <w:rsid w:val="00480447"/>
    <w:rsid w:val="00482B14"/>
    <w:rsid w:val="00494BA3"/>
    <w:rsid w:val="00497E24"/>
    <w:rsid w:val="004A12BA"/>
    <w:rsid w:val="004A2124"/>
    <w:rsid w:val="004A7B6E"/>
    <w:rsid w:val="004B21EF"/>
    <w:rsid w:val="004B48A5"/>
    <w:rsid w:val="004B6CC6"/>
    <w:rsid w:val="004B6D2B"/>
    <w:rsid w:val="004C28AC"/>
    <w:rsid w:val="004C42CD"/>
    <w:rsid w:val="004D03DD"/>
    <w:rsid w:val="004D2E07"/>
    <w:rsid w:val="004D62C2"/>
    <w:rsid w:val="004E3E80"/>
    <w:rsid w:val="004E447E"/>
    <w:rsid w:val="004E5E9E"/>
    <w:rsid w:val="00502D0F"/>
    <w:rsid w:val="00507FE0"/>
    <w:rsid w:val="005108CD"/>
    <w:rsid w:val="0051420F"/>
    <w:rsid w:val="00515393"/>
    <w:rsid w:val="00516731"/>
    <w:rsid w:val="0052405D"/>
    <w:rsid w:val="00524C4B"/>
    <w:rsid w:val="005328B2"/>
    <w:rsid w:val="00535A17"/>
    <w:rsid w:val="00537873"/>
    <w:rsid w:val="00543A51"/>
    <w:rsid w:val="00550DFE"/>
    <w:rsid w:val="005531D3"/>
    <w:rsid w:val="00555A8C"/>
    <w:rsid w:val="005626B9"/>
    <w:rsid w:val="005751B5"/>
    <w:rsid w:val="005769DE"/>
    <w:rsid w:val="0057775E"/>
    <w:rsid w:val="00580641"/>
    <w:rsid w:val="00584BFD"/>
    <w:rsid w:val="00587BCC"/>
    <w:rsid w:val="00590692"/>
    <w:rsid w:val="00596F49"/>
    <w:rsid w:val="005A0270"/>
    <w:rsid w:val="005A32A9"/>
    <w:rsid w:val="005A3E17"/>
    <w:rsid w:val="005B1D20"/>
    <w:rsid w:val="005B21C0"/>
    <w:rsid w:val="005B69CD"/>
    <w:rsid w:val="005D09F9"/>
    <w:rsid w:val="005D182A"/>
    <w:rsid w:val="005D2321"/>
    <w:rsid w:val="005D6D0D"/>
    <w:rsid w:val="005E539D"/>
    <w:rsid w:val="005F02CF"/>
    <w:rsid w:val="005F07AF"/>
    <w:rsid w:val="005F094A"/>
    <w:rsid w:val="005F58E4"/>
    <w:rsid w:val="00600010"/>
    <w:rsid w:val="0060317D"/>
    <w:rsid w:val="00611532"/>
    <w:rsid w:val="006153FC"/>
    <w:rsid w:val="00622B6D"/>
    <w:rsid w:val="00623317"/>
    <w:rsid w:val="0062753B"/>
    <w:rsid w:val="00627C03"/>
    <w:rsid w:val="006340F7"/>
    <w:rsid w:val="00636EE4"/>
    <w:rsid w:val="00640752"/>
    <w:rsid w:val="00642509"/>
    <w:rsid w:val="00644919"/>
    <w:rsid w:val="006513AD"/>
    <w:rsid w:val="00654063"/>
    <w:rsid w:val="0065520A"/>
    <w:rsid w:val="00663044"/>
    <w:rsid w:val="006675B2"/>
    <w:rsid w:val="006727A7"/>
    <w:rsid w:val="006728CD"/>
    <w:rsid w:val="00681046"/>
    <w:rsid w:val="0068345F"/>
    <w:rsid w:val="006872F8"/>
    <w:rsid w:val="00696312"/>
    <w:rsid w:val="006A1471"/>
    <w:rsid w:val="006A2E8D"/>
    <w:rsid w:val="006A44F3"/>
    <w:rsid w:val="006A5AE5"/>
    <w:rsid w:val="006C2023"/>
    <w:rsid w:val="006C5F6D"/>
    <w:rsid w:val="006D03BB"/>
    <w:rsid w:val="006D1EC2"/>
    <w:rsid w:val="006D4945"/>
    <w:rsid w:val="006D7358"/>
    <w:rsid w:val="006D76E0"/>
    <w:rsid w:val="006E1059"/>
    <w:rsid w:val="006E1AD2"/>
    <w:rsid w:val="006F2323"/>
    <w:rsid w:val="006F74B6"/>
    <w:rsid w:val="00700678"/>
    <w:rsid w:val="00705E9D"/>
    <w:rsid w:val="007102A0"/>
    <w:rsid w:val="0071765F"/>
    <w:rsid w:val="007212A2"/>
    <w:rsid w:val="0073073C"/>
    <w:rsid w:val="00736FA1"/>
    <w:rsid w:val="00750C51"/>
    <w:rsid w:val="007549B1"/>
    <w:rsid w:val="00763C80"/>
    <w:rsid w:val="007665F4"/>
    <w:rsid w:val="007709AD"/>
    <w:rsid w:val="007722B4"/>
    <w:rsid w:val="00777461"/>
    <w:rsid w:val="007808E0"/>
    <w:rsid w:val="00780AE4"/>
    <w:rsid w:val="00782D74"/>
    <w:rsid w:val="00782F16"/>
    <w:rsid w:val="00783ECA"/>
    <w:rsid w:val="00785B9B"/>
    <w:rsid w:val="007928E3"/>
    <w:rsid w:val="00796110"/>
    <w:rsid w:val="007A3AEA"/>
    <w:rsid w:val="007A64BC"/>
    <w:rsid w:val="007A799F"/>
    <w:rsid w:val="007B6B76"/>
    <w:rsid w:val="007C5E1A"/>
    <w:rsid w:val="007C69BE"/>
    <w:rsid w:val="007D679D"/>
    <w:rsid w:val="007E0D86"/>
    <w:rsid w:val="007E1F3D"/>
    <w:rsid w:val="007F7C69"/>
    <w:rsid w:val="00803EC2"/>
    <w:rsid w:val="008112B8"/>
    <w:rsid w:val="00811EA8"/>
    <w:rsid w:val="00823ED9"/>
    <w:rsid w:val="00826D24"/>
    <w:rsid w:val="0083163E"/>
    <w:rsid w:val="00832707"/>
    <w:rsid w:val="00847961"/>
    <w:rsid w:val="00852C18"/>
    <w:rsid w:val="00852CEB"/>
    <w:rsid w:val="008532FB"/>
    <w:rsid w:val="0085382E"/>
    <w:rsid w:val="008578CF"/>
    <w:rsid w:val="008613FF"/>
    <w:rsid w:val="008620C5"/>
    <w:rsid w:val="008636AF"/>
    <w:rsid w:val="0086744E"/>
    <w:rsid w:val="00870DA4"/>
    <w:rsid w:val="0087474E"/>
    <w:rsid w:val="00876D8F"/>
    <w:rsid w:val="008773F2"/>
    <w:rsid w:val="008828B1"/>
    <w:rsid w:val="00895F1C"/>
    <w:rsid w:val="008A1FE2"/>
    <w:rsid w:val="008A203A"/>
    <w:rsid w:val="008B293A"/>
    <w:rsid w:val="008B369E"/>
    <w:rsid w:val="008B6F7B"/>
    <w:rsid w:val="008C017E"/>
    <w:rsid w:val="008C1690"/>
    <w:rsid w:val="008C4F60"/>
    <w:rsid w:val="008C7808"/>
    <w:rsid w:val="008E4511"/>
    <w:rsid w:val="008F1CD2"/>
    <w:rsid w:val="008F3748"/>
    <w:rsid w:val="008F5967"/>
    <w:rsid w:val="008F6049"/>
    <w:rsid w:val="009010F1"/>
    <w:rsid w:val="0090178B"/>
    <w:rsid w:val="00903697"/>
    <w:rsid w:val="00913142"/>
    <w:rsid w:val="00913709"/>
    <w:rsid w:val="00932ECC"/>
    <w:rsid w:val="00940A65"/>
    <w:rsid w:val="00950E1C"/>
    <w:rsid w:val="0095586B"/>
    <w:rsid w:val="00971435"/>
    <w:rsid w:val="00973D30"/>
    <w:rsid w:val="00974CB6"/>
    <w:rsid w:val="00985BDD"/>
    <w:rsid w:val="00985C56"/>
    <w:rsid w:val="0098672B"/>
    <w:rsid w:val="00987514"/>
    <w:rsid w:val="00990228"/>
    <w:rsid w:val="00990A76"/>
    <w:rsid w:val="009913E7"/>
    <w:rsid w:val="00991764"/>
    <w:rsid w:val="009928B6"/>
    <w:rsid w:val="00992AE7"/>
    <w:rsid w:val="00997CA0"/>
    <w:rsid w:val="009A553B"/>
    <w:rsid w:val="009C68BA"/>
    <w:rsid w:val="009D1D22"/>
    <w:rsid w:val="009D367C"/>
    <w:rsid w:val="009D56AD"/>
    <w:rsid w:val="009E6072"/>
    <w:rsid w:val="009F3553"/>
    <w:rsid w:val="009F4746"/>
    <w:rsid w:val="009F6F00"/>
    <w:rsid w:val="00A00B5A"/>
    <w:rsid w:val="00A02CC2"/>
    <w:rsid w:val="00A15F46"/>
    <w:rsid w:val="00A2231E"/>
    <w:rsid w:val="00A265D4"/>
    <w:rsid w:val="00A34093"/>
    <w:rsid w:val="00A407AE"/>
    <w:rsid w:val="00A4279E"/>
    <w:rsid w:val="00A45EC6"/>
    <w:rsid w:val="00A45F58"/>
    <w:rsid w:val="00A47196"/>
    <w:rsid w:val="00A47FFC"/>
    <w:rsid w:val="00A515B9"/>
    <w:rsid w:val="00A564FA"/>
    <w:rsid w:val="00A70337"/>
    <w:rsid w:val="00A721E6"/>
    <w:rsid w:val="00A74B35"/>
    <w:rsid w:val="00A7558C"/>
    <w:rsid w:val="00A80FB2"/>
    <w:rsid w:val="00A852DB"/>
    <w:rsid w:val="00A860E3"/>
    <w:rsid w:val="00A87D21"/>
    <w:rsid w:val="00A90C90"/>
    <w:rsid w:val="00A976DD"/>
    <w:rsid w:val="00A976E2"/>
    <w:rsid w:val="00AA0AC4"/>
    <w:rsid w:val="00AA20E5"/>
    <w:rsid w:val="00AA2B3F"/>
    <w:rsid w:val="00AA3178"/>
    <w:rsid w:val="00AA52D4"/>
    <w:rsid w:val="00AA6851"/>
    <w:rsid w:val="00AB2C4B"/>
    <w:rsid w:val="00AB2DC5"/>
    <w:rsid w:val="00AB3F26"/>
    <w:rsid w:val="00AB4E1B"/>
    <w:rsid w:val="00AB74C3"/>
    <w:rsid w:val="00AB75C0"/>
    <w:rsid w:val="00AC1548"/>
    <w:rsid w:val="00AC5D38"/>
    <w:rsid w:val="00AC5E76"/>
    <w:rsid w:val="00AD5F94"/>
    <w:rsid w:val="00AE443D"/>
    <w:rsid w:val="00AE724E"/>
    <w:rsid w:val="00AF1121"/>
    <w:rsid w:val="00AF26BF"/>
    <w:rsid w:val="00AF7CD9"/>
    <w:rsid w:val="00B00EEB"/>
    <w:rsid w:val="00B06499"/>
    <w:rsid w:val="00B11DBE"/>
    <w:rsid w:val="00B14CC3"/>
    <w:rsid w:val="00B15490"/>
    <w:rsid w:val="00B2459E"/>
    <w:rsid w:val="00B26CD4"/>
    <w:rsid w:val="00B30900"/>
    <w:rsid w:val="00B32C36"/>
    <w:rsid w:val="00B34870"/>
    <w:rsid w:val="00B3498D"/>
    <w:rsid w:val="00B40B44"/>
    <w:rsid w:val="00B46E30"/>
    <w:rsid w:val="00B50E55"/>
    <w:rsid w:val="00B52E09"/>
    <w:rsid w:val="00B6261D"/>
    <w:rsid w:val="00B645D3"/>
    <w:rsid w:val="00B64C8B"/>
    <w:rsid w:val="00B66282"/>
    <w:rsid w:val="00B75189"/>
    <w:rsid w:val="00B813D1"/>
    <w:rsid w:val="00B8325D"/>
    <w:rsid w:val="00B85B9F"/>
    <w:rsid w:val="00B911C4"/>
    <w:rsid w:val="00B915DF"/>
    <w:rsid w:val="00B954F9"/>
    <w:rsid w:val="00B9703A"/>
    <w:rsid w:val="00BA0CE4"/>
    <w:rsid w:val="00BB06FC"/>
    <w:rsid w:val="00BB10E1"/>
    <w:rsid w:val="00BB12B9"/>
    <w:rsid w:val="00BB75BD"/>
    <w:rsid w:val="00BC365F"/>
    <w:rsid w:val="00BC6233"/>
    <w:rsid w:val="00BD0866"/>
    <w:rsid w:val="00BD3DFF"/>
    <w:rsid w:val="00BE10E4"/>
    <w:rsid w:val="00BE143A"/>
    <w:rsid w:val="00BE1AAC"/>
    <w:rsid w:val="00BE3DD9"/>
    <w:rsid w:val="00BE6694"/>
    <w:rsid w:val="00BF236C"/>
    <w:rsid w:val="00BF7559"/>
    <w:rsid w:val="00C01E2D"/>
    <w:rsid w:val="00C02437"/>
    <w:rsid w:val="00C036E5"/>
    <w:rsid w:val="00C04B93"/>
    <w:rsid w:val="00C04BA8"/>
    <w:rsid w:val="00C11B01"/>
    <w:rsid w:val="00C14492"/>
    <w:rsid w:val="00C14BA6"/>
    <w:rsid w:val="00C26EBA"/>
    <w:rsid w:val="00C27E1C"/>
    <w:rsid w:val="00C37104"/>
    <w:rsid w:val="00C4123B"/>
    <w:rsid w:val="00C44468"/>
    <w:rsid w:val="00C45EEE"/>
    <w:rsid w:val="00C47BFC"/>
    <w:rsid w:val="00C55DD5"/>
    <w:rsid w:val="00C57D28"/>
    <w:rsid w:val="00C6350E"/>
    <w:rsid w:val="00C6476A"/>
    <w:rsid w:val="00C66107"/>
    <w:rsid w:val="00C707CB"/>
    <w:rsid w:val="00C71127"/>
    <w:rsid w:val="00C71B46"/>
    <w:rsid w:val="00C73670"/>
    <w:rsid w:val="00C814DF"/>
    <w:rsid w:val="00C81925"/>
    <w:rsid w:val="00C91026"/>
    <w:rsid w:val="00C97AB6"/>
    <w:rsid w:val="00CA3EC2"/>
    <w:rsid w:val="00CB1E36"/>
    <w:rsid w:val="00CB3539"/>
    <w:rsid w:val="00CB53ED"/>
    <w:rsid w:val="00CB5BBB"/>
    <w:rsid w:val="00CC6247"/>
    <w:rsid w:val="00CD0B07"/>
    <w:rsid w:val="00CD156F"/>
    <w:rsid w:val="00CE2729"/>
    <w:rsid w:val="00CE3300"/>
    <w:rsid w:val="00CE6ADE"/>
    <w:rsid w:val="00CE7777"/>
    <w:rsid w:val="00CF0B26"/>
    <w:rsid w:val="00CF0D9B"/>
    <w:rsid w:val="00CF7F65"/>
    <w:rsid w:val="00D00267"/>
    <w:rsid w:val="00D01B99"/>
    <w:rsid w:val="00D021AA"/>
    <w:rsid w:val="00D04C33"/>
    <w:rsid w:val="00D050FD"/>
    <w:rsid w:val="00D056BD"/>
    <w:rsid w:val="00D26F45"/>
    <w:rsid w:val="00D27189"/>
    <w:rsid w:val="00D27B68"/>
    <w:rsid w:val="00D3084B"/>
    <w:rsid w:val="00D316A7"/>
    <w:rsid w:val="00D34757"/>
    <w:rsid w:val="00D34AB9"/>
    <w:rsid w:val="00D436EA"/>
    <w:rsid w:val="00D44C19"/>
    <w:rsid w:val="00D4588B"/>
    <w:rsid w:val="00D473E5"/>
    <w:rsid w:val="00D477CB"/>
    <w:rsid w:val="00D5044A"/>
    <w:rsid w:val="00D57971"/>
    <w:rsid w:val="00D7512A"/>
    <w:rsid w:val="00D75E92"/>
    <w:rsid w:val="00D76F29"/>
    <w:rsid w:val="00D8493B"/>
    <w:rsid w:val="00D85B51"/>
    <w:rsid w:val="00D87448"/>
    <w:rsid w:val="00D97194"/>
    <w:rsid w:val="00DA4788"/>
    <w:rsid w:val="00DB12DA"/>
    <w:rsid w:val="00DB3107"/>
    <w:rsid w:val="00DB3B46"/>
    <w:rsid w:val="00DB3E50"/>
    <w:rsid w:val="00DB63AC"/>
    <w:rsid w:val="00DC22EB"/>
    <w:rsid w:val="00DC57B7"/>
    <w:rsid w:val="00DC7317"/>
    <w:rsid w:val="00DD57DA"/>
    <w:rsid w:val="00DD5C61"/>
    <w:rsid w:val="00DE24DC"/>
    <w:rsid w:val="00DF5BB2"/>
    <w:rsid w:val="00E02923"/>
    <w:rsid w:val="00E04EF4"/>
    <w:rsid w:val="00E13279"/>
    <w:rsid w:val="00E13B17"/>
    <w:rsid w:val="00E1799C"/>
    <w:rsid w:val="00E22C5E"/>
    <w:rsid w:val="00E22F2F"/>
    <w:rsid w:val="00E23A5C"/>
    <w:rsid w:val="00E27685"/>
    <w:rsid w:val="00E32C4C"/>
    <w:rsid w:val="00E3745A"/>
    <w:rsid w:val="00E37A89"/>
    <w:rsid w:val="00E41143"/>
    <w:rsid w:val="00E57B55"/>
    <w:rsid w:val="00E64520"/>
    <w:rsid w:val="00E64D73"/>
    <w:rsid w:val="00E751B2"/>
    <w:rsid w:val="00E75698"/>
    <w:rsid w:val="00E77BC2"/>
    <w:rsid w:val="00E94CB5"/>
    <w:rsid w:val="00E959DF"/>
    <w:rsid w:val="00E97454"/>
    <w:rsid w:val="00EA3AAE"/>
    <w:rsid w:val="00EA4565"/>
    <w:rsid w:val="00EB456A"/>
    <w:rsid w:val="00EB7D96"/>
    <w:rsid w:val="00EC0013"/>
    <w:rsid w:val="00EC0B33"/>
    <w:rsid w:val="00EC4034"/>
    <w:rsid w:val="00EC4DD8"/>
    <w:rsid w:val="00EC4EEB"/>
    <w:rsid w:val="00EC5D8C"/>
    <w:rsid w:val="00EC66AA"/>
    <w:rsid w:val="00EC67B6"/>
    <w:rsid w:val="00ED6CCC"/>
    <w:rsid w:val="00EE4C62"/>
    <w:rsid w:val="00EE5E41"/>
    <w:rsid w:val="00EE772B"/>
    <w:rsid w:val="00EF06E5"/>
    <w:rsid w:val="00EF36F4"/>
    <w:rsid w:val="00EF55B9"/>
    <w:rsid w:val="00EF7E43"/>
    <w:rsid w:val="00F04DEA"/>
    <w:rsid w:val="00F121CF"/>
    <w:rsid w:val="00F13CD9"/>
    <w:rsid w:val="00F15179"/>
    <w:rsid w:val="00F3603E"/>
    <w:rsid w:val="00F377AB"/>
    <w:rsid w:val="00F4067F"/>
    <w:rsid w:val="00F46308"/>
    <w:rsid w:val="00F47108"/>
    <w:rsid w:val="00F506C8"/>
    <w:rsid w:val="00F5533B"/>
    <w:rsid w:val="00F56041"/>
    <w:rsid w:val="00F570D3"/>
    <w:rsid w:val="00F60422"/>
    <w:rsid w:val="00F610E9"/>
    <w:rsid w:val="00F63961"/>
    <w:rsid w:val="00F63F01"/>
    <w:rsid w:val="00F64C3A"/>
    <w:rsid w:val="00F745B2"/>
    <w:rsid w:val="00F82711"/>
    <w:rsid w:val="00F92113"/>
    <w:rsid w:val="00F950ED"/>
    <w:rsid w:val="00FB22AF"/>
    <w:rsid w:val="00FB2DFD"/>
    <w:rsid w:val="00FB78C2"/>
    <w:rsid w:val="00FC08D7"/>
    <w:rsid w:val="00FD07C9"/>
    <w:rsid w:val="00FD2FB7"/>
    <w:rsid w:val="00FD3BA8"/>
    <w:rsid w:val="00FD4A61"/>
    <w:rsid w:val="00FE6543"/>
    <w:rsid w:val="00FF45F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A5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8A5"/>
    <w:pPr>
      <w:keepNext/>
      <w:keepLines/>
      <w:suppressAutoHyphens/>
      <w:spacing w:before="120"/>
      <w:ind w:left="288" w:right="288"/>
      <w:jc w:val="center"/>
      <w:outlineLvl w:val="0"/>
    </w:pPr>
    <w:rPr>
      <w:rFonts w:ascii="Times New Roman Bold" w:eastAsia="Times New Roman" w:hAnsi="Times New Roman Bold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B48A5"/>
    <w:pPr>
      <w:keepNext/>
      <w:suppressAutoHyphens/>
      <w:spacing w:before="120"/>
      <w:jc w:val="left"/>
      <w:outlineLvl w:val="1"/>
    </w:pPr>
    <w:rPr>
      <w:rFonts w:ascii="Times New Roman Bold" w:eastAsia="Times New Roman" w:hAnsi="Times New Roman Bold"/>
      <w:b/>
      <w:smallCaps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4B48A5"/>
    <w:pPr>
      <w:keepNext/>
      <w:suppressAutoHyphens/>
      <w:jc w:val="left"/>
      <w:outlineLvl w:val="2"/>
    </w:pPr>
    <w:rPr>
      <w:rFonts w:eastAsia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4B48A5"/>
    <w:pPr>
      <w:keepNext/>
      <w:jc w:val="center"/>
      <w:outlineLvl w:val="3"/>
    </w:pPr>
    <w:rPr>
      <w:rFonts w:ascii="Times New Roman Bold" w:eastAsia="Times New Roman" w:hAnsi="Times New Roman Bold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4B48A5"/>
    <w:pPr>
      <w:keepNext/>
      <w:spacing w:before="60"/>
      <w:outlineLvl w:val="4"/>
    </w:pPr>
    <w:rPr>
      <w:rFonts w:ascii="Times New Roman Bold" w:eastAsia="Times New Roman" w:hAnsi="Times New Roman Bold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B48A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8A5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B48A5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B48A5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8A5"/>
    <w:rPr>
      <w:rFonts w:ascii="Times New Roman Bold" w:eastAsia="Times New Roman" w:hAnsi="Times New Roman Bold"/>
      <w:b/>
      <w:caps/>
      <w:sz w:val="32"/>
    </w:rPr>
  </w:style>
  <w:style w:type="character" w:customStyle="1" w:styleId="Heading2Char">
    <w:name w:val="Heading 2 Char"/>
    <w:basedOn w:val="DefaultParagraphFont"/>
    <w:link w:val="Heading2"/>
    <w:rsid w:val="004B48A5"/>
    <w:rPr>
      <w:rFonts w:ascii="Times New Roman Bold" w:eastAsia="Times New Roman" w:hAnsi="Times New Roman Bold"/>
      <w:b/>
      <w:smallCaps/>
      <w:sz w:val="30"/>
    </w:rPr>
  </w:style>
  <w:style w:type="character" w:customStyle="1" w:styleId="Heading3Char">
    <w:name w:val="Heading 3 Char"/>
    <w:basedOn w:val="DefaultParagraphFont"/>
    <w:link w:val="Heading3"/>
    <w:rsid w:val="004B48A5"/>
    <w:rPr>
      <w:rFonts w:eastAsia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rsid w:val="004B48A5"/>
    <w:rPr>
      <w:rFonts w:ascii="Times New Roman Bold" w:eastAsia="Times New Roman" w:hAnsi="Times New Roman Bold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B48A5"/>
    <w:rPr>
      <w:rFonts w:ascii="Times New Roman Bold" w:eastAsia="Times New Roman" w:hAnsi="Times New Roman Bold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B48A5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B48A5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B48A5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B48A5"/>
    <w:rPr>
      <w:rFonts w:ascii="Arial" w:eastAsia="Times New Roman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qFormat/>
    <w:rsid w:val="004B48A5"/>
    <w:pPr>
      <w:keepLines/>
      <w:tabs>
        <w:tab w:val="right" w:pos="9360"/>
      </w:tabs>
      <w:suppressAutoHyphens/>
      <w:ind w:firstLine="288"/>
    </w:pPr>
    <w:rPr>
      <w:rFonts w:eastAsia="Times New Roman"/>
      <w:sz w:val="22"/>
      <w:szCs w:val="20"/>
    </w:rPr>
  </w:style>
  <w:style w:type="character" w:customStyle="1" w:styleId="CaptionChar">
    <w:name w:val="Caption Char"/>
    <w:basedOn w:val="DefaultParagraphFont"/>
    <w:link w:val="Caption"/>
    <w:rsid w:val="004B48A5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4B48A5"/>
    <w:pPr>
      <w:suppressAutoHyphens/>
      <w:jc w:val="center"/>
    </w:pPr>
    <w:rPr>
      <w:rFonts w:eastAsia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B48A5"/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4F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02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15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5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53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F0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F03"/>
  </w:style>
  <w:style w:type="character" w:styleId="FootnoteReference">
    <w:name w:val="footnote reference"/>
    <w:basedOn w:val="DefaultParagraphFont"/>
    <w:uiPriority w:val="99"/>
    <w:semiHidden/>
    <w:unhideWhenUsed/>
    <w:rsid w:val="00355F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4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5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69"/>
    <w:rPr>
      <w:b/>
      <w:bCs/>
    </w:rPr>
  </w:style>
  <w:style w:type="paragraph" w:styleId="Revision">
    <w:name w:val="Revision"/>
    <w:hidden/>
    <w:uiPriority w:val="99"/>
    <w:semiHidden/>
    <w:rsid w:val="00255469"/>
    <w:pPr>
      <w:jc w:val="left"/>
    </w:pPr>
    <w:rPr>
      <w:sz w:val="24"/>
      <w:szCs w:val="24"/>
    </w:rPr>
  </w:style>
  <w:style w:type="paragraph" w:customStyle="1" w:styleId="Captiontitle">
    <w:name w:val="Caption title"/>
    <w:basedOn w:val="Caption"/>
    <w:link w:val="CaptiontitleChar"/>
    <w:rsid w:val="00C036E5"/>
    <w:pPr>
      <w:keepNext/>
    </w:pPr>
    <w:rPr>
      <w:bCs/>
    </w:rPr>
  </w:style>
  <w:style w:type="character" w:customStyle="1" w:styleId="CaptiontitleChar">
    <w:name w:val="Caption title Char"/>
    <w:basedOn w:val="CaptionChar"/>
    <w:link w:val="Captiontitle"/>
    <w:rsid w:val="00C036E5"/>
    <w:rPr>
      <w:bCs/>
    </w:rPr>
  </w:style>
  <w:style w:type="table" w:styleId="TableGrid">
    <w:name w:val="Table Grid"/>
    <w:basedOn w:val="TableNormal"/>
    <w:uiPriority w:val="59"/>
    <w:rsid w:val="0005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D835-441C-47D3-A38B-BFA6B4A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ADF&amp;G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cp:lastPrinted>2013-07-17T19:59:00Z</cp:lastPrinted>
  <dcterms:created xsi:type="dcterms:W3CDTF">2013-08-08T22:28:00Z</dcterms:created>
  <dcterms:modified xsi:type="dcterms:W3CDTF">2013-08-08T22:28:00Z</dcterms:modified>
</cp:coreProperties>
</file>