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5A" w:rsidRPr="00DD415A" w:rsidRDefault="00643C46" w:rsidP="00DD415A">
      <w:pPr>
        <w:pStyle w:val="title"/>
        <w:rPr>
          <w:rFonts w:ascii="Arial" w:hAnsi="Arial" w:cs="Arial"/>
          <w:sz w:val="28"/>
        </w:rPr>
      </w:pPr>
      <w:r>
        <w:rPr>
          <w:rFonts w:ascii="Arial" w:hAnsi="Arial" w:cs="Arial"/>
          <w:sz w:val="28"/>
        </w:rPr>
        <w:t>Pribilof Islands Golden</w:t>
      </w:r>
      <w:r w:rsidR="00DD415A" w:rsidRPr="00DD415A">
        <w:rPr>
          <w:rFonts w:ascii="Arial" w:hAnsi="Arial" w:cs="Arial"/>
          <w:sz w:val="28"/>
        </w:rPr>
        <w:t xml:space="preserve"> King Crab</w:t>
      </w:r>
      <w:r w:rsidR="00FB3646">
        <w:rPr>
          <w:rFonts w:ascii="Arial" w:hAnsi="Arial" w:cs="Arial"/>
          <w:sz w:val="28"/>
        </w:rPr>
        <w:t xml:space="preserve"> </w:t>
      </w:r>
      <w:r w:rsidR="00E92FB0">
        <w:rPr>
          <w:rFonts w:ascii="Arial" w:hAnsi="Arial" w:cs="Arial"/>
          <w:sz w:val="28"/>
        </w:rPr>
        <w:t xml:space="preserve">– </w:t>
      </w:r>
      <w:r w:rsidR="00813090">
        <w:rPr>
          <w:rFonts w:ascii="Arial" w:hAnsi="Arial" w:cs="Arial"/>
          <w:sz w:val="28"/>
        </w:rPr>
        <w:t>201</w:t>
      </w:r>
      <w:r w:rsidR="00A3127E">
        <w:rPr>
          <w:rFonts w:ascii="Arial" w:hAnsi="Arial" w:cs="Arial"/>
          <w:sz w:val="28"/>
        </w:rPr>
        <w:t>3</w:t>
      </w:r>
      <w:r w:rsidR="00813090">
        <w:rPr>
          <w:rFonts w:ascii="Arial" w:hAnsi="Arial" w:cs="Arial"/>
          <w:sz w:val="28"/>
        </w:rPr>
        <w:t xml:space="preserve"> </w:t>
      </w:r>
      <w:r w:rsidR="00FB3646">
        <w:rPr>
          <w:rFonts w:ascii="Arial" w:hAnsi="Arial" w:cs="Arial"/>
          <w:sz w:val="28"/>
        </w:rPr>
        <w:t>Tier 5 Assessment</w:t>
      </w:r>
    </w:p>
    <w:p w:rsidR="00DD415A" w:rsidRPr="00DD415A" w:rsidRDefault="00D73E80" w:rsidP="00DD415A">
      <w:pPr>
        <w:pStyle w:val="title"/>
        <w:rPr>
          <w:rFonts w:ascii="Arial" w:hAnsi="Arial" w:cs="Arial"/>
          <w:sz w:val="28"/>
        </w:rPr>
      </w:pPr>
      <w:r>
        <w:rPr>
          <w:rFonts w:ascii="Arial" w:hAnsi="Arial" w:cs="Arial"/>
          <w:sz w:val="28"/>
        </w:rPr>
        <w:t>May 201</w:t>
      </w:r>
      <w:r w:rsidR="006326BA">
        <w:rPr>
          <w:rFonts w:ascii="Arial" w:hAnsi="Arial" w:cs="Arial"/>
          <w:sz w:val="28"/>
        </w:rPr>
        <w:t>3</w:t>
      </w:r>
      <w:r w:rsidR="00DD415A" w:rsidRPr="00DD415A">
        <w:rPr>
          <w:rFonts w:ascii="Arial" w:hAnsi="Arial" w:cs="Arial"/>
          <w:sz w:val="28"/>
        </w:rPr>
        <w:t xml:space="preserve"> Crab SAFE Report Chapter</w:t>
      </w:r>
      <w:r w:rsidR="00DF120C">
        <w:rPr>
          <w:rFonts w:ascii="Arial" w:hAnsi="Arial" w:cs="Arial"/>
          <w:sz w:val="28"/>
        </w:rPr>
        <w:t xml:space="preserve"> (</w:t>
      </w:r>
      <w:r w:rsidR="006326BA">
        <w:rPr>
          <w:rFonts w:ascii="Arial" w:hAnsi="Arial" w:cs="Arial"/>
          <w:sz w:val="28"/>
        </w:rPr>
        <w:t>1</w:t>
      </w:r>
      <w:r w:rsidR="00CA7D2D">
        <w:rPr>
          <w:rFonts w:ascii="Arial" w:hAnsi="Arial" w:cs="Arial"/>
          <w:sz w:val="28"/>
        </w:rPr>
        <w:t>5</w:t>
      </w:r>
      <w:r w:rsidR="00DF120C">
        <w:rPr>
          <w:rFonts w:ascii="Arial" w:hAnsi="Arial" w:cs="Arial"/>
          <w:sz w:val="28"/>
        </w:rPr>
        <w:t xml:space="preserve"> April 201</w:t>
      </w:r>
      <w:r w:rsidR="006326BA">
        <w:rPr>
          <w:rFonts w:ascii="Arial" w:hAnsi="Arial" w:cs="Arial"/>
          <w:sz w:val="28"/>
        </w:rPr>
        <w:t>3</w:t>
      </w:r>
      <w:r w:rsidR="00DF120C">
        <w:rPr>
          <w:rFonts w:ascii="Arial" w:hAnsi="Arial" w:cs="Arial"/>
          <w:sz w:val="28"/>
        </w:rPr>
        <w:t xml:space="preserve"> Draft)</w:t>
      </w:r>
    </w:p>
    <w:p w:rsidR="00DD415A" w:rsidRPr="00DD415A" w:rsidRDefault="00DD415A" w:rsidP="00DD415A">
      <w:pPr>
        <w:pStyle w:val="Date"/>
      </w:pPr>
      <w:r w:rsidRPr="00DD415A">
        <w:t xml:space="preserve"> Douglas Pengilly, ADF&amp;G, Kodiak</w:t>
      </w:r>
    </w:p>
    <w:p w:rsidR="007B5B81" w:rsidRPr="00FC7671" w:rsidRDefault="007B5B81" w:rsidP="007B5B81">
      <w:pPr>
        <w:pStyle w:val="Heading2"/>
        <w:jc w:val="both"/>
        <w:rPr>
          <w:sz w:val="24"/>
        </w:rPr>
      </w:pPr>
      <w:r w:rsidRPr="00AB12B9">
        <w:rPr>
          <w:sz w:val="24"/>
        </w:rPr>
        <w:t>Execu</w:t>
      </w:r>
      <w:r w:rsidRPr="00FC7671">
        <w:rPr>
          <w:sz w:val="24"/>
        </w:rPr>
        <w:t>tive Summary</w:t>
      </w:r>
    </w:p>
    <w:p w:rsidR="00FC7671" w:rsidRDefault="00645809" w:rsidP="000314A8">
      <w:pPr>
        <w:numPr>
          <w:ilvl w:val="0"/>
          <w:numId w:val="4"/>
        </w:numPr>
        <w:jc w:val="both"/>
      </w:pPr>
      <w:r w:rsidRPr="00F02729">
        <w:rPr>
          <w:rFonts w:cs="Arial"/>
          <w:b/>
          <w:u w:val="single"/>
          <w:lang w:val="en-CA"/>
        </w:rPr>
        <w:fldChar w:fldCharType="begin"/>
      </w:r>
      <w:r w:rsidR="007B5B81" w:rsidRPr="00F02729">
        <w:rPr>
          <w:rFonts w:cs="Arial"/>
          <w:b/>
          <w:u w:val="single"/>
          <w:lang w:val="en-CA"/>
        </w:rPr>
        <w:instrText xml:space="preserve"> SEQ CHAPTER \h \r 1</w:instrText>
      </w:r>
      <w:r w:rsidRPr="00F02729">
        <w:rPr>
          <w:rFonts w:cs="Arial"/>
          <w:b/>
          <w:u w:val="single"/>
          <w:lang w:val="en-CA"/>
        </w:rPr>
        <w:fldChar w:fldCharType="end"/>
      </w:r>
      <w:r w:rsidR="007B5B81" w:rsidRPr="00F02729">
        <w:rPr>
          <w:b/>
          <w:u w:val="single"/>
        </w:rPr>
        <w:t>Stock</w:t>
      </w:r>
      <w:r w:rsidR="007B5B81" w:rsidRPr="00F02729">
        <w:rPr>
          <w:b/>
        </w:rPr>
        <w:t xml:space="preserve">:  </w:t>
      </w:r>
      <w:r w:rsidR="00AC073F">
        <w:t>Pribilof Islands (Pribilof District) g</w:t>
      </w:r>
      <w:r w:rsidR="00643C46">
        <w:t>olden king crab</w:t>
      </w:r>
      <w:r w:rsidR="00AC073F">
        <w:t xml:space="preserve"> </w:t>
      </w:r>
      <w:proofErr w:type="spellStart"/>
      <w:r w:rsidR="00AC073F" w:rsidRPr="005371AB">
        <w:rPr>
          <w:i/>
        </w:rPr>
        <w:t>Lithodes</w:t>
      </w:r>
      <w:proofErr w:type="spellEnd"/>
      <w:r w:rsidR="00AC073F" w:rsidRPr="005371AB">
        <w:rPr>
          <w:i/>
        </w:rPr>
        <w:t xml:space="preserve"> </w:t>
      </w:r>
      <w:proofErr w:type="spellStart"/>
      <w:r w:rsidR="00AC073F" w:rsidRPr="005371AB">
        <w:rPr>
          <w:i/>
        </w:rPr>
        <w:t>aequispinus</w:t>
      </w:r>
      <w:proofErr w:type="spellEnd"/>
    </w:p>
    <w:p w:rsidR="000314A8" w:rsidRPr="00FC7671" w:rsidRDefault="000314A8" w:rsidP="000314A8">
      <w:pPr>
        <w:ind w:left="720"/>
        <w:jc w:val="both"/>
      </w:pPr>
    </w:p>
    <w:p w:rsidR="000314A8" w:rsidRPr="00F02729" w:rsidRDefault="00CD64F4" w:rsidP="00D400D2">
      <w:pPr>
        <w:numPr>
          <w:ilvl w:val="0"/>
          <w:numId w:val="4"/>
        </w:numPr>
        <w:jc w:val="both"/>
        <w:rPr>
          <w:b/>
        </w:rPr>
      </w:pPr>
      <w:r w:rsidRPr="00F02729">
        <w:rPr>
          <w:b/>
          <w:u w:val="single"/>
        </w:rPr>
        <w:t>Catches</w:t>
      </w:r>
      <w:r w:rsidRPr="00F02729">
        <w:rPr>
          <w:b/>
        </w:rPr>
        <w:t xml:space="preserve">: </w:t>
      </w:r>
    </w:p>
    <w:p w:rsidR="00D635AC" w:rsidRDefault="00A5610C" w:rsidP="00D635AC">
      <w:pPr>
        <w:jc w:val="both"/>
      </w:pPr>
      <w:r>
        <w:t xml:space="preserve">Commercial fishing for golden king crab in the Pribilof District has been concentrated in the </w:t>
      </w:r>
      <w:smartTag w:uri="urn:schemas-microsoft-com:office:smarttags" w:element="place">
        <w:smartTag w:uri="urn:schemas-microsoft-com:office:smarttags" w:element="PlaceName">
          <w:r>
            <w:t>Pribilof</w:t>
          </w:r>
        </w:smartTag>
        <w:r>
          <w:t xml:space="preserve"> </w:t>
        </w:r>
        <w:smartTag w:uri="urn:schemas-microsoft-com:office:smarttags" w:element="PlaceType">
          <w:r>
            <w:t>Canyon</w:t>
          </w:r>
        </w:smartTag>
      </w:smartTag>
      <w:r>
        <w:t xml:space="preserve">. The fishing season for this stock has </w:t>
      </w:r>
      <w:r w:rsidR="00130BC6">
        <w:t xml:space="preserve">been </w:t>
      </w:r>
      <w:r>
        <w:t xml:space="preserve">defined as a calendar year </w:t>
      </w:r>
      <w:r w:rsidR="00EF4115">
        <w:t xml:space="preserve">(as opposed to a “crab fishery year”) </w:t>
      </w:r>
      <w:r w:rsidR="00282C75">
        <w:t>following the close of the 1983/84 season</w:t>
      </w:r>
      <w:r>
        <w:t xml:space="preserve">.  </w:t>
      </w:r>
      <w:r w:rsidR="00D635AC" w:rsidRPr="00CC5FE7">
        <w:t xml:space="preserve">The </w:t>
      </w:r>
      <w:r w:rsidR="00D635AC">
        <w:t xml:space="preserve">domestic </w:t>
      </w:r>
      <w:r w:rsidR="00D635AC" w:rsidRPr="00CC5FE7">
        <w:t xml:space="preserve">fishery </w:t>
      </w:r>
      <w:r w:rsidR="00D635AC">
        <w:t xml:space="preserve">developed in </w:t>
      </w:r>
      <w:r w:rsidR="00531196">
        <w:t xml:space="preserve">the </w:t>
      </w:r>
      <w:r w:rsidR="00D635AC">
        <w:t>1982</w:t>
      </w:r>
      <w:r w:rsidR="00531196">
        <w:t>/83</w:t>
      </w:r>
      <w:r w:rsidR="00F83013">
        <w:t xml:space="preserve"> season</w:t>
      </w:r>
      <w:r w:rsidR="00531196">
        <w:t xml:space="preserve">, although some </w:t>
      </w:r>
      <w:r w:rsidR="00E80EA1">
        <w:t xml:space="preserve">limited </w:t>
      </w:r>
      <w:r w:rsidR="00531196">
        <w:t xml:space="preserve">fishing occurred </w:t>
      </w:r>
      <w:r w:rsidR="00E80EA1">
        <w:t>at least as early as 1981/82</w:t>
      </w:r>
      <w:r w:rsidR="00D635AC">
        <w:t xml:space="preserve">.  </w:t>
      </w:r>
      <w:r w:rsidR="00EA33D6">
        <w:t xml:space="preserve">Peak harvest occurred in the 1983/84 season with a retained catch of </w:t>
      </w:r>
      <w:r w:rsidR="00DF197F">
        <w:t>0.</w:t>
      </w:r>
      <w:r w:rsidR="00EA33D6">
        <w:t>8</w:t>
      </w:r>
      <w:r w:rsidR="008613FE">
        <w:t>56</w:t>
      </w:r>
      <w:r w:rsidR="00EA33D6">
        <w:t>-</w:t>
      </w:r>
      <w:r w:rsidR="00DF197F">
        <w:t>million</w:t>
      </w:r>
      <w:r w:rsidR="00EA33D6">
        <w:t xml:space="preserve"> pounds</w:t>
      </w:r>
      <w:r w:rsidR="008613FE">
        <w:t xml:space="preserve"> (388 t)</w:t>
      </w:r>
      <w:r w:rsidR="00930421">
        <w:t xml:space="preserve"> by 50 vessels</w:t>
      </w:r>
      <w:r w:rsidR="00EA33D6">
        <w:t xml:space="preserve">.  </w:t>
      </w:r>
      <w:r w:rsidR="00D635AC">
        <w:t xml:space="preserve">Since then, participation in the fishery has been sporadic and annually retained catch has been variable, from 0 pounds in the </w:t>
      </w:r>
      <w:r w:rsidR="002A1917">
        <w:t>nine</w:t>
      </w:r>
      <w:r w:rsidR="00D635AC">
        <w:t xml:space="preserve"> years that no vessels participated (1984, 1986, 1990–1992, 2006–200</w:t>
      </w:r>
      <w:r w:rsidR="002A1917">
        <w:t>9</w:t>
      </w:r>
      <w:r w:rsidR="00D635AC">
        <w:t xml:space="preserve">) up to a maximum of </w:t>
      </w:r>
      <w:r w:rsidR="00AF510A">
        <w:t>0.</w:t>
      </w:r>
      <w:r w:rsidR="00D635AC">
        <w:t>34</w:t>
      </w:r>
      <w:r w:rsidR="008B3B72">
        <w:t>2</w:t>
      </w:r>
      <w:r w:rsidR="00D635AC">
        <w:t>-</w:t>
      </w:r>
      <w:r w:rsidR="00AF510A">
        <w:t>million</w:t>
      </w:r>
      <w:r w:rsidR="00D635AC">
        <w:t xml:space="preserve"> pounds </w:t>
      </w:r>
      <w:r w:rsidR="008B3B72">
        <w:t xml:space="preserve">(155 t) </w:t>
      </w:r>
      <w:r w:rsidR="00D635AC">
        <w:t xml:space="preserve">in 1995, when </w:t>
      </w:r>
      <w:r w:rsidR="00073A1A">
        <w:t xml:space="preserve">seven vessels made landings. </w:t>
      </w:r>
      <w:r w:rsidR="00D635AC">
        <w:t>The fishery is not rationalized</w:t>
      </w:r>
      <w:r w:rsidR="0047648A">
        <w:t xml:space="preserve">. </w:t>
      </w:r>
      <w:r w:rsidR="00F36C6B">
        <w:t xml:space="preserve">There is no state harvest strategy in regulation. </w:t>
      </w:r>
      <w:r w:rsidR="0047648A">
        <w:t>A guideline harvest level (GHL) was first established for the fishery in 1999 at 0.200-million pounds (91 t)</w:t>
      </w:r>
      <w:r w:rsidR="00D635AC">
        <w:t xml:space="preserve"> and has been managed towards a </w:t>
      </w:r>
      <w:r w:rsidR="0047648A">
        <w:t xml:space="preserve">GHL </w:t>
      </w:r>
      <w:r w:rsidR="00F23B1A">
        <w:t xml:space="preserve">of </w:t>
      </w:r>
      <w:r w:rsidR="00AF510A">
        <w:t>0.</w:t>
      </w:r>
      <w:r w:rsidR="00D635AC">
        <w:t>150-</w:t>
      </w:r>
      <w:r w:rsidR="00AF510A">
        <w:t>million</w:t>
      </w:r>
      <w:r w:rsidR="00D635AC">
        <w:t xml:space="preserve"> pounds </w:t>
      </w:r>
      <w:r w:rsidR="00DE4D6A">
        <w:t xml:space="preserve">(68 t) </w:t>
      </w:r>
      <w:r w:rsidR="00D635AC">
        <w:t>sin</w:t>
      </w:r>
      <w:r w:rsidR="00D635AC" w:rsidRPr="009326BF">
        <w:t xml:space="preserve">ce 2000.  </w:t>
      </w:r>
      <w:r w:rsidR="00FC73A2">
        <w:t>No vessels participated in the directed fishery and no landings were made during 2006–2009.  One vessel landed catch in 2010</w:t>
      </w:r>
      <w:r w:rsidR="00CB6A22">
        <w:t>,</w:t>
      </w:r>
      <w:r w:rsidR="00E83AEC">
        <w:t xml:space="preserve"> two vessels landed catch in 2011</w:t>
      </w:r>
      <w:r w:rsidR="00CB6A22">
        <w:t>, and one vessel landed catch in 2012</w:t>
      </w:r>
      <w:r w:rsidR="00FC73A2">
        <w:t xml:space="preserve">; </w:t>
      </w:r>
      <w:r w:rsidR="00E83AEC">
        <w:t xml:space="preserve">directed fishery </w:t>
      </w:r>
      <w:r w:rsidR="00FC73A2">
        <w:t xml:space="preserve">catch cannot be reported </w:t>
      </w:r>
      <w:r w:rsidR="003B614D">
        <w:t>for</w:t>
      </w:r>
      <w:r w:rsidR="00E83AEC">
        <w:t xml:space="preserve"> those t</w:t>
      </w:r>
      <w:r w:rsidR="003B614D">
        <w:t>hree</w:t>
      </w:r>
      <w:r w:rsidR="00E83AEC">
        <w:t xml:space="preserve"> years </w:t>
      </w:r>
      <w:r w:rsidR="00FC73A2">
        <w:t xml:space="preserve">under the confidentiality requirements of </w:t>
      </w:r>
      <w:r w:rsidR="0020418F">
        <w:t xml:space="preserve">State of Alaska (SOA) statute </w:t>
      </w:r>
      <w:r w:rsidR="00300410">
        <w:t>Sec. 16.05.815</w:t>
      </w:r>
      <w:r w:rsidR="0020418F">
        <w:t xml:space="preserve">. </w:t>
      </w:r>
      <w:r w:rsidR="00D635AC" w:rsidRPr="00C265E7">
        <w:t xml:space="preserve">Non-retained </w:t>
      </w:r>
      <w:proofErr w:type="spellStart"/>
      <w:r w:rsidR="00D635AC" w:rsidRPr="00C265E7">
        <w:t>bycatch</w:t>
      </w:r>
      <w:proofErr w:type="spellEnd"/>
      <w:r w:rsidR="00D635AC" w:rsidRPr="00C265E7">
        <w:t xml:space="preserve"> occur</w:t>
      </w:r>
      <w:r w:rsidR="00270586" w:rsidRPr="00C265E7">
        <w:t>s</w:t>
      </w:r>
      <w:r w:rsidR="00D635AC" w:rsidRPr="00C265E7">
        <w:t xml:space="preserve"> in the directed </w:t>
      </w:r>
      <w:r w:rsidR="00270586" w:rsidRPr="00C265E7">
        <w:t xml:space="preserve">golden king crab </w:t>
      </w:r>
      <w:r w:rsidR="00D635AC" w:rsidRPr="00C265E7">
        <w:t>fishery</w:t>
      </w:r>
      <w:r w:rsidR="009711A5" w:rsidRPr="00C265E7">
        <w:t xml:space="preserve">, </w:t>
      </w:r>
      <w:r w:rsidR="00023589" w:rsidRPr="00C265E7">
        <w:t xml:space="preserve">the eastern Bering Sea snow crab </w:t>
      </w:r>
      <w:proofErr w:type="gramStart"/>
      <w:r w:rsidR="00023589" w:rsidRPr="00C265E7">
        <w:t>fishery,</w:t>
      </w:r>
      <w:proofErr w:type="gramEnd"/>
      <w:r w:rsidR="00023589" w:rsidRPr="00C265E7">
        <w:t xml:space="preserve"> the Bering Sea grooved Tanner crab fishery, and </w:t>
      </w:r>
      <w:r w:rsidR="009711A5" w:rsidRPr="00C265E7">
        <w:t>Bering Sea groundfish fisheries</w:t>
      </w:r>
      <w:r w:rsidR="00D635AC" w:rsidRPr="00C265E7">
        <w:t xml:space="preserve">.  Estimated </w:t>
      </w:r>
      <w:r w:rsidR="001C26EA" w:rsidRPr="00C265E7">
        <w:t xml:space="preserve">annual </w:t>
      </w:r>
      <w:r w:rsidR="00D635AC" w:rsidRPr="00C265E7">
        <w:t>weight of non-retained b</w:t>
      </w:r>
      <w:r w:rsidR="00C51C63" w:rsidRPr="00C265E7">
        <w:t xml:space="preserve">ycatch </w:t>
      </w:r>
      <w:r w:rsidR="001C26EA" w:rsidRPr="00C265E7">
        <w:t>in</w:t>
      </w:r>
      <w:r w:rsidR="00C51C63" w:rsidRPr="00C265E7">
        <w:t xml:space="preserve"> </w:t>
      </w:r>
      <w:r w:rsidR="001C26EA" w:rsidRPr="00C265E7">
        <w:t xml:space="preserve">directed and non-directed </w:t>
      </w:r>
      <w:r w:rsidR="00C51C63" w:rsidRPr="00C265E7">
        <w:t>crab fisheries</w:t>
      </w:r>
      <w:r w:rsidR="001C26EA" w:rsidRPr="00C265E7">
        <w:t xml:space="preserve"> </w:t>
      </w:r>
      <w:r w:rsidR="00D45CAB" w:rsidRPr="00C265E7">
        <w:t>during calendar years 2001–201</w:t>
      </w:r>
      <w:r w:rsidR="00C265E7" w:rsidRPr="00C265E7">
        <w:t>2</w:t>
      </w:r>
      <w:r w:rsidR="00C51C63" w:rsidRPr="00C265E7">
        <w:t xml:space="preserve"> </w:t>
      </w:r>
      <w:r w:rsidR="00D635AC" w:rsidRPr="00C265E7">
        <w:t>range</w:t>
      </w:r>
      <w:r w:rsidR="00C51C63" w:rsidRPr="00C265E7">
        <w:t>s</w:t>
      </w:r>
      <w:r w:rsidR="00D635AC" w:rsidRPr="00C265E7">
        <w:t xml:space="preserve"> from </w:t>
      </w:r>
      <w:r w:rsidR="0017277D" w:rsidRPr="00C265E7">
        <w:t xml:space="preserve">0 pounds to </w:t>
      </w:r>
      <w:r w:rsidR="00AF510A" w:rsidRPr="00C265E7">
        <w:t>0.0</w:t>
      </w:r>
      <w:r w:rsidR="00D635AC" w:rsidRPr="00C265E7">
        <w:t>49-</w:t>
      </w:r>
      <w:r w:rsidR="00AF510A" w:rsidRPr="00C265E7">
        <w:t>million</w:t>
      </w:r>
      <w:r w:rsidR="00D635AC" w:rsidRPr="00C265E7">
        <w:t xml:space="preserve"> pounds </w:t>
      </w:r>
      <w:r w:rsidR="0017497E" w:rsidRPr="00C265E7">
        <w:t>(</w:t>
      </w:r>
      <w:r w:rsidR="004E1BF6" w:rsidRPr="00C265E7">
        <w:t>22</w:t>
      </w:r>
      <w:r w:rsidR="0017497E" w:rsidRPr="00C265E7">
        <w:t xml:space="preserve"> t)</w:t>
      </w:r>
      <w:r w:rsidR="001C26EA" w:rsidRPr="00C265E7">
        <w:t>.</w:t>
      </w:r>
      <w:r w:rsidR="0017497E" w:rsidRPr="00C265E7">
        <w:t xml:space="preserve"> </w:t>
      </w:r>
      <w:r w:rsidR="00145993" w:rsidRPr="00C265E7">
        <w:t>E</w:t>
      </w:r>
      <w:r w:rsidR="004C0DA8" w:rsidRPr="00C265E7">
        <w:t xml:space="preserve">stimates of </w:t>
      </w:r>
      <w:r w:rsidR="0017497E" w:rsidRPr="00C265E7">
        <w:t xml:space="preserve">annual </w:t>
      </w:r>
      <w:r w:rsidR="004C0DA8" w:rsidRPr="00C265E7">
        <w:t xml:space="preserve">total fishery mortality during </w:t>
      </w:r>
      <w:r w:rsidR="000C6155" w:rsidRPr="00C265E7">
        <w:t xml:space="preserve">calendar years </w:t>
      </w:r>
      <w:r w:rsidR="004C0DA8" w:rsidRPr="00C265E7">
        <w:t>200</w:t>
      </w:r>
      <w:r w:rsidR="001C26EA" w:rsidRPr="00C265E7">
        <w:t>1</w:t>
      </w:r>
      <w:r w:rsidR="004C0DA8" w:rsidRPr="00C265E7">
        <w:t>–20</w:t>
      </w:r>
      <w:r w:rsidR="00D45CAB" w:rsidRPr="00C265E7">
        <w:t>1</w:t>
      </w:r>
      <w:r w:rsidR="00C265E7" w:rsidRPr="00C265E7">
        <w:t>2</w:t>
      </w:r>
      <w:r w:rsidR="004C0DA8" w:rsidRPr="00C265E7">
        <w:t xml:space="preserve"> </w:t>
      </w:r>
      <w:r w:rsidR="009326BF" w:rsidRPr="00C265E7">
        <w:t xml:space="preserve">due to </w:t>
      </w:r>
      <w:r w:rsidR="004C0DA8" w:rsidRPr="00C265E7">
        <w:t xml:space="preserve">crab fisheries range from 0 to </w:t>
      </w:r>
      <w:r w:rsidR="00AF510A" w:rsidRPr="00C265E7">
        <w:t>0.</w:t>
      </w:r>
      <w:r w:rsidR="004C0DA8" w:rsidRPr="00C265E7">
        <w:t>1</w:t>
      </w:r>
      <w:r w:rsidR="009C6E29" w:rsidRPr="00C265E7">
        <w:t>6</w:t>
      </w:r>
      <w:r w:rsidR="004E2C86" w:rsidRPr="00C265E7">
        <w:t>0</w:t>
      </w:r>
      <w:r w:rsidR="00C854BA" w:rsidRPr="00C265E7">
        <w:t>-</w:t>
      </w:r>
      <w:r w:rsidR="00AF510A" w:rsidRPr="00C265E7">
        <w:t>million</w:t>
      </w:r>
      <w:r w:rsidR="00C854BA" w:rsidRPr="00C265E7">
        <w:t xml:space="preserve"> pounds</w:t>
      </w:r>
      <w:r w:rsidR="0017497E" w:rsidRPr="00C265E7">
        <w:t xml:space="preserve"> (</w:t>
      </w:r>
      <w:r w:rsidR="000912F3" w:rsidRPr="00C265E7">
        <w:t>73</w:t>
      </w:r>
      <w:r w:rsidR="0017497E" w:rsidRPr="00C265E7">
        <w:t xml:space="preserve"> t), with an </w:t>
      </w:r>
      <w:r w:rsidR="00C854BA" w:rsidRPr="00C265E7">
        <w:t xml:space="preserve">average </w:t>
      </w:r>
      <w:r w:rsidR="0017497E" w:rsidRPr="00C265E7">
        <w:t xml:space="preserve">of </w:t>
      </w:r>
      <w:r w:rsidR="00AF510A" w:rsidRPr="00453C4F">
        <w:t>0.0</w:t>
      </w:r>
      <w:r w:rsidR="00453C4F" w:rsidRPr="00453C4F">
        <w:t>76</w:t>
      </w:r>
      <w:r w:rsidR="004C0DA8" w:rsidRPr="00453C4F">
        <w:t>-</w:t>
      </w:r>
      <w:r w:rsidR="00AF510A" w:rsidRPr="00453C4F">
        <w:t>million</w:t>
      </w:r>
      <w:r w:rsidR="004C0DA8" w:rsidRPr="00453C4F">
        <w:t xml:space="preserve"> pounds</w:t>
      </w:r>
      <w:r w:rsidR="0017497E" w:rsidRPr="00453C4F">
        <w:t xml:space="preserve"> (</w:t>
      </w:r>
      <w:r w:rsidR="008D366E" w:rsidRPr="00453C4F">
        <w:t>3</w:t>
      </w:r>
      <w:r w:rsidR="00453C4F" w:rsidRPr="00453C4F">
        <w:t>4</w:t>
      </w:r>
      <w:r w:rsidR="0017497E" w:rsidRPr="00453C4F">
        <w:t xml:space="preserve"> t</w:t>
      </w:r>
      <w:r w:rsidR="004C0DA8" w:rsidRPr="00453C4F">
        <w:t xml:space="preserve">).  Estimates of </w:t>
      </w:r>
      <w:r w:rsidR="00A45E97" w:rsidRPr="00453C4F">
        <w:t xml:space="preserve">annually </w:t>
      </w:r>
      <w:r w:rsidR="00D635AC" w:rsidRPr="00453C4F">
        <w:t>discarded bycatch during Beri</w:t>
      </w:r>
      <w:r w:rsidR="00C51C63" w:rsidRPr="00453C4F">
        <w:t xml:space="preserve">ng Sea groundfish fisheries </w:t>
      </w:r>
      <w:r w:rsidR="00436FC5" w:rsidRPr="00453C4F">
        <w:t xml:space="preserve">are reported for crab fishery years. Those estimates </w:t>
      </w:r>
      <w:r w:rsidR="00C51C63" w:rsidRPr="00453C4F">
        <w:t>range</w:t>
      </w:r>
      <w:r w:rsidR="00D635AC" w:rsidRPr="00453C4F">
        <w:t xml:space="preserve"> from </w:t>
      </w:r>
      <w:r w:rsidR="0044740C" w:rsidRPr="00453C4F">
        <w:t>&lt;</w:t>
      </w:r>
      <w:r w:rsidR="00DB1BDC" w:rsidRPr="00453C4F">
        <w:t>0.</w:t>
      </w:r>
      <w:r w:rsidR="00F002C7" w:rsidRPr="00453C4F">
        <w:t>00</w:t>
      </w:r>
      <w:r w:rsidR="00DB1BDC" w:rsidRPr="00453C4F">
        <w:t>1-</w:t>
      </w:r>
      <w:r w:rsidR="00F002C7" w:rsidRPr="00453C4F">
        <w:t>million</w:t>
      </w:r>
      <w:r w:rsidR="00D635AC" w:rsidRPr="00453C4F">
        <w:t xml:space="preserve"> </w:t>
      </w:r>
      <w:r w:rsidR="0017497E" w:rsidRPr="00453C4F">
        <w:t xml:space="preserve">(&lt;1 t) </w:t>
      </w:r>
      <w:r w:rsidR="00D635AC" w:rsidRPr="00453C4F">
        <w:t xml:space="preserve">to </w:t>
      </w:r>
      <w:r w:rsidR="00F002C7" w:rsidRPr="00453C4F">
        <w:t>0.0</w:t>
      </w:r>
      <w:r w:rsidR="0042501A" w:rsidRPr="00453C4F">
        <w:t>27</w:t>
      </w:r>
      <w:r w:rsidR="00DB1BDC" w:rsidRPr="00453C4F">
        <w:t>-</w:t>
      </w:r>
      <w:r w:rsidR="00F002C7" w:rsidRPr="00453C4F">
        <w:t>million</w:t>
      </w:r>
      <w:r w:rsidR="00DB1BDC" w:rsidRPr="00453C4F">
        <w:t xml:space="preserve"> </w:t>
      </w:r>
      <w:r w:rsidR="00D635AC" w:rsidRPr="00453C4F">
        <w:t xml:space="preserve">pounds </w:t>
      </w:r>
      <w:r w:rsidR="0017497E" w:rsidRPr="00453C4F">
        <w:t>(</w:t>
      </w:r>
      <w:r w:rsidR="0042501A" w:rsidRPr="00453C4F">
        <w:t>12</w:t>
      </w:r>
      <w:r w:rsidR="0017497E" w:rsidRPr="00453C4F">
        <w:t xml:space="preserve"> t) </w:t>
      </w:r>
      <w:r w:rsidR="00D635AC" w:rsidRPr="00453C4F">
        <w:t xml:space="preserve">annually during </w:t>
      </w:r>
      <w:r w:rsidR="00DB1BDC" w:rsidRPr="00453C4F">
        <w:t>the 1991/92–20</w:t>
      </w:r>
      <w:r w:rsidR="00D45CAB" w:rsidRPr="00453C4F">
        <w:t>1</w:t>
      </w:r>
      <w:r w:rsidR="00453C4F" w:rsidRPr="00453C4F">
        <w:t>1</w:t>
      </w:r>
      <w:r w:rsidR="00DB1BDC" w:rsidRPr="00453C4F">
        <w:t>/</w:t>
      </w:r>
      <w:r w:rsidR="00436FC5" w:rsidRPr="00453C4F">
        <w:t>1</w:t>
      </w:r>
      <w:r w:rsidR="00453C4F" w:rsidRPr="00453C4F">
        <w:t>2</w:t>
      </w:r>
      <w:r w:rsidR="00DB1BDC" w:rsidRPr="00453C4F">
        <w:t xml:space="preserve"> crab fishery years</w:t>
      </w:r>
      <w:r w:rsidR="00A45E97" w:rsidRPr="00453C4F">
        <w:t xml:space="preserve">. </w:t>
      </w:r>
      <w:r w:rsidR="00145993" w:rsidRPr="00453C4F">
        <w:t>E</w:t>
      </w:r>
      <w:r w:rsidR="004C0DA8" w:rsidRPr="00453C4F">
        <w:t xml:space="preserve">stimates of </w:t>
      </w:r>
      <w:r w:rsidR="00A45E97" w:rsidRPr="00453C4F">
        <w:t xml:space="preserve">annual </w:t>
      </w:r>
      <w:r w:rsidR="004C0DA8" w:rsidRPr="00453C4F">
        <w:t>fishery mortality during 1991/92–20</w:t>
      </w:r>
      <w:r w:rsidR="00D45CAB" w:rsidRPr="00453C4F">
        <w:t>1</w:t>
      </w:r>
      <w:r w:rsidR="00453C4F" w:rsidRPr="00453C4F">
        <w:t>1</w:t>
      </w:r>
      <w:r w:rsidR="004C0DA8" w:rsidRPr="00453C4F">
        <w:t>/</w:t>
      </w:r>
      <w:r w:rsidR="00F67398" w:rsidRPr="00453C4F">
        <w:t>1</w:t>
      </w:r>
      <w:r w:rsidR="00453C4F" w:rsidRPr="00453C4F">
        <w:t>2</w:t>
      </w:r>
      <w:r w:rsidR="004C0DA8" w:rsidRPr="00453C4F">
        <w:t xml:space="preserve"> </w:t>
      </w:r>
      <w:r w:rsidR="00412805" w:rsidRPr="00453C4F">
        <w:t xml:space="preserve">due to </w:t>
      </w:r>
      <w:r w:rsidR="004C0DA8" w:rsidRPr="00453C4F">
        <w:t xml:space="preserve">groundfish fisheries range from </w:t>
      </w:r>
      <w:r w:rsidR="0044740C" w:rsidRPr="00453C4F">
        <w:t>&lt;</w:t>
      </w:r>
      <w:r w:rsidR="00376AF6" w:rsidRPr="00453C4F">
        <w:t>0.</w:t>
      </w:r>
      <w:r w:rsidR="0044740C" w:rsidRPr="00453C4F">
        <w:t>001-million</w:t>
      </w:r>
      <w:r w:rsidR="004C0DA8" w:rsidRPr="00453C4F">
        <w:t xml:space="preserve"> pounds </w:t>
      </w:r>
      <w:r w:rsidR="00A45E97" w:rsidRPr="00453C4F">
        <w:t xml:space="preserve">(&lt;1 t) </w:t>
      </w:r>
      <w:r w:rsidR="004C0DA8" w:rsidRPr="00453C4F">
        <w:t xml:space="preserve">to </w:t>
      </w:r>
      <w:r w:rsidR="0042501A" w:rsidRPr="00453C4F">
        <w:t>0.01</w:t>
      </w:r>
      <w:r w:rsidR="00696B54" w:rsidRPr="00453C4F">
        <w:t>9</w:t>
      </w:r>
      <w:r w:rsidR="004C0DA8" w:rsidRPr="00453C4F">
        <w:t>-</w:t>
      </w:r>
      <w:r w:rsidR="0044740C" w:rsidRPr="00453C4F">
        <w:t>million</w:t>
      </w:r>
      <w:r w:rsidR="004C0DA8" w:rsidRPr="00453C4F">
        <w:t xml:space="preserve"> pounds</w:t>
      </w:r>
      <w:r w:rsidR="0042501A" w:rsidRPr="00453C4F">
        <w:t xml:space="preserve"> (9</w:t>
      </w:r>
      <w:r w:rsidR="00A45E97" w:rsidRPr="00453C4F">
        <w:t xml:space="preserve"> t), with an</w:t>
      </w:r>
      <w:r w:rsidR="004C0DA8" w:rsidRPr="00453C4F">
        <w:t xml:space="preserve"> average </w:t>
      </w:r>
      <w:r w:rsidR="00A45E97" w:rsidRPr="00AC17B7">
        <w:t>of</w:t>
      </w:r>
      <w:r w:rsidR="004C0DA8" w:rsidRPr="00AC17B7">
        <w:t xml:space="preserve"> </w:t>
      </w:r>
      <w:r w:rsidR="0044740C" w:rsidRPr="00AC17B7">
        <w:t>0.00</w:t>
      </w:r>
      <w:r w:rsidR="0042501A" w:rsidRPr="00AC17B7">
        <w:t>6</w:t>
      </w:r>
      <w:r w:rsidR="004C0DA8" w:rsidRPr="00AC17B7">
        <w:t>-</w:t>
      </w:r>
      <w:r w:rsidR="0044740C" w:rsidRPr="00AC17B7">
        <w:t>million</w:t>
      </w:r>
      <w:r w:rsidR="004C0DA8" w:rsidRPr="00AC17B7">
        <w:t xml:space="preserve"> pounds</w:t>
      </w:r>
      <w:r w:rsidR="0042501A" w:rsidRPr="00AC17B7">
        <w:t xml:space="preserve"> (3</w:t>
      </w:r>
      <w:r w:rsidR="00A45E97" w:rsidRPr="00AC17B7">
        <w:t xml:space="preserve"> t)</w:t>
      </w:r>
      <w:r w:rsidR="004C0DA8" w:rsidRPr="00AC17B7">
        <w:t>.</w:t>
      </w:r>
    </w:p>
    <w:p w:rsidR="000314A8" w:rsidRPr="00BC5BFD" w:rsidRDefault="000314A8" w:rsidP="000314A8">
      <w:pPr>
        <w:jc w:val="both"/>
        <w:rPr>
          <w:highlight w:val="yellow"/>
        </w:rPr>
      </w:pPr>
    </w:p>
    <w:p w:rsidR="000314A8" w:rsidRPr="00F02729" w:rsidRDefault="007B5B81" w:rsidP="00346429">
      <w:pPr>
        <w:numPr>
          <w:ilvl w:val="0"/>
          <w:numId w:val="4"/>
        </w:numPr>
        <w:jc w:val="both"/>
        <w:rPr>
          <w:b/>
        </w:rPr>
      </w:pPr>
      <w:r w:rsidRPr="00F02729">
        <w:rPr>
          <w:b/>
          <w:u w:val="single"/>
        </w:rPr>
        <w:t>Stock biomass</w:t>
      </w:r>
      <w:r w:rsidRPr="00F02729">
        <w:rPr>
          <w:b/>
        </w:rPr>
        <w:t xml:space="preserve">:  </w:t>
      </w:r>
    </w:p>
    <w:p w:rsidR="00016DC1" w:rsidRPr="000756B1" w:rsidRDefault="00016DC1" w:rsidP="00016DC1">
      <w:pPr>
        <w:jc w:val="both"/>
        <w:rPr>
          <w:b/>
          <w:i/>
        </w:rPr>
      </w:pPr>
      <w:r w:rsidRPr="00016DC1">
        <w:t xml:space="preserve">Stock </w:t>
      </w:r>
      <w:r>
        <w:t xml:space="preserve">biomass </w:t>
      </w:r>
      <w:r w:rsidRPr="00016DC1">
        <w:t xml:space="preserve">(all sizes, both sexes) of golden king crab have been estimated for the Pribilof Canyon area using the area-swept technique applied to </w:t>
      </w:r>
      <w:r>
        <w:t xml:space="preserve">data obtained during </w:t>
      </w:r>
      <w:r w:rsidRPr="00016DC1">
        <w:t xml:space="preserve">eastern Bering Sea </w:t>
      </w:r>
      <w:r w:rsidR="00733E72">
        <w:t xml:space="preserve">upper </w:t>
      </w:r>
      <w:r w:rsidRPr="00016DC1">
        <w:t>continental slope trawl survey</w:t>
      </w:r>
      <w:r>
        <w:t>s</w:t>
      </w:r>
      <w:r w:rsidRPr="00016DC1">
        <w:t xml:space="preserve"> </w:t>
      </w:r>
      <w:r>
        <w:t xml:space="preserve">performed </w:t>
      </w:r>
      <w:r w:rsidR="005402EC">
        <w:t xml:space="preserve">by NMFS-AFSC </w:t>
      </w:r>
      <w:r w:rsidR="00D45CAB">
        <w:t>in 2002</w:t>
      </w:r>
      <w:r w:rsidR="00115261">
        <w:t xml:space="preserve"> (Hoff and Britt 2003)</w:t>
      </w:r>
      <w:r w:rsidR="00D45CAB">
        <w:t>, 2004</w:t>
      </w:r>
      <w:r w:rsidR="00115261">
        <w:t xml:space="preserve"> (Hoff and Britt 2005)</w:t>
      </w:r>
      <w:r w:rsidR="00D45CAB">
        <w:t>,</w:t>
      </w:r>
      <w:r>
        <w:t xml:space="preserve"> 2008</w:t>
      </w:r>
      <w:r w:rsidR="00115261">
        <w:t xml:space="preserve"> (Hoff and Britt 2009)</w:t>
      </w:r>
      <w:r w:rsidR="00D45CAB">
        <w:t>,</w:t>
      </w:r>
      <w:r w:rsidR="00115261">
        <w:t xml:space="preserve"> </w:t>
      </w:r>
      <w:r w:rsidR="0077693C">
        <w:t xml:space="preserve">and </w:t>
      </w:r>
      <w:r w:rsidR="00D45CAB">
        <w:t>2010</w:t>
      </w:r>
      <w:r w:rsidR="00115261">
        <w:t xml:space="preserve"> (Hoff and Britt  2011)</w:t>
      </w:r>
      <w:r w:rsidR="0077693C">
        <w:t xml:space="preserve">. Data </w:t>
      </w:r>
      <w:r w:rsidR="006B238D">
        <w:t xml:space="preserve">is </w:t>
      </w:r>
      <w:r w:rsidR="0077693C">
        <w:t xml:space="preserve">available from </w:t>
      </w:r>
      <w:r w:rsidR="006B238D">
        <w:t>t</w:t>
      </w:r>
      <w:r w:rsidR="0077693C">
        <w:t xml:space="preserve">he </w:t>
      </w:r>
      <w:r w:rsidR="006B238D">
        <w:t xml:space="preserve">2012 </w:t>
      </w:r>
      <w:r w:rsidR="0077693C">
        <w:t>upper continental slope</w:t>
      </w:r>
      <w:r w:rsidR="00115261">
        <w:t xml:space="preserve"> </w:t>
      </w:r>
      <w:r w:rsidR="006B238D">
        <w:t xml:space="preserve">survey (C. Armistead, NMFS-AFSC, </w:t>
      </w:r>
      <w:proofErr w:type="gramStart"/>
      <w:r w:rsidR="006B238D">
        <w:t>Kodiak</w:t>
      </w:r>
      <w:proofErr w:type="gramEnd"/>
      <w:r w:rsidR="006B238D">
        <w:t xml:space="preserve">). Complete data on size-sex composition of survey catch is available only from the 2008, 2010, and 2012 surveys (C. Armistead, NMFS-AFSC, </w:t>
      </w:r>
      <w:proofErr w:type="gramStart"/>
      <w:r w:rsidR="006B238D">
        <w:t>Kodiak</w:t>
      </w:r>
      <w:proofErr w:type="gramEnd"/>
      <w:r w:rsidR="006B238D">
        <w:t xml:space="preserve">). Biomass estimates by sex and size </w:t>
      </w:r>
      <w:r w:rsidR="00045352">
        <w:t xml:space="preserve">class </w:t>
      </w:r>
      <w:r w:rsidR="006B238D">
        <w:t>from the 2008, 2010, and 2012 surveys are presented in a separate May 2013 report to the Crab Plan Team</w:t>
      </w:r>
      <w:r w:rsidR="00EA36EF">
        <w:t xml:space="preserve"> (Gaeuman 2013).</w:t>
      </w:r>
    </w:p>
    <w:p w:rsidR="000314A8" w:rsidRDefault="000314A8" w:rsidP="000314A8">
      <w:pPr>
        <w:jc w:val="both"/>
      </w:pPr>
    </w:p>
    <w:p w:rsidR="000314A8" w:rsidRPr="00F02729" w:rsidRDefault="007B5B81" w:rsidP="00346429">
      <w:pPr>
        <w:numPr>
          <w:ilvl w:val="0"/>
          <w:numId w:val="4"/>
        </w:numPr>
        <w:jc w:val="both"/>
        <w:rPr>
          <w:b/>
        </w:rPr>
      </w:pPr>
      <w:r w:rsidRPr="00F02729">
        <w:rPr>
          <w:b/>
          <w:u w:val="single"/>
        </w:rPr>
        <w:t>Recruitment</w:t>
      </w:r>
      <w:r w:rsidR="000314A8" w:rsidRPr="00F02729">
        <w:rPr>
          <w:b/>
        </w:rPr>
        <w:t>:</w:t>
      </w:r>
    </w:p>
    <w:p w:rsidR="00346429" w:rsidRDefault="00C13D12" w:rsidP="000314A8">
      <w:pPr>
        <w:jc w:val="both"/>
      </w:pPr>
      <w:r w:rsidRPr="00644C32">
        <w:lastRenderedPageBreak/>
        <w:t>From data colle</w:t>
      </w:r>
      <w:r w:rsidR="000B1FD2" w:rsidRPr="00644C32">
        <w:t xml:space="preserve">cted during the 2002, 2004, </w:t>
      </w:r>
      <w:r w:rsidRPr="00644C32">
        <w:t>2008</w:t>
      </w:r>
      <w:r w:rsidR="000B1FD2" w:rsidRPr="00644C32">
        <w:t>, and 2010</w:t>
      </w:r>
      <w:r w:rsidRPr="00644C32">
        <w:t xml:space="preserve"> </w:t>
      </w:r>
      <w:r w:rsidR="0095222C" w:rsidRPr="00644C32">
        <w:t xml:space="preserve">NMFS-AFSC eastern Bering </w:t>
      </w:r>
      <w:r w:rsidR="00CD0AB8" w:rsidRPr="00644C32">
        <w:t>Sea upper</w:t>
      </w:r>
      <w:r w:rsidR="00733E72" w:rsidRPr="00644C32">
        <w:t xml:space="preserve"> </w:t>
      </w:r>
      <w:r w:rsidR="0095222C" w:rsidRPr="00644C32">
        <w:t xml:space="preserve">continental slope surveys biomass of golden king </w:t>
      </w:r>
      <w:r w:rsidR="008E47B6" w:rsidRPr="00644C32">
        <w:t>crab</w:t>
      </w:r>
      <w:r w:rsidR="0095222C" w:rsidRPr="00644C32">
        <w:t xml:space="preserve"> </w:t>
      </w:r>
      <w:r w:rsidR="00493D82" w:rsidRPr="00644C32">
        <w:t xml:space="preserve">(all sizes and both sexes) are estimated to have increased </w:t>
      </w:r>
      <w:r w:rsidR="0095222C" w:rsidRPr="00644C32">
        <w:t xml:space="preserve">in the </w:t>
      </w:r>
      <w:r w:rsidR="000B1FD2" w:rsidRPr="00644C32">
        <w:t xml:space="preserve">surveyed area of </w:t>
      </w:r>
      <w:r w:rsidR="0095222C" w:rsidRPr="00644C32">
        <w:t>eastern Bering Sea</w:t>
      </w:r>
      <w:r w:rsidR="00463308" w:rsidRPr="00644C32">
        <w:t xml:space="preserve">. </w:t>
      </w:r>
      <w:r w:rsidR="00995B08" w:rsidRPr="00644C32">
        <w:t>Biomass i</w:t>
      </w:r>
      <w:r w:rsidR="00493D82" w:rsidRPr="00644C32">
        <w:t>n</w:t>
      </w:r>
      <w:r w:rsidR="001277C7" w:rsidRPr="00644C32">
        <w:t xml:space="preserve"> the Pribilof Canyon area</w:t>
      </w:r>
      <w:r w:rsidR="00995B08" w:rsidRPr="00644C32">
        <w:t xml:space="preserve"> was</w:t>
      </w:r>
      <w:r w:rsidR="00463308" w:rsidRPr="00644C32">
        <w:t xml:space="preserve"> estimated to have increased</w:t>
      </w:r>
      <w:r w:rsidR="001277C7" w:rsidRPr="00644C32">
        <w:t xml:space="preserve"> </w:t>
      </w:r>
      <w:r w:rsidR="0095222C" w:rsidRPr="00644C32">
        <w:t xml:space="preserve">from </w:t>
      </w:r>
      <w:r w:rsidR="00C81310" w:rsidRPr="00644C32">
        <w:t>1.504-million pounds</w:t>
      </w:r>
      <w:r w:rsidR="00F36EAB" w:rsidRPr="00644C32">
        <w:t xml:space="preserve"> </w:t>
      </w:r>
      <w:r w:rsidR="00A24DAF" w:rsidRPr="00644C32">
        <w:t xml:space="preserve">(682 t) </w:t>
      </w:r>
      <w:r w:rsidR="00F36EAB" w:rsidRPr="00644C32">
        <w:t>in 2002</w:t>
      </w:r>
      <w:r w:rsidR="0095222C" w:rsidRPr="00644C32">
        <w:t xml:space="preserve"> to </w:t>
      </w:r>
      <w:r w:rsidR="000B1FD2" w:rsidRPr="00644C32">
        <w:t>3.560-million pounds (1,615 t)</w:t>
      </w:r>
      <w:r w:rsidR="00F36EAB" w:rsidRPr="00644C32">
        <w:t xml:space="preserve"> in 20</w:t>
      </w:r>
      <w:r w:rsidR="000B1FD2" w:rsidRPr="00644C32">
        <w:t>10</w:t>
      </w:r>
      <w:r w:rsidR="00995B08" w:rsidRPr="00644C32">
        <w:t>; biomass for the entire slope survey area was estim</w:t>
      </w:r>
      <w:r w:rsidR="006C5BBA" w:rsidRPr="00644C32">
        <w:t>ated to have increased from 2.227</w:t>
      </w:r>
      <w:r w:rsidR="00995B08" w:rsidRPr="00644C32">
        <w:t xml:space="preserve">-million </w:t>
      </w:r>
      <w:r w:rsidR="006C5BBA" w:rsidRPr="00644C32">
        <w:t>pounds (1,010 t) in 2002 to 5.071</w:t>
      </w:r>
      <w:r w:rsidR="00995B08" w:rsidRPr="00644C32">
        <w:t>-million pounds (2,300 t) in 2010</w:t>
      </w:r>
      <w:r w:rsidR="0095222C" w:rsidRPr="00644C32">
        <w:t xml:space="preserve">.  </w:t>
      </w:r>
      <w:r w:rsidR="00644C32" w:rsidRPr="00644C32">
        <w:t xml:space="preserve">Using data from the 2012 NMFS-AFSC eastern Bering Sea upper continental slope survey, </w:t>
      </w:r>
      <w:r w:rsidR="0085312F" w:rsidRPr="00644C32">
        <w:t>Gaeuman</w:t>
      </w:r>
      <w:r w:rsidR="00644C32" w:rsidRPr="00644C32">
        <w:t xml:space="preserve"> (2013) estimated total biomass for 2012 in t</w:t>
      </w:r>
      <w:r w:rsidR="00EB4854">
        <w:t>he Pribilof Canyon area to be 1.</w:t>
      </w:r>
      <w:r w:rsidR="00644C32" w:rsidRPr="00644C32">
        <w:t>567-million pounds (711 t) and</w:t>
      </w:r>
      <w:r w:rsidR="0085312F" w:rsidRPr="00644C32">
        <w:t xml:space="preserve"> 4.</w:t>
      </w:r>
      <w:r w:rsidR="00C12A32" w:rsidRPr="00644C32">
        <w:t xml:space="preserve">244-million pounds (1,925 t) for </w:t>
      </w:r>
      <w:r w:rsidR="00644C32" w:rsidRPr="00644C32">
        <w:t xml:space="preserve">the </w:t>
      </w:r>
      <w:r w:rsidR="00C12A32" w:rsidRPr="00644C32">
        <w:t>entire survey area</w:t>
      </w:r>
      <w:r w:rsidR="00644C32" w:rsidRPr="00644C32">
        <w:t>.</w:t>
      </w:r>
    </w:p>
    <w:p w:rsidR="000314A8" w:rsidRPr="00C5620C" w:rsidRDefault="000314A8" w:rsidP="000314A8">
      <w:pPr>
        <w:jc w:val="both"/>
      </w:pPr>
    </w:p>
    <w:p w:rsidR="000314A8" w:rsidRPr="00F02729" w:rsidRDefault="007B5B81" w:rsidP="007B5B81">
      <w:pPr>
        <w:numPr>
          <w:ilvl w:val="0"/>
          <w:numId w:val="4"/>
        </w:numPr>
        <w:jc w:val="both"/>
        <w:rPr>
          <w:b/>
        </w:rPr>
      </w:pPr>
      <w:r w:rsidRPr="00F02729">
        <w:rPr>
          <w:b/>
          <w:u w:val="single"/>
        </w:rPr>
        <w:t>Management performance</w:t>
      </w:r>
      <w:r w:rsidR="0060415F" w:rsidRPr="00F02729">
        <w:rPr>
          <w:b/>
        </w:rPr>
        <w:t xml:space="preserve">: </w:t>
      </w:r>
    </w:p>
    <w:p w:rsidR="0060415F" w:rsidRPr="00A36539" w:rsidRDefault="0060415F" w:rsidP="000314A8">
      <w:pPr>
        <w:jc w:val="both"/>
      </w:pPr>
      <w:r w:rsidRPr="00A36539">
        <w:t xml:space="preserve">No overfished determination </w:t>
      </w:r>
      <w:r w:rsidR="00FF1080" w:rsidRPr="00A36539">
        <w:t xml:space="preserve">(i.e., MSST) </w:t>
      </w:r>
      <w:r w:rsidR="0093431A">
        <w:t xml:space="preserve">has been made for this stock, but see Gaeuman (2013) for </w:t>
      </w:r>
      <w:r w:rsidR="00DB6E65">
        <w:t>estimates of mature male biomass for this stock</w:t>
      </w:r>
      <w:r w:rsidR="0093431A">
        <w:t xml:space="preserve"> from the 2008, 2010, and 2012 </w:t>
      </w:r>
      <w:r w:rsidR="0093431A" w:rsidRPr="00016DC1">
        <w:t xml:space="preserve">eastern Bering Sea </w:t>
      </w:r>
      <w:r w:rsidR="0093431A">
        <w:t xml:space="preserve">upper </w:t>
      </w:r>
      <w:r w:rsidR="0093431A" w:rsidRPr="00016DC1">
        <w:t>continental slope trawl survey</w:t>
      </w:r>
      <w:r w:rsidR="0093431A">
        <w:t xml:space="preserve"> data</w:t>
      </w:r>
      <w:r w:rsidRPr="00A36539">
        <w:t xml:space="preserve">. </w:t>
      </w:r>
      <w:r w:rsidRPr="00E43B0A">
        <w:t>Overfis</w:t>
      </w:r>
      <w:r w:rsidR="00A36539" w:rsidRPr="00E43B0A">
        <w:t xml:space="preserve">hing did not </w:t>
      </w:r>
      <w:r w:rsidR="006205B0" w:rsidRPr="00E43B0A">
        <w:t xml:space="preserve">occur </w:t>
      </w:r>
      <w:r w:rsidR="00810572" w:rsidRPr="00E43B0A">
        <w:t>during 20</w:t>
      </w:r>
      <w:r w:rsidR="008F69BE" w:rsidRPr="00E43B0A">
        <w:t>1</w:t>
      </w:r>
      <w:r w:rsidR="0093431A">
        <w:t>2</w:t>
      </w:r>
      <w:r w:rsidR="00A36539" w:rsidRPr="00E43B0A">
        <w:t xml:space="preserve"> (the golden king crab season </w:t>
      </w:r>
      <w:r w:rsidR="00C72F38">
        <w:t xml:space="preserve">in the Pribilof District </w:t>
      </w:r>
      <w:r w:rsidR="00A36539" w:rsidRPr="00E43B0A">
        <w:t>is based on a calendar year)</w:t>
      </w:r>
      <w:r w:rsidR="00112201" w:rsidRPr="00E43B0A">
        <w:t xml:space="preserve">; </w:t>
      </w:r>
      <w:r w:rsidR="004468B8" w:rsidRPr="00E43B0A">
        <w:t xml:space="preserve">the </w:t>
      </w:r>
      <w:r w:rsidR="00256273">
        <w:t xml:space="preserve">estimated total </w:t>
      </w:r>
      <w:r w:rsidR="004468B8" w:rsidRPr="00E43B0A">
        <w:t xml:space="preserve">catch </w:t>
      </w:r>
      <w:r w:rsidR="00130BC6" w:rsidRPr="00E43B0A">
        <w:t xml:space="preserve">did not exceed the </w:t>
      </w:r>
      <w:r w:rsidR="004468B8" w:rsidRPr="00E43B0A">
        <w:t xml:space="preserve">OFL of </w:t>
      </w:r>
      <w:r w:rsidR="00721CF0" w:rsidRPr="00E43B0A">
        <w:t>0.</w:t>
      </w:r>
      <w:r w:rsidR="0093431A">
        <w:t>20</w:t>
      </w:r>
      <w:r w:rsidR="00721CF0" w:rsidRPr="00E43B0A">
        <w:t>-million pounds</w:t>
      </w:r>
      <w:r w:rsidR="009C1087">
        <w:t xml:space="preserve"> (</w:t>
      </w:r>
      <w:r w:rsidR="0093431A">
        <w:t>91</w:t>
      </w:r>
      <w:r w:rsidR="009C1087">
        <w:t xml:space="preserve"> t)</w:t>
      </w:r>
      <w:r w:rsidR="00112201" w:rsidRPr="00E43B0A">
        <w:t>.</w:t>
      </w:r>
      <w:r w:rsidRPr="00721CF0">
        <w:t xml:space="preserve">  </w:t>
      </w:r>
      <w:r w:rsidR="0092284C">
        <w:t xml:space="preserve">Total catch did not exceed the total-catch ABC of 0.18-million pounds (82 t) that was established for the 2012 season.  </w:t>
      </w:r>
      <w:r w:rsidR="00130BC6">
        <w:t xml:space="preserve">Retained catch </w:t>
      </w:r>
      <w:r w:rsidR="00165439">
        <w:t>and total-catch</w:t>
      </w:r>
      <w:r w:rsidR="00C7721F">
        <w:t xml:space="preserve"> mortality </w:t>
      </w:r>
      <w:r w:rsidR="00173F8A">
        <w:t>in 201</w:t>
      </w:r>
      <w:r w:rsidR="0092284C">
        <w:t>2</w:t>
      </w:r>
      <w:r w:rsidR="00130BC6">
        <w:t xml:space="preserve"> </w:t>
      </w:r>
      <w:r w:rsidR="00165439">
        <w:t>are</w:t>
      </w:r>
      <w:r w:rsidR="00E43B0A">
        <w:t xml:space="preserve"> confidential </w:t>
      </w:r>
      <w:r w:rsidR="00344879">
        <w:t>under the requirements of Sec. 16.05.815 (SOA statute)</w:t>
      </w:r>
      <w:r w:rsidR="00E43B0A">
        <w:t>.</w:t>
      </w:r>
      <w:r w:rsidR="00173F8A">
        <w:t xml:space="preserve">  T</w:t>
      </w:r>
      <w:r w:rsidR="000E380A">
        <w:t>he 201</w:t>
      </w:r>
      <w:r w:rsidR="0092284C">
        <w:t>3</w:t>
      </w:r>
      <w:r w:rsidR="000E380A">
        <w:t xml:space="preserve"> </w:t>
      </w:r>
      <w:r w:rsidR="00173F8A">
        <w:t>season is currently ongoing</w:t>
      </w:r>
      <w:r w:rsidR="007E5611">
        <w:t>; 2014 season hasn’t started yet</w:t>
      </w:r>
      <w:r w:rsidR="000E380A">
        <w:t>.</w:t>
      </w:r>
      <w:r w:rsidR="00C91A97">
        <w:t xml:space="preserve">  The 2014 OFL and ABC are the author’s recommendations.</w:t>
      </w:r>
    </w:p>
    <w:p w:rsidR="000314A8" w:rsidRDefault="000314A8" w:rsidP="000314A8">
      <w:pPr>
        <w:jc w:val="both"/>
        <w:rPr>
          <w:highlight w:val="yellow"/>
        </w:rPr>
      </w:pPr>
    </w:p>
    <w:tbl>
      <w:tblPr>
        <w:tblW w:w="4722" w:type="pct"/>
        <w:tblInd w:w="288" w:type="dxa"/>
        <w:tblLook w:val="0000"/>
      </w:tblPr>
      <w:tblGrid>
        <w:gridCol w:w="872"/>
        <w:gridCol w:w="870"/>
        <w:gridCol w:w="1070"/>
        <w:gridCol w:w="840"/>
        <w:gridCol w:w="1416"/>
        <w:gridCol w:w="1416"/>
        <w:gridCol w:w="1122"/>
        <w:gridCol w:w="1122"/>
      </w:tblGrid>
      <w:tr w:rsidR="00173F8A" w:rsidRPr="00C8044B" w:rsidTr="00B62FB3">
        <w:trPr>
          <w:trHeight w:val="437"/>
        </w:trPr>
        <w:tc>
          <w:tcPr>
            <w:tcW w:w="500" w:type="pct"/>
            <w:tcBorders>
              <w:top w:val="single" w:sz="12" w:space="0" w:color="auto"/>
              <w:left w:val="nil"/>
              <w:bottom w:val="single" w:sz="12" w:space="0" w:color="auto"/>
              <w:right w:val="nil"/>
            </w:tcBorders>
            <w:shd w:val="clear" w:color="auto" w:fill="auto"/>
            <w:vAlign w:val="center"/>
          </w:tcPr>
          <w:p w:rsidR="00DB608C" w:rsidRPr="00A36539" w:rsidRDefault="00DB608C" w:rsidP="00C22926">
            <w:pPr>
              <w:keepNext/>
              <w:jc w:val="center"/>
              <w:rPr>
                <w:b/>
                <w:bCs/>
                <w:szCs w:val="22"/>
              </w:rPr>
            </w:pPr>
            <w:proofErr w:type="spellStart"/>
            <w:r w:rsidRPr="00A36539">
              <w:rPr>
                <w:b/>
                <w:bCs/>
                <w:szCs w:val="22"/>
              </w:rPr>
              <w:t>Year</w:t>
            </w:r>
            <w:r w:rsidRPr="00A36539">
              <w:rPr>
                <w:rFonts w:ascii="Times New Roman Bold" w:hAnsi="Times New Roman Bold"/>
                <w:b/>
                <w:bCs/>
                <w:vertAlign w:val="superscript"/>
              </w:rPr>
              <w:t>a</w:t>
            </w:r>
            <w:proofErr w:type="spellEnd"/>
          </w:p>
        </w:tc>
        <w:tc>
          <w:tcPr>
            <w:tcW w:w="498" w:type="pct"/>
            <w:tcBorders>
              <w:top w:val="single" w:sz="12" w:space="0" w:color="auto"/>
              <w:left w:val="nil"/>
              <w:bottom w:val="single" w:sz="12" w:space="0" w:color="auto"/>
              <w:right w:val="nil"/>
            </w:tcBorders>
          </w:tcPr>
          <w:p w:rsidR="00DB608C" w:rsidRPr="00A36539" w:rsidRDefault="00DB608C" w:rsidP="00C22926">
            <w:pPr>
              <w:keepNext/>
              <w:jc w:val="center"/>
              <w:rPr>
                <w:b/>
                <w:bCs/>
                <w:szCs w:val="22"/>
              </w:rPr>
            </w:pPr>
          </w:p>
          <w:p w:rsidR="00DB608C" w:rsidRPr="00A36539" w:rsidRDefault="00DB608C" w:rsidP="00C22926">
            <w:pPr>
              <w:keepNext/>
              <w:jc w:val="center"/>
              <w:rPr>
                <w:b/>
                <w:bCs/>
                <w:szCs w:val="22"/>
              </w:rPr>
            </w:pPr>
            <w:r w:rsidRPr="00A36539">
              <w:rPr>
                <w:b/>
                <w:bCs/>
                <w:szCs w:val="22"/>
              </w:rPr>
              <w:t>MSST</w:t>
            </w:r>
          </w:p>
        </w:tc>
        <w:tc>
          <w:tcPr>
            <w:tcW w:w="613" w:type="pct"/>
            <w:tcBorders>
              <w:top w:val="single" w:sz="12" w:space="0" w:color="auto"/>
              <w:left w:val="nil"/>
              <w:bottom w:val="single" w:sz="12" w:space="0" w:color="auto"/>
              <w:right w:val="nil"/>
            </w:tcBorders>
          </w:tcPr>
          <w:p w:rsidR="00DB608C" w:rsidRPr="00A36539" w:rsidRDefault="00DB608C" w:rsidP="00C22926">
            <w:pPr>
              <w:keepNext/>
              <w:jc w:val="center"/>
              <w:rPr>
                <w:b/>
                <w:bCs/>
                <w:szCs w:val="22"/>
              </w:rPr>
            </w:pPr>
            <w:r w:rsidRPr="00A36539">
              <w:rPr>
                <w:b/>
                <w:bCs/>
                <w:szCs w:val="22"/>
              </w:rPr>
              <w:t>Biomass (MMB)</w:t>
            </w:r>
          </w:p>
        </w:tc>
        <w:tc>
          <w:tcPr>
            <w:tcW w:w="481" w:type="pct"/>
            <w:tcBorders>
              <w:top w:val="single" w:sz="12" w:space="0" w:color="auto"/>
              <w:left w:val="nil"/>
              <w:bottom w:val="single" w:sz="12" w:space="0" w:color="auto"/>
              <w:right w:val="nil"/>
            </w:tcBorders>
            <w:shd w:val="clear" w:color="auto" w:fill="auto"/>
            <w:vAlign w:val="center"/>
          </w:tcPr>
          <w:p w:rsidR="00DB608C" w:rsidRPr="00415592" w:rsidRDefault="00DB608C" w:rsidP="00C22926">
            <w:pPr>
              <w:keepNext/>
              <w:jc w:val="center"/>
              <w:rPr>
                <w:b/>
                <w:bCs/>
                <w:szCs w:val="22"/>
              </w:rPr>
            </w:pPr>
            <w:proofErr w:type="spellStart"/>
            <w:r w:rsidRPr="00415592">
              <w:rPr>
                <w:b/>
                <w:bCs/>
                <w:szCs w:val="22"/>
              </w:rPr>
              <w:t>GHL</w:t>
            </w:r>
            <w:r w:rsidRPr="00415592">
              <w:rPr>
                <w:rFonts w:ascii="Times New Roman Bold" w:hAnsi="Times New Roman Bold"/>
                <w:b/>
                <w:bCs/>
                <w:vertAlign w:val="superscript"/>
              </w:rPr>
              <w:t>b</w:t>
            </w:r>
            <w:proofErr w:type="spellEnd"/>
          </w:p>
        </w:tc>
        <w:tc>
          <w:tcPr>
            <w:tcW w:w="811" w:type="pct"/>
            <w:tcBorders>
              <w:top w:val="single" w:sz="12" w:space="0" w:color="auto"/>
              <w:left w:val="nil"/>
              <w:bottom w:val="single" w:sz="12" w:space="0" w:color="auto"/>
              <w:right w:val="nil"/>
            </w:tcBorders>
            <w:shd w:val="clear" w:color="auto" w:fill="auto"/>
            <w:vAlign w:val="center"/>
          </w:tcPr>
          <w:p w:rsidR="00DB608C" w:rsidRPr="00415592" w:rsidRDefault="00DB608C" w:rsidP="00C22926">
            <w:pPr>
              <w:keepNext/>
              <w:jc w:val="center"/>
              <w:rPr>
                <w:b/>
                <w:bCs/>
                <w:szCs w:val="22"/>
              </w:rPr>
            </w:pPr>
            <w:r w:rsidRPr="00415592">
              <w:rPr>
                <w:b/>
                <w:bCs/>
                <w:szCs w:val="22"/>
              </w:rPr>
              <w:t xml:space="preserve">Retained </w:t>
            </w:r>
            <w:proofErr w:type="spellStart"/>
            <w:r w:rsidRPr="00415592">
              <w:rPr>
                <w:b/>
                <w:bCs/>
                <w:szCs w:val="22"/>
              </w:rPr>
              <w:t>Catch</w:t>
            </w:r>
            <w:r>
              <w:rPr>
                <w:rFonts w:ascii="Times New Roman Bold" w:hAnsi="Times New Roman Bold"/>
                <w:b/>
                <w:bCs/>
                <w:szCs w:val="22"/>
                <w:vertAlign w:val="superscript"/>
              </w:rPr>
              <w:t>c</w:t>
            </w:r>
            <w:proofErr w:type="spellEnd"/>
          </w:p>
        </w:tc>
        <w:tc>
          <w:tcPr>
            <w:tcW w:w="811" w:type="pct"/>
            <w:tcBorders>
              <w:top w:val="single" w:sz="12" w:space="0" w:color="auto"/>
              <w:left w:val="nil"/>
              <w:bottom w:val="single" w:sz="12" w:space="0" w:color="auto"/>
              <w:right w:val="nil"/>
            </w:tcBorders>
          </w:tcPr>
          <w:p w:rsidR="00DB608C" w:rsidRPr="00415592" w:rsidRDefault="00DB608C" w:rsidP="00C22926">
            <w:pPr>
              <w:keepNext/>
              <w:jc w:val="center"/>
              <w:rPr>
                <w:b/>
                <w:bCs/>
                <w:szCs w:val="22"/>
              </w:rPr>
            </w:pPr>
            <w:r w:rsidRPr="00415592">
              <w:rPr>
                <w:b/>
                <w:bCs/>
                <w:szCs w:val="22"/>
              </w:rPr>
              <w:t xml:space="preserve">Total </w:t>
            </w:r>
            <w:proofErr w:type="spellStart"/>
            <w:r w:rsidRPr="00415592">
              <w:rPr>
                <w:b/>
                <w:bCs/>
                <w:szCs w:val="22"/>
              </w:rPr>
              <w:t>Catch</w:t>
            </w:r>
            <w:r w:rsidRPr="00415592">
              <w:rPr>
                <w:rFonts w:ascii="Times New Roman Bold" w:hAnsi="Times New Roman Bold"/>
                <w:b/>
                <w:bCs/>
                <w:szCs w:val="22"/>
                <w:vertAlign w:val="superscript"/>
              </w:rPr>
              <w:t>c,d</w:t>
            </w:r>
            <w:proofErr w:type="spellEnd"/>
          </w:p>
        </w:tc>
        <w:tc>
          <w:tcPr>
            <w:tcW w:w="643" w:type="pct"/>
            <w:tcBorders>
              <w:top w:val="single" w:sz="12" w:space="0" w:color="auto"/>
              <w:left w:val="nil"/>
              <w:bottom w:val="single" w:sz="12" w:space="0" w:color="auto"/>
              <w:right w:val="nil"/>
            </w:tcBorders>
            <w:vAlign w:val="center"/>
          </w:tcPr>
          <w:p w:rsidR="00DB608C" w:rsidRPr="00A36539" w:rsidRDefault="00DB608C" w:rsidP="00C22926">
            <w:pPr>
              <w:keepNext/>
              <w:jc w:val="center"/>
              <w:rPr>
                <w:b/>
                <w:bCs/>
                <w:szCs w:val="22"/>
              </w:rPr>
            </w:pPr>
            <w:proofErr w:type="spellStart"/>
            <w:r w:rsidRPr="00A36539">
              <w:rPr>
                <w:b/>
                <w:bCs/>
                <w:szCs w:val="22"/>
              </w:rPr>
              <w:t>OFL</w:t>
            </w:r>
            <w:r>
              <w:rPr>
                <w:rFonts w:ascii="Times New Roman Bold" w:hAnsi="Times New Roman Bold"/>
                <w:b/>
                <w:bCs/>
                <w:szCs w:val="22"/>
                <w:vertAlign w:val="superscript"/>
              </w:rPr>
              <w:t>c,e</w:t>
            </w:r>
            <w:proofErr w:type="spellEnd"/>
          </w:p>
        </w:tc>
        <w:tc>
          <w:tcPr>
            <w:tcW w:w="643" w:type="pct"/>
            <w:tcBorders>
              <w:top w:val="single" w:sz="12" w:space="0" w:color="auto"/>
              <w:left w:val="nil"/>
              <w:bottom w:val="single" w:sz="12" w:space="0" w:color="auto"/>
              <w:right w:val="nil"/>
            </w:tcBorders>
          </w:tcPr>
          <w:p w:rsidR="00DB608C" w:rsidRPr="00DB608C" w:rsidRDefault="00DB608C" w:rsidP="00DB608C">
            <w:pPr>
              <w:keepNext/>
              <w:spacing w:before="120"/>
              <w:jc w:val="center"/>
              <w:rPr>
                <w:b/>
                <w:bCs/>
                <w:szCs w:val="22"/>
                <w:vertAlign w:val="superscript"/>
              </w:rPr>
            </w:pPr>
            <w:proofErr w:type="spellStart"/>
            <w:r>
              <w:rPr>
                <w:b/>
                <w:bCs/>
                <w:szCs w:val="22"/>
              </w:rPr>
              <w:t>ABC</w:t>
            </w:r>
            <w:r w:rsidR="00812979">
              <w:rPr>
                <w:b/>
                <w:bCs/>
                <w:szCs w:val="22"/>
                <w:vertAlign w:val="superscript"/>
              </w:rPr>
              <w:t>c,e</w:t>
            </w:r>
            <w:proofErr w:type="spellEnd"/>
          </w:p>
        </w:tc>
      </w:tr>
      <w:tr w:rsidR="00173F8A" w:rsidRPr="00C8044B" w:rsidTr="00B62FB3">
        <w:trPr>
          <w:trHeight w:val="291"/>
        </w:trPr>
        <w:tc>
          <w:tcPr>
            <w:tcW w:w="500" w:type="pct"/>
            <w:tcBorders>
              <w:top w:val="nil"/>
              <w:left w:val="nil"/>
              <w:bottom w:val="nil"/>
              <w:right w:val="nil"/>
            </w:tcBorders>
            <w:shd w:val="clear" w:color="auto" w:fill="auto"/>
            <w:vAlign w:val="center"/>
          </w:tcPr>
          <w:p w:rsidR="00DB608C" w:rsidRPr="00A36539" w:rsidRDefault="00DB608C" w:rsidP="00C22926">
            <w:pPr>
              <w:keepNext/>
              <w:jc w:val="center"/>
              <w:rPr>
                <w:szCs w:val="22"/>
              </w:rPr>
            </w:pPr>
            <w:r w:rsidRPr="00A36539">
              <w:rPr>
                <w:szCs w:val="22"/>
              </w:rPr>
              <w:t>20</w:t>
            </w:r>
            <w:r>
              <w:rPr>
                <w:szCs w:val="22"/>
              </w:rPr>
              <w:t>10</w:t>
            </w:r>
          </w:p>
        </w:tc>
        <w:tc>
          <w:tcPr>
            <w:tcW w:w="498" w:type="pct"/>
            <w:tcBorders>
              <w:top w:val="nil"/>
              <w:left w:val="nil"/>
              <w:bottom w:val="nil"/>
              <w:right w:val="nil"/>
            </w:tcBorders>
          </w:tcPr>
          <w:p w:rsidR="00DB608C" w:rsidRPr="00A36539" w:rsidRDefault="00DB608C" w:rsidP="00C22926">
            <w:pPr>
              <w:keepNext/>
              <w:jc w:val="center"/>
              <w:rPr>
                <w:szCs w:val="22"/>
              </w:rPr>
            </w:pPr>
            <w:r w:rsidRPr="00A36539">
              <w:rPr>
                <w:szCs w:val="22"/>
              </w:rPr>
              <w:t>N/A</w:t>
            </w:r>
          </w:p>
        </w:tc>
        <w:tc>
          <w:tcPr>
            <w:tcW w:w="613" w:type="pct"/>
            <w:tcBorders>
              <w:top w:val="nil"/>
              <w:left w:val="nil"/>
              <w:bottom w:val="nil"/>
              <w:right w:val="nil"/>
            </w:tcBorders>
          </w:tcPr>
          <w:p w:rsidR="00DB608C" w:rsidRPr="00A36539" w:rsidRDefault="00DB608C" w:rsidP="00C22926">
            <w:pPr>
              <w:jc w:val="center"/>
            </w:pPr>
            <w:r w:rsidRPr="00A36539">
              <w:rPr>
                <w:szCs w:val="22"/>
              </w:rPr>
              <w:t>N/A</w:t>
            </w:r>
          </w:p>
        </w:tc>
        <w:tc>
          <w:tcPr>
            <w:tcW w:w="481" w:type="pct"/>
            <w:tcBorders>
              <w:top w:val="nil"/>
              <w:left w:val="nil"/>
              <w:bottom w:val="nil"/>
              <w:right w:val="nil"/>
            </w:tcBorders>
            <w:shd w:val="clear" w:color="auto" w:fill="auto"/>
            <w:vAlign w:val="center"/>
          </w:tcPr>
          <w:p w:rsidR="00DB608C" w:rsidRPr="00415592" w:rsidRDefault="00DB608C" w:rsidP="00C22926">
            <w:pPr>
              <w:keepNext/>
              <w:jc w:val="center"/>
              <w:rPr>
                <w:szCs w:val="22"/>
              </w:rPr>
            </w:pPr>
            <w:r w:rsidRPr="00415592">
              <w:rPr>
                <w:szCs w:val="22"/>
              </w:rPr>
              <w:t>0.150</w:t>
            </w:r>
          </w:p>
        </w:tc>
        <w:tc>
          <w:tcPr>
            <w:tcW w:w="811" w:type="pct"/>
            <w:tcBorders>
              <w:top w:val="nil"/>
              <w:left w:val="nil"/>
              <w:bottom w:val="nil"/>
              <w:right w:val="nil"/>
            </w:tcBorders>
            <w:vAlign w:val="center"/>
          </w:tcPr>
          <w:p w:rsidR="00DB608C" w:rsidRPr="00415592" w:rsidRDefault="00173F8A" w:rsidP="00173F8A">
            <w:pPr>
              <w:keepNext/>
              <w:jc w:val="center"/>
              <w:rPr>
                <w:szCs w:val="22"/>
              </w:rPr>
            </w:pPr>
            <w:proofErr w:type="spellStart"/>
            <w:r>
              <w:rPr>
                <w:szCs w:val="22"/>
              </w:rPr>
              <w:t>C</w:t>
            </w:r>
            <w:r w:rsidR="00DB608C">
              <w:rPr>
                <w:szCs w:val="22"/>
              </w:rPr>
              <w:t>onf</w:t>
            </w:r>
            <w:r>
              <w:rPr>
                <w:szCs w:val="22"/>
              </w:rPr>
              <w:t>.</w:t>
            </w:r>
            <w:r w:rsidR="00DB608C" w:rsidRPr="0081405F">
              <w:rPr>
                <w:szCs w:val="22"/>
                <w:vertAlign w:val="superscript"/>
              </w:rPr>
              <w:t>f</w:t>
            </w:r>
            <w:proofErr w:type="spellEnd"/>
          </w:p>
        </w:tc>
        <w:tc>
          <w:tcPr>
            <w:tcW w:w="811" w:type="pct"/>
            <w:tcBorders>
              <w:top w:val="nil"/>
              <w:left w:val="nil"/>
              <w:bottom w:val="nil"/>
              <w:right w:val="nil"/>
            </w:tcBorders>
            <w:shd w:val="clear" w:color="auto" w:fill="auto"/>
            <w:vAlign w:val="center"/>
          </w:tcPr>
          <w:p w:rsidR="00DB608C" w:rsidRPr="00415592" w:rsidRDefault="00173F8A" w:rsidP="00173F8A">
            <w:pPr>
              <w:keepNext/>
              <w:jc w:val="center"/>
              <w:rPr>
                <w:szCs w:val="22"/>
              </w:rPr>
            </w:pPr>
            <w:proofErr w:type="spellStart"/>
            <w:r>
              <w:rPr>
                <w:szCs w:val="22"/>
              </w:rPr>
              <w:t>C</w:t>
            </w:r>
            <w:r w:rsidR="00DB608C">
              <w:rPr>
                <w:szCs w:val="22"/>
              </w:rPr>
              <w:t>onf</w:t>
            </w:r>
            <w:r>
              <w:rPr>
                <w:szCs w:val="22"/>
              </w:rPr>
              <w:t>.</w:t>
            </w:r>
            <w:r w:rsidR="00DB608C" w:rsidRPr="0081405F">
              <w:rPr>
                <w:szCs w:val="22"/>
                <w:vertAlign w:val="superscript"/>
              </w:rPr>
              <w:t>f</w:t>
            </w:r>
            <w:proofErr w:type="spellEnd"/>
          </w:p>
        </w:tc>
        <w:tc>
          <w:tcPr>
            <w:tcW w:w="643" w:type="pct"/>
            <w:tcBorders>
              <w:top w:val="nil"/>
              <w:left w:val="nil"/>
              <w:bottom w:val="nil"/>
              <w:right w:val="nil"/>
            </w:tcBorders>
            <w:vAlign w:val="center"/>
          </w:tcPr>
          <w:p w:rsidR="00DB608C" w:rsidRPr="00A36539" w:rsidRDefault="00DB608C" w:rsidP="00C22926">
            <w:pPr>
              <w:keepNext/>
              <w:jc w:val="center"/>
              <w:rPr>
                <w:szCs w:val="22"/>
              </w:rPr>
            </w:pPr>
            <w:r w:rsidRPr="00A36539">
              <w:rPr>
                <w:szCs w:val="22"/>
              </w:rPr>
              <w:t>0.17</w:t>
            </w:r>
            <w:r>
              <w:rPr>
                <w:szCs w:val="22"/>
              </w:rPr>
              <w:t xml:space="preserve"> R</w:t>
            </w:r>
          </w:p>
        </w:tc>
        <w:tc>
          <w:tcPr>
            <w:tcW w:w="643" w:type="pct"/>
            <w:tcBorders>
              <w:top w:val="nil"/>
              <w:left w:val="nil"/>
              <w:bottom w:val="nil"/>
              <w:right w:val="nil"/>
            </w:tcBorders>
          </w:tcPr>
          <w:p w:rsidR="00DB608C" w:rsidRPr="00A36539" w:rsidRDefault="00DB608C" w:rsidP="00C22926">
            <w:pPr>
              <w:keepNext/>
              <w:jc w:val="center"/>
              <w:rPr>
                <w:szCs w:val="22"/>
              </w:rPr>
            </w:pPr>
            <w:r>
              <w:rPr>
                <w:szCs w:val="22"/>
              </w:rPr>
              <w:t>N/A</w:t>
            </w:r>
          </w:p>
        </w:tc>
      </w:tr>
      <w:tr w:rsidR="00173F8A" w:rsidRPr="00C8044B" w:rsidTr="00B62FB3">
        <w:trPr>
          <w:trHeight w:val="291"/>
        </w:trPr>
        <w:tc>
          <w:tcPr>
            <w:tcW w:w="500" w:type="pct"/>
            <w:tcBorders>
              <w:top w:val="nil"/>
              <w:left w:val="nil"/>
              <w:bottom w:val="nil"/>
              <w:right w:val="nil"/>
            </w:tcBorders>
            <w:shd w:val="clear" w:color="auto" w:fill="auto"/>
            <w:vAlign w:val="center"/>
          </w:tcPr>
          <w:p w:rsidR="00DB608C" w:rsidRPr="00A36539" w:rsidRDefault="00DB608C" w:rsidP="00C22926">
            <w:pPr>
              <w:keepNext/>
              <w:jc w:val="center"/>
              <w:rPr>
                <w:szCs w:val="22"/>
              </w:rPr>
            </w:pPr>
            <w:r>
              <w:rPr>
                <w:szCs w:val="22"/>
              </w:rPr>
              <w:t>2011</w:t>
            </w:r>
          </w:p>
        </w:tc>
        <w:tc>
          <w:tcPr>
            <w:tcW w:w="498" w:type="pct"/>
            <w:tcBorders>
              <w:top w:val="nil"/>
              <w:left w:val="nil"/>
              <w:bottom w:val="nil"/>
              <w:right w:val="nil"/>
            </w:tcBorders>
          </w:tcPr>
          <w:p w:rsidR="00DB608C" w:rsidRPr="00A36539" w:rsidRDefault="00DB608C" w:rsidP="00C22926">
            <w:pPr>
              <w:keepNext/>
              <w:jc w:val="center"/>
              <w:rPr>
                <w:szCs w:val="22"/>
              </w:rPr>
            </w:pPr>
            <w:r>
              <w:rPr>
                <w:szCs w:val="22"/>
              </w:rPr>
              <w:t>N/A</w:t>
            </w:r>
          </w:p>
        </w:tc>
        <w:tc>
          <w:tcPr>
            <w:tcW w:w="613" w:type="pct"/>
            <w:tcBorders>
              <w:top w:val="nil"/>
              <w:left w:val="nil"/>
              <w:bottom w:val="nil"/>
              <w:right w:val="nil"/>
            </w:tcBorders>
          </w:tcPr>
          <w:p w:rsidR="00DB608C" w:rsidRPr="00A36539" w:rsidRDefault="00DB608C" w:rsidP="00C22926">
            <w:pPr>
              <w:jc w:val="center"/>
              <w:rPr>
                <w:szCs w:val="22"/>
              </w:rPr>
            </w:pPr>
            <w:r>
              <w:rPr>
                <w:szCs w:val="22"/>
              </w:rPr>
              <w:t>N/A</w:t>
            </w:r>
          </w:p>
        </w:tc>
        <w:tc>
          <w:tcPr>
            <w:tcW w:w="481" w:type="pct"/>
            <w:tcBorders>
              <w:top w:val="nil"/>
              <w:left w:val="nil"/>
              <w:bottom w:val="nil"/>
              <w:right w:val="nil"/>
            </w:tcBorders>
            <w:shd w:val="clear" w:color="auto" w:fill="auto"/>
            <w:vAlign w:val="center"/>
          </w:tcPr>
          <w:p w:rsidR="00DB608C" w:rsidRPr="00415592" w:rsidRDefault="00DB608C" w:rsidP="00C22926">
            <w:pPr>
              <w:keepNext/>
              <w:jc w:val="center"/>
              <w:rPr>
                <w:szCs w:val="22"/>
              </w:rPr>
            </w:pPr>
            <w:r>
              <w:rPr>
                <w:szCs w:val="22"/>
              </w:rPr>
              <w:t>0.150</w:t>
            </w:r>
          </w:p>
        </w:tc>
        <w:tc>
          <w:tcPr>
            <w:tcW w:w="811" w:type="pct"/>
            <w:tcBorders>
              <w:top w:val="nil"/>
              <w:left w:val="nil"/>
              <w:bottom w:val="nil"/>
              <w:right w:val="nil"/>
            </w:tcBorders>
            <w:vAlign w:val="center"/>
          </w:tcPr>
          <w:p w:rsidR="00DB608C" w:rsidRPr="00415592" w:rsidRDefault="00173F8A" w:rsidP="00173F8A">
            <w:pPr>
              <w:keepNext/>
              <w:jc w:val="center"/>
              <w:rPr>
                <w:szCs w:val="22"/>
              </w:rPr>
            </w:pPr>
            <w:proofErr w:type="spellStart"/>
            <w:r>
              <w:rPr>
                <w:szCs w:val="22"/>
              </w:rPr>
              <w:t>Conf.</w:t>
            </w:r>
            <w:r w:rsidRPr="0081405F">
              <w:rPr>
                <w:szCs w:val="22"/>
                <w:vertAlign w:val="superscript"/>
              </w:rPr>
              <w:t>f</w:t>
            </w:r>
            <w:proofErr w:type="spellEnd"/>
          </w:p>
        </w:tc>
        <w:tc>
          <w:tcPr>
            <w:tcW w:w="811" w:type="pct"/>
            <w:tcBorders>
              <w:top w:val="nil"/>
              <w:left w:val="nil"/>
              <w:bottom w:val="nil"/>
              <w:right w:val="nil"/>
            </w:tcBorders>
            <w:shd w:val="clear" w:color="auto" w:fill="auto"/>
            <w:vAlign w:val="center"/>
          </w:tcPr>
          <w:p w:rsidR="00DB608C" w:rsidRPr="00415592" w:rsidRDefault="00173F8A" w:rsidP="00173F8A">
            <w:pPr>
              <w:keepNext/>
              <w:jc w:val="center"/>
              <w:rPr>
                <w:szCs w:val="22"/>
              </w:rPr>
            </w:pPr>
            <w:proofErr w:type="spellStart"/>
            <w:r>
              <w:rPr>
                <w:szCs w:val="22"/>
              </w:rPr>
              <w:t>Conf.</w:t>
            </w:r>
            <w:r w:rsidRPr="0081405F">
              <w:rPr>
                <w:szCs w:val="22"/>
                <w:vertAlign w:val="superscript"/>
              </w:rPr>
              <w:t>f</w:t>
            </w:r>
            <w:proofErr w:type="spellEnd"/>
          </w:p>
        </w:tc>
        <w:tc>
          <w:tcPr>
            <w:tcW w:w="643" w:type="pct"/>
            <w:tcBorders>
              <w:top w:val="nil"/>
              <w:left w:val="nil"/>
              <w:bottom w:val="nil"/>
              <w:right w:val="nil"/>
            </w:tcBorders>
            <w:vAlign w:val="center"/>
          </w:tcPr>
          <w:p w:rsidR="00DB608C" w:rsidRPr="00A36539" w:rsidRDefault="00DB608C" w:rsidP="00C22926">
            <w:pPr>
              <w:keepNext/>
              <w:jc w:val="center"/>
              <w:rPr>
                <w:szCs w:val="22"/>
              </w:rPr>
            </w:pPr>
            <w:r w:rsidRPr="00A36539">
              <w:rPr>
                <w:szCs w:val="22"/>
              </w:rPr>
              <w:t>0.1</w:t>
            </w:r>
            <w:r w:rsidR="00173F8A">
              <w:rPr>
                <w:szCs w:val="22"/>
              </w:rPr>
              <w:t>8</w:t>
            </w:r>
            <w:r>
              <w:rPr>
                <w:szCs w:val="22"/>
              </w:rPr>
              <w:t xml:space="preserve"> T</w:t>
            </w:r>
          </w:p>
        </w:tc>
        <w:tc>
          <w:tcPr>
            <w:tcW w:w="643" w:type="pct"/>
            <w:tcBorders>
              <w:top w:val="nil"/>
              <w:left w:val="nil"/>
              <w:bottom w:val="nil"/>
              <w:right w:val="nil"/>
            </w:tcBorders>
          </w:tcPr>
          <w:p w:rsidR="00DB608C" w:rsidRPr="00A36539" w:rsidRDefault="00DB608C" w:rsidP="00C22926">
            <w:pPr>
              <w:keepNext/>
              <w:jc w:val="center"/>
              <w:rPr>
                <w:szCs w:val="22"/>
              </w:rPr>
            </w:pPr>
            <w:r>
              <w:rPr>
                <w:szCs w:val="22"/>
              </w:rPr>
              <w:t>N/A</w:t>
            </w:r>
          </w:p>
        </w:tc>
      </w:tr>
      <w:tr w:rsidR="00173F8A" w:rsidRPr="00C8044B" w:rsidTr="00B62FB3">
        <w:trPr>
          <w:trHeight w:val="291"/>
        </w:trPr>
        <w:tc>
          <w:tcPr>
            <w:tcW w:w="500" w:type="pct"/>
            <w:tcBorders>
              <w:top w:val="nil"/>
              <w:left w:val="nil"/>
              <w:bottom w:val="nil"/>
              <w:right w:val="nil"/>
            </w:tcBorders>
            <w:shd w:val="clear" w:color="auto" w:fill="auto"/>
            <w:vAlign w:val="center"/>
          </w:tcPr>
          <w:p w:rsidR="00DB608C" w:rsidRDefault="00DB608C" w:rsidP="00C22926">
            <w:pPr>
              <w:keepNext/>
              <w:jc w:val="center"/>
              <w:rPr>
                <w:szCs w:val="22"/>
              </w:rPr>
            </w:pPr>
            <w:r>
              <w:rPr>
                <w:szCs w:val="22"/>
              </w:rPr>
              <w:t>2012</w:t>
            </w:r>
          </w:p>
        </w:tc>
        <w:tc>
          <w:tcPr>
            <w:tcW w:w="498" w:type="pct"/>
            <w:tcBorders>
              <w:top w:val="nil"/>
              <w:left w:val="nil"/>
              <w:bottom w:val="nil"/>
              <w:right w:val="nil"/>
            </w:tcBorders>
          </w:tcPr>
          <w:p w:rsidR="00DB608C" w:rsidRDefault="00DB608C" w:rsidP="00C22926">
            <w:pPr>
              <w:keepNext/>
              <w:jc w:val="center"/>
              <w:rPr>
                <w:szCs w:val="22"/>
              </w:rPr>
            </w:pPr>
            <w:r>
              <w:rPr>
                <w:szCs w:val="22"/>
              </w:rPr>
              <w:t>N/A</w:t>
            </w:r>
          </w:p>
        </w:tc>
        <w:tc>
          <w:tcPr>
            <w:tcW w:w="613" w:type="pct"/>
            <w:tcBorders>
              <w:top w:val="nil"/>
              <w:left w:val="nil"/>
              <w:bottom w:val="nil"/>
              <w:right w:val="nil"/>
            </w:tcBorders>
          </w:tcPr>
          <w:p w:rsidR="00DB608C" w:rsidRDefault="00DB608C" w:rsidP="00C22926">
            <w:pPr>
              <w:jc w:val="center"/>
              <w:rPr>
                <w:szCs w:val="22"/>
              </w:rPr>
            </w:pPr>
            <w:r>
              <w:rPr>
                <w:szCs w:val="22"/>
              </w:rPr>
              <w:t>N/A</w:t>
            </w:r>
          </w:p>
        </w:tc>
        <w:tc>
          <w:tcPr>
            <w:tcW w:w="481" w:type="pct"/>
            <w:tcBorders>
              <w:top w:val="nil"/>
              <w:left w:val="nil"/>
              <w:bottom w:val="nil"/>
              <w:right w:val="nil"/>
            </w:tcBorders>
            <w:shd w:val="clear" w:color="auto" w:fill="auto"/>
            <w:vAlign w:val="center"/>
          </w:tcPr>
          <w:p w:rsidR="00DB608C" w:rsidRDefault="00A446D7" w:rsidP="00C22926">
            <w:pPr>
              <w:keepNext/>
              <w:jc w:val="center"/>
              <w:rPr>
                <w:szCs w:val="22"/>
              </w:rPr>
            </w:pPr>
            <w:r>
              <w:rPr>
                <w:szCs w:val="22"/>
              </w:rPr>
              <w:t>0.150</w:t>
            </w:r>
          </w:p>
        </w:tc>
        <w:tc>
          <w:tcPr>
            <w:tcW w:w="811" w:type="pct"/>
            <w:tcBorders>
              <w:top w:val="nil"/>
              <w:left w:val="nil"/>
              <w:bottom w:val="nil"/>
              <w:right w:val="nil"/>
            </w:tcBorders>
            <w:vAlign w:val="center"/>
          </w:tcPr>
          <w:p w:rsidR="00DB608C" w:rsidRDefault="00B62FB3" w:rsidP="00C22926">
            <w:pPr>
              <w:keepNext/>
              <w:jc w:val="center"/>
              <w:rPr>
                <w:szCs w:val="22"/>
              </w:rPr>
            </w:pPr>
            <w:proofErr w:type="spellStart"/>
            <w:r>
              <w:rPr>
                <w:szCs w:val="22"/>
              </w:rPr>
              <w:t>Conf.</w:t>
            </w:r>
            <w:r w:rsidRPr="0081405F">
              <w:rPr>
                <w:szCs w:val="22"/>
                <w:vertAlign w:val="superscript"/>
              </w:rPr>
              <w:t>f</w:t>
            </w:r>
            <w:proofErr w:type="spellEnd"/>
          </w:p>
        </w:tc>
        <w:tc>
          <w:tcPr>
            <w:tcW w:w="811" w:type="pct"/>
            <w:tcBorders>
              <w:top w:val="nil"/>
              <w:left w:val="nil"/>
              <w:bottom w:val="nil"/>
              <w:right w:val="nil"/>
            </w:tcBorders>
            <w:shd w:val="clear" w:color="auto" w:fill="auto"/>
            <w:vAlign w:val="center"/>
          </w:tcPr>
          <w:p w:rsidR="00DB608C" w:rsidRDefault="00B62FB3" w:rsidP="00C22926">
            <w:pPr>
              <w:keepNext/>
              <w:jc w:val="center"/>
              <w:rPr>
                <w:szCs w:val="22"/>
              </w:rPr>
            </w:pPr>
            <w:proofErr w:type="spellStart"/>
            <w:r>
              <w:rPr>
                <w:szCs w:val="22"/>
              </w:rPr>
              <w:t>Conf.</w:t>
            </w:r>
            <w:r w:rsidRPr="0081405F">
              <w:rPr>
                <w:szCs w:val="22"/>
                <w:vertAlign w:val="superscript"/>
              </w:rPr>
              <w:t>f</w:t>
            </w:r>
            <w:proofErr w:type="spellEnd"/>
          </w:p>
        </w:tc>
        <w:tc>
          <w:tcPr>
            <w:tcW w:w="643" w:type="pct"/>
            <w:tcBorders>
              <w:top w:val="nil"/>
              <w:left w:val="nil"/>
              <w:bottom w:val="nil"/>
              <w:right w:val="nil"/>
            </w:tcBorders>
            <w:vAlign w:val="center"/>
          </w:tcPr>
          <w:p w:rsidR="00DB608C" w:rsidRPr="002835A4" w:rsidRDefault="00DB608C" w:rsidP="002835A4">
            <w:pPr>
              <w:keepNext/>
              <w:jc w:val="center"/>
              <w:rPr>
                <w:szCs w:val="22"/>
              </w:rPr>
            </w:pPr>
            <w:r w:rsidRPr="002835A4">
              <w:rPr>
                <w:szCs w:val="22"/>
              </w:rPr>
              <w:t>0.</w:t>
            </w:r>
            <w:r w:rsidR="002835A4" w:rsidRPr="002835A4">
              <w:rPr>
                <w:szCs w:val="22"/>
              </w:rPr>
              <w:t>20</w:t>
            </w:r>
            <w:r w:rsidRPr="002835A4">
              <w:rPr>
                <w:szCs w:val="22"/>
              </w:rPr>
              <w:t xml:space="preserve"> T</w:t>
            </w:r>
          </w:p>
        </w:tc>
        <w:tc>
          <w:tcPr>
            <w:tcW w:w="643" w:type="pct"/>
            <w:tcBorders>
              <w:top w:val="nil"/>
              <w:left w:val="nil"/>
              <w:bottom w:val="nil"/>
              <w:right w:val="nil"/>
            </w:tcBorders>
          </w:tcPr>
          <w:p w:rsidR="00DB608C" w:rsidRPr="002835A4" w:rsidRDefault="00DB608C" w:rsidP="00173F8A">
            <w:pPr>
              <w:keepNext/>
              <w:jc w:val="center"/>
              <w:rPr>
                <w:szCs w:val="22"/>
              </w:rPr>
            </w:pPr>
            <w:r w:rsidRPr="002835A4">
              <w:rPr>
                <w:szCs w:val="22"/>
              </w:rPr>
              <w:t>0.</w:t>
            </w:r>
            <w:r w:rsidR="0054673B">
              <w:rPr>
                <w:szCs w:val="22"/>
              </w:rPr>
              <w:t>18</w:t>
            </w:r>
            <w:r w:rsidRPr="002835A4">
              <w:rPr>
                <w:szCs w:val="22"/>
              </w:rPr>
              <w:t xml:space="preserve"> T</w:t>
            </w:r>
          </w:p>
        </w:tc>
      </w:tr>
      <w:tr w:rsidR="00173F8A" w:rsidRPr="00C8044B" w:rsidTr="00B62FB3">
        <w:trPr>
          <w:trHeight w:val="291"/>
        </w:trPr>
        <w:tc>
          <w:tcPr>
            <w:tcW w:w="500" w:type="pct"/>
            <w:tcBorders>
              <w:top w:val="nil"/>
              <w:left w:val="nil"/>
              <w:bottom w:val="nil"/>
              <w:right w:val="nil"/>
            </w:tcBorders>
            <w:shd w:val="clear" w:color="auto" w:fill="auto"/>
            <w:vAlign w:val="center"/>
          </w:tcPr>
          <w:p w:rsidR="00173F8A" w:rsidRDefault="00173F8A" w:rsidP="00C22926">
            <w:pPr>
              <w:keepNext/>
              <w:jc w:val="center"/>
              <w:rPr>
                <w:szCs w:val="22"/>
              </w:rPr>
            </w:pPr>
            <w:r>
              <w:rPr>
                <w:szCs w:val="22"/>
              </w:rPr>
              <w:t>2013</w:t>
            </w:r>
          </w:p>
        </w:tc>
        <w:tc>
          <w:tcPr>
            <w:tcW w:w="498" w:type="pct"/>
            <w:tcBorders>
              <w:top w:val="nil"/>
              <w:left w:val="nil"/>
              <w:bottom w:val="nil"/>
              <w:right w:val="nil"/>
            </w:tcBorders>
            <w:vAlign w:val="center"/>
          </w:tcPr>
          <w:p w:rsidR="00173F8A" w:rsidRDefault="00173F8A" w:rsidP="00C22926">
            <w:pPr>
              <w:keepNext/>
              <w:jc w:val="center"/>
              <w:rPr>
                <w:szCs w:val="22"/>
              </w:rPr>
            </w:pPr>
            <w:r>
              <w:rPr>
                <w:szCs w:val="22"/>
              </w:rPr>
              <w:t>N/A</w:t>
            </w:r>
          </w:p>
        </w:tc>
        <w:tc>
          <w:tcPr>
            <w:tcW w:w="613" w:type="pct"/>
            <w:tcBorders>
              <w:top w:val="nil"/>
              <w:left w:val="nil"/>
              <w:bottom w:val="nil"/>
              <w:right w:val="nil"/>
            </w:tcBorders>
            <w:vAlign w:val="center"/>
          </w:tcPr>
          <w:p w:rsidR="00173F8A" w:rsidRDefault="00173F8A" w:rsidP="00C22926">
            <w:pPr>
              <w:jc w:val="center"/>
              <w:rPr>
                <w:szCs w:val="22"/>
              </w:rPr>
            </w:pPr>
            <w:r>
              <w:rPr>
                <w:szCs w:val="22"/>
              </w:rPr>
              <w:t>N/A</w:t>
            </w:r>
          </w:p>
        </w:tc>
        <w:tc>
          <w:tcPr>
            <w:tcW w:w="481" w:type="pct"/>
            <w:tcBorders>
              <w:top w:val="nil"/>
              <w:left w:val="nil"/>
              <w:bottom w:val="nil"/>
              <w:right w:val="nil"/>
            </w:tcBorders>
            <w:shd w:val="clear" w:color="auto" w:fill="auto"/>
            <w:vAlign w:val="center"/>
          </w:tcPr>
          <w:p w:rsidR="00173F8A" w:rsidRDefault="00B62FB3" w:rsidP="00C22926">
            <w:pPr>
              <w:keepNext/>
              <w:jc w:val="center"/>
              <w:rPr>
                <w:szCs w:val="22"/>
              </w:rPr>
            </w:pPr>
            <w:r>
              <w:rPr>
                <w:szCs w:val="22"/>
              </w:rPr>
              <w:t>0.150</w:t>
            </w:r>
          </w:p>
        </w:tc>
        <w:tc>
          <w:tcPr>
            <w:tcW w:w="811" w:type="pct"/>
            <w:tcBorders>
              <w:top w:val="nil"/>
              <w:left w:val="nil"/>
              <w:bottom w:val="nil"/>
              <w:right w:val="nil"/>
            </w:tcBorders>
            <w:vAlign w:val="center"/>
          </w:tcPr>
          <w:p w:rsidR="00173F8A" w:rsidRDefault="00173F8A" w:rsidP="00C22926">
            <w:pPr>
              <w:keepNext/>
              <w:jc w:val="center"/>
              <w:rPr>
                <w:szCs w:val="22"/>
              </w:rPr>
            </w:pPr>
          </w:p>
        </w:tc>
        <w:tc>
          <w:tcPr>
            <w:tcW w:w="811" w:type="pct"/>
            <w:tcBorders>
              <w:top w:val="nil"/>
              <w:left w:val="nil"/>
              <w:bottom w:val="nil"/>
              <w:right w:val="nil"/>
            </w:tcBorders>
            <w:shd w:val="clear" w:color="auto" w:fill="auto"/>
            <w:vAlign w:val="center"/>
          </w:tcPr>
          <w:p w:rsidR="00173F8A" w:rsidRDefault="00173F8A" w:rsidP="00C22926">
            <w:pPr>
              <w:keepNext/>
              <w:jc w:val="center"/>
              <w:rPr>
                <w:szCs w:val="22"/>
              </w:rPr>
            </w:pPr>
          </w:p>
        </w:tc>
        <w:tc>
          <w:tcPr>
            <w:tcW w:w="643" w:type="pct"/>
            <w:tcBorders>
              <w:top w:val="nil"/>
              <w:left w:val="nil"/>
              <w:bottom w:val="nil"/>
              <w:right w:val="nil"/>
            </w:tcBorders>
            <w:vAlign w:val="center"/>
          </w:tcPr>
          <w:p w:rsidR="00173F8A" w:rsidRPr="002835A4" w:rsidRDefault="00173F8A" w:rsidP="00B62FB3">
            <w:pPr>
              <w:keepNext/>
              <w:jc w:val="center"/>
              <w:rPr>
                <w:szCs w:val="22"/>
              </w:rPr>
            </w:pPr>
            <w:r w:rsidRPr="002835A4">
              <w:rPr>
                <w:szCs w:val="22"/>
              </w:rPr>
              <w:t>0.20 T</w:t>
            </w:r>
          </w:p>
        </w:tc>
        <w:tc>
          <w:tcPr>
            <w:tcW w:w="643" w:type="pct"/>
            <w:tcBorders>
              <w:top w:val="nil"/>
              <w:left w:val="nil"/>
              <w:bottom w:val="nil"/>
              <w:right w:val="nil"/>
            </w:tcBorders>
          </w:tcPr>
          <w:p w:rsidR="00173F8A" w:rsidRPr="002835A4" w:rsidRDefault="00173F8A" w:rsidP="00173F8A">
            <w:pPr>
              <w:keepNext/>
              <w:jc w:val="center"/>
              <w:rPr>
                <w:szCs w:val="22"/>
              </w:rPr>
            </w:pPr>
            <w:r w:rsidRPr="002835A4">
              <w:rPr>
                <w:szCs w:val="22"/>
              </w:rPr>
              <w:t>0.</w:t>
            </w:r>
            <w:r>
              <w:rPr>
                <w:szCs w:val="22"/>
              </w:rPr>
              <w:t xml:space="preserve">18 </w:t>
            </w:r>
            <w:r w:rsidRPr="002835A4">
              <w:rPr>
                <w:szCs w:val="22"/>
              </w:rPr>
              <w:t>T</w:t>
            </w:r>
          </w:p>
        </w:tc>
      </w:tr>
      <w:tr w:rsidR="00B62FB3" w:rsidRPr="00C8044B" w:rsidTr="00B62FB3">
        <w:trPr>
          <w:trHeight w:val="291"/>
        </w:trPr>
        <w:tc>
          <w:tcPr>
            <w:tcW w:w="500" w:type="pct"/>
            <w:tcBorders>
              <w:top w:val="nil"/>
              <w:left w:val="nil"/>
              <w:bottom w:val="single" w:sz="12" w:space="0" w:color="auto"/>
              <w:right w:val="nil"/>
            </w:tcBorders>
            <w:shd w:val="clear" w:color="auto" w:fill="auto"/>
            <w:vAlign w:val="center"/>
          </w:tcPr>
          <w:p w:rsidR="00B62FB3" w:rsidRDefault="00B62FB3" w:rsidP="00C22926">
            <w:pPr>
              <w:keepNext/>
              <w:jc w:val="center"/>
              <w:rPr>
                <w:szCs w:val="22"/>
              </w:rPr>
            </w:pPr>
            <w:r>
              <w:rPr>
                <w:szCs w:val="22"/>
              </w:rPr>
              <w:t>2014</w:t>
            </w:r>
          </w:p>
        </w:tc>
        <w:tc>
          <w:tcPr>
            <w:tcW w:w="498" w:type="pct"/>
            <w:tcBorders>
              <w:top w:val="nil"/>
              <w:left w:val="nil"/>
              <w:bottom w:val="single" w:sz="12" w:space="0" w:color="auto"/>
              <w:right w:val="nil"/>
            </w:tcBorders>
            <w:vAlign w:val="center"/>
          </w:tcPr>
          <w:p w:rsidR="00B62FB3" w:rsidRDefault="00B62FB3" w:rsidP="00C22926">
            <w:pPr>
              <w:keepNext/>
              <w:jc w:val="center"/>
              <w:rPr>
                <w:szCs w:val="22"/>
              </w:rPr>
            </w:pPr>
            <w:r>
              <w:rPr>
                <w:szCs w:val="22"/>
              </w:rPr>
              <w:t>N/A</w:t>
            </w:r>
          </w:p>
        </w:tc>
        <w:tc>
          <w:tcPr>
            <w:tcW w:w="613" w:type="pct"/>
            <w:tcBorders>
              <w:top w:val="nil"/>
              <w:left w:val="nil"/>
              <w:bottom w:val="single" w:sz="12" w:space="0" w:color="auto"/>
              <w:right w:val="nil"/>
            </w:tcBorders>
            <w:vAlign w:val="center"/>
          </w:tcPr>
          <w:p w:rsidR="00B62FB3" w:rsidRDefault="00B62FB3" w:rsidP="00C22926">
            <w:pPr>
              <w:jc w:val="center"/>
              <w:rPr>
                <w:szCs w:val="22"/>
              </w:rPr>
            </w:pPr>
            <w:r>
              <w:rPr>
                <w:szCs w:val="22"/>
              </w:rPr>
              <w:t>N/A</w:t>
            </w:r>
          </w:p>
        </w:tc>
        <w:tc>
          <w:tcPr>
            <w:tcW w:w="481" w:type="pct"/>
            <w:tcBorders>
              <w:top w:val="nil"/>
              <w:left w:val="nil"/>
              <w:bottom w:val="single" w:sz="12" w:space="0" w:color="auto"/>
              <w:right w:val="nil"/>
            </w:tcBorders>
            <w:shd w:val="clear" w:color="auto" w:fill="auto"/>
            <w:vAlign w:val="center"/>
          </w:tcPr>
          <w:p w:rsidR="00B62FB3" w:rsidRDefault="00B62FB3" w:rsidP="00C22926">
            <w:pPr>
              <w:keepNext/>
              <w:jc w:val="center"/>
              <w:rPr>
                <w:szCs w:val="22"/>
              </w:rPr>
            </w:pPr>
          </w:p>
        </w:tc>
        <w:tc>
          <w:tcPr>
            <w:tcW w:w="811" w:type="pct"/>
            <w:tcBorders>
              <w:top w:val="nil"/>
              <w:left w:val="nil"/>
              <w:bottom w:val="single" w:sz="12" w:space="0" w:color="auto"/>
              <w:right w:val="nil"/>
            </w:tcBorders>
            <w:vAlign w:val="center"/>
          </w:tcPr>
          <w:p w:rsidR="00B62FB3" w:rsidRDefault="00B62FB3" w:rsidP="00C22926">
            <w:pPr>
              <w:keepNext/>
              <w:jc w:val="center"/>
              <w:rPr>
                <w:szCs w:val="22"/>
              </w:rPr>
            </w:pPr>
          </w:p>
        </w:tc>
        <w:tc>
          <w:tcPr>
            <w:tcW w:w="811" w:type="pct"/>
            <w:tcBorders>
              <w:top w:val="nil"/>
              <w:left w:val="nil"/>
              <w:bottom w:val="single" w:sz="12" w:space="0" w:color="auto"/>
              <w:right w:val="nil"/>
            </w:tcBorders>
            <w:shd w:val="clear" w:color="auto" w:fill="auto"/>
            <w:vAlign w:val="center"/>
          </w:tcPr>
          <w:p w:rsidR="00B62FB3" w:rsidRDefault="00B62FB3" w:rsidP="00C22926">
            <w:pPr>
              <w:keepNext/>
              <w:jc w:val="center"/>
              <w:rPr>
                <w:szCs w:val="22"/>
              </w:rPr>
            </w:pPr>
          </w:p>
        </w:tc>
        <w:tc>
          <w:tcPr>
            <w:tcW w:w="643" w:type="pct"/>
            <w:tcBorders>
              <w:top w:val="nil"/>
              <w:left w:val="nil"/>
              <w:bottom w:val="single" w:sz="12" w:space="0" w:color="auto"/>
              <w:right w:val="nil"/>
            </w:tcBorders>
            <w:vAlign w:val="center"/>
          </w:tcPr>
          <w:p w:rsidR="00B62FB3" w:rsidRDefault="00C91A97" w:rsidP="00173F8A">
            <w:pPr>
              <w:keepNext/>
              <w:jc w:val="center"/>
              <w:rPr>
                <w:szCs w:val="22"/>
              </w:rPr>
            </w:pPr>
            <w:r w:rsidRPr="002835A4">
              <w:rPr>
                <w:szCs w:val="22"/>
              </w:rPr>
              <w:t>0.20 T</w:t>
            </w:r>
          </w:p>
        </w:tc>
        <w:tc>
          <w:tcPr>
            <w:tcW w:w="643" w:type="pct"/>
            <w:tcBorders>
              <w:top w:val="nil"/>
              <w:left w:val="nil"/>
              <w:bottom w:val="single" w:sz="12" w:space="0" w:color="auto"/>
              <w:right w:val="nil"/>
            </w:tcBorders>
          </w:tcPr>
          <w:p w:rsidR="00B62FB3" w:rsidRDefault="00C91A97" w:rsidP="00173F8A">
            <w:pPr>
              <w:keepNext/>
              <w:jc w:val="center"/>
              <w:rPr>
                <w:szCs w:val="22"/>
              </w:rPr>
            </w:pPr>
            <w:r w:rsidRPr="002835A4">
              <w:rPr>
                <w:szCs w:val="22"/>
              </w:rPr>
              <w:t>0.</w:t>
            </w:r>
            <w:r>
              <w:rPr>
                <w:szCs w:val="22"/>
              </w:rPr>
              <w:t xml:space="preserve">18 </w:t>
            </w:r>
            <w:r w:rsidRPr="002835A4">
              <w:rPr>
                <w:szCs w:val="22"/>
              </w:rPr>
              <w:t>T</w:t>
            </w:r>
          </w:p>
        </w:tc>
      </w:tr>
    </w:tbl>
    <w:p w:rsidR="007A649D" w:rsidRPr="00644C32" w:rsidRDefault="00531B37" w:rsidP="002F1A19">
      <w:pPr>
        <w:numPr>
          <w:ilvl w:val="0"/>
          <w:numId w:val="31"/>
        </w:numPr>
        <w:rPr>
          <w:sz w:val="16"/>
          <w:szCs w:val="20"/>
        </w:rPr>
      </w:pPr>
      <w:r w:rsidRPr="00644C32">
        <w:rPr>
          <w:sz w:val="16"/>
          <w:szCs w:val="20"/>
        </w:rPr>
        <w:t>S</w:t>
      </w:r>
      <w:r w:rsidR="007A649D" w:rsidRPr="00644C32">
        <w:rPr>
          <w:sz w:val="16"/>
          <w:szCs w:val="20"/>
        </w:rPr>
        <w:t>eason is based on a calendar year.</w:t>
      </w:r>
    </w:p>
    <w:p w:rsidR="007A649D" w:rsidRPr="00644C32" w:rsidRDefault="007A649D" w:rsidP="002F1A19">
      <w:pPr>
        <w:numPr>
          <w:ilvl w:val="0"/>
          <w:numId w:val="31"/>
        </w:numPr>
        <w:rPr>
          <w:sz w:val="16"/>
          <w:szCs w:val="20"/>
        </w:rPr>
      </w:pPr>
      <w:r w:rsidRPr="00644C32">
        <w:rPr>
          <w:sz w:val="16"/>
          <w:szCs w:val="20"/>
        </w:rPr>
        <w:t xml:space="preserve">Guideline harvest level expressed in millions of pounds. </w:t>
      </w:r>
    </w:p>
    <w:p w:rsidR="007A649D" w:rsidRPr="00644C32" w:rsidRDefault="007A649D" w:rsidP="002F1A19">
      <w:pPr>
        <w:numPr>
          <w:ilvl w:val="0"/>
          <w:numId w:val="31"/>
        </w:numPr>
        <w:jc w:val="both"/>
        <w:rPr>
          <w:sz w:val="20"/>
        </w:rPr>
      </w:pPr>
      <w:r w:rsidRPr="00644C32">
        <w:rPr>
          <w:sz w:val="16"/>
          <w:szCs w:val="20"/>
        </w:rPr>
        <w:t>Millions of pounds.</w:t>
      </w:r>
    </w:p>
    <w:p w:rsidR="007A649D" w:rsidRPr="00644C32" w:rsidRDefault="007A649D" w:rsidP="002F1A19">
      <w:pPr>
        <w:numPr>
          <w:ilvl w:val="0"/>
          <w:numId w:val="31"/>
        </w:numPr>
        <w:jc w:val="both"/>
        <w:rPr>
          <w:sz w:val="20"/>
        </w:rPr>
      </w:pPr>
      <w:r w:rsidRPr="00644C32">
        <w:rPr>
          <w:sz w:val="16"/>
          <w:szCs w:val="20"/>
        </w:rPr>
        <w:t>Total retained catch</w:t>
      </w:r>
      <w:r w:rsidR="00C77C51" w:rsidRPr="00644C32">
        <w:rPr>
          <w:sz w:val="16"/>
          <w:szCs w:val="20"/>
        </w:rPr>
        <w:t xml:space="preserve"> </w:t>
      </w:r>
      <w:r w:rsidRPr="00644C32">
        <w:rPr>
          <w:sz w:val="16"/>
          <w:szCs w:val="20"/>
        </w:rPr>
        <w:t>plus estimated bycatch mortality during crab fisheries only. Bycatch mortality due to groundfish fisheries is not included here because available data is summarized by “crab fishery year” rather than calendar year; estimates of annual bycatch mortality during 1991/92–20</w:t>
      </w:r>
      <w:r w:rsidR="00BC74AA" w:rsidRPr="00644C32">
        <w:rPr>
          <w:sz w:val="16"/>
          <w:szCs w:val="20"/>
        </w:rPr>
        <w:t>10</w:t>
      </w:r>
      <w:r w:rsidRPr="00644C32">
        <w:rPr>
          <w:sz w:val="16"/>
          <w:szCs w:val="20"/>
        </w:rPr>
        <w:t>/1</w:t>
      </w:r>
      <w:r w:rsidR="00BC74AA" w:rsidRPr="00644C32">
        <w:rPr>
          <w:sz w:val="16"/>
          <w:szCs w:val="20"/>
        </w:rPr>
        <w:t>1</w:t>
      </w:r>
      <w:r w:rsidRPr="00644C32">
        <w:rPr>
          <w:sz w:val="16"/>
          <w:szCs w:val="20"/>
        </w:rPr>
        <w:t xml:space="preserve"> groundfish fisheries are ≤0.0</w:t>
      </w:r>
      <w:r w:rsidR="00335FB0" w:rsidRPr="00644C32">
        <w:rPr>
          <w:sz w:val="16"/>
          <w:szCs w:val="20"/>
        </w:rPr>
        <w:t>1</w:t>
      </w:r>
      <w:r w:rsidRPr="00644C32">
        <w:rPr>
          <w:sz w:val="16"/>
          <w:szCs w:val="20"/>
        </w:rPr>
        <w:t>9-million pounds, with an average of 0.00</w:t>
      </w:r>
      <w:r w:rsidR="00335FB0" w:rsidRPr="00644C32">
        <w:rPr>
          <w:sz w:val="16"/>
          <w:szCs w:val="20"/>
        </w:rPr>
        <w:t>6</w:t>
      </w:r>
      <w:r w:rsidRPr="00644C32">
        <w:rPr>
          <w:sz w:val="16"/>
          <w:szCs w:val="20"/>
        </w:rPr>
        <w:t>-million pounds.</w:t>
      </w:r>
    </w:p>
    <w:p w:rsidR="007A649D" w:rsidRPr="00644C32" w:rsidRDefault="007A649D" w:rsidP="002F1A19">
      <w:pPr>
        <w:numPr>
          <w:ilvl w:val="0"/>
          <w:numId w:val="31"/>
        </w:numPr>
        <w:jc w:val="both"/>
        <w:rPr>
          <w:sz w:val="20"/>
        </w:rPr>
      </w:pPr>
      <w:r w:rsidRPr="00644C32">
        <w:rPr>
          <w:sz w:val="16"/>
          <w:szCs w:val="20"/>
        </w:rPr>
        <w:t>Noted as “R” for retained-catch-only OFL and “T” for total-catch OFL</w:t>
      </w:r>
      <w:r w:rsidR="00BC74AA" w:rsidRPr="00644C32">
        <w:rPr>
          <w:sz w:val="16"/>
          <w:szCs w:val="20"/>
        </w:rPr>
        <w:t xml:space="preserve"> and ABC</w:t>
      </w:r>
      <w:r w:rsidRPr="00644C32">
        <w:rPr>
          <w:sz w:val="16"/>
          <w:szCs w:val="20"/>
        </w:rPr>
        <w:t>.</w:t>
      </w:r>
    </w:p>
    <w:p w:rsidR="007A649D" w:rsidRPr="00644C32" w:rsidRDefault="00B62062" w:rsidP="002F1A19">
      <w:pPr>
        <w:numPr>
          <w:ilvl w:val="0"/>
          <w:numId w:val="31"/>
        </w:numPr>
        <w:jc w:val="both"/>
        <w:rPr>
          <w:sz w:val="20"/>
        </w:rPr>
      </w:pPr>
      <w:r w:rsidRPr="00644C32">
        <w:rPr>
          <w:sz w:val="16"/>
          <w:szCs w:val="20"/>
        </w:rPr>
        <w:t xml:space="preserve">Catch statistics are confidential under Sec. 16.05.815 (SOA statute): </w:t>
      </w:r>
      <w:r w:rsidR="0020624C" w:rsidRPr="00644C32">
        <w:rPr>
          <w:sz w:val="16"/>
          <w:szCs w:val="20"/>
        </w:rPr>
        <w:t xml:space="preserve">≤2 vessels participated in each </w:t>
      </w:r>
      <w:r w:rsidR="00BC74AA" w:rsidRPr="00644C32">
        <w:rPr>
          <w:sz w:val="16"/>
          <w:szCs w:val="20"/>
        </w:rPr>
        <w:t>season</w:t>
      </w:r>
      <w:r w:rsidR="007A649D" w:rsidRPr="00644C32">
        <w:rPr>
          <w:sz w:val="16"/>
          <w:szCs w:val="20"/>
        </w:rPr>
        <w:t>.</w:t>
      </w:r>
    </w:p>
    <w:p w:rsidR="007A649D" w:rsidRPr="007A649D" w:rsidRDefault="007A649D" w:rsidP="007A649D">
      <w:pPr>
        <w:ind w:left="720"/>
        <w:jc w:val="both"/>
      </w:pPr>
    </w:p>
    <w:tbl>
      <w:tblPr>
        <w:tblW w:w="4585" w:type="pct"/>
        <w:tblInd w:w="378" w:type="dxa"/>
        <w:tblLook w:val="0000"/>
      </w:tblPr>
      <w:tblGrid>
        <w:gridCol w:w="804"/>
        <w:gridCol w:w="872"/>
        <w:gridCol w:w="1081"/>
        <w:gridCol w:w="839"/>
        <w:gridCol w:w="1415"/>
        <w:gridCol w:w="1415"/>
        <w:gridCol w:w="1025"/>
        <w:gridCol w:w="1024"/>
      </w:tblGrid>
      <w:tr w:rsidR="00DB608C" w:rsidRPr="007A649D" w:rsidTr="00B62FB3">
        <w:trPr>
          <w:trHeight w:val="437"/>
        </w:trPr>
        <w:tc>
          <w:tcPr>
            <w:tcW w:w="474" w:type="pct"/>
            <w:tcBorders>
              <w:top w:val="single" w:sz="12" w:space="0" w:color="auto"/>
              <w:left w:val="nil"/>
              <w:bottom w:val="single" w:sz="12" w:space="0" w:color="auto"/>
              <w:right w:val="nil"/>
            </w:tcBorders>
            <w:shd w:val="clear" w:color="auto" w:fill="auto"/>
            <w:vAlign w:val="center"/>
          </w:tcPr>
          <w:p w:rsidR="00DB608C" w:rsidRPr="007A649D" w:rsidRDefault="00DB608C" w:rsidP="00B601A8">
            <w:pPr>
              <w:keepNext/>
              <w:jc w:val="center"/>
              <w:rPr>
                <w:b/>
                <w:bCs/>
                <w:szCs w:val="22"/>
              </w:rPr>
            </w:pPr>
            <w:proofErr w:type="spellStart"/>
            <w:r w:rsidRPr="007A649D">
              <w:rPr>
                <w:b/>
                <w:bCs/>
                <w:szCs w:val="22"/>
              </w:rPr>
              <w:t>Year</w:t>
            </w:r>
            <w:r w:rsidRPr="007A649D">
              <w:rPr>
                <w:rFonts w:ascii="Times New Roman Bold" w:hAnsi="Times New Roman Bold"/>
                <w:b/>
                <w:bCs/>
                <w:vertAlign w:val="superscript"/>
              </w:rPr>
              <w:t>a</w:t>
            </w:r>
            <w:proofErr w:type="spellEnd"/>
          </w:p>
        </w:tc>
        <w:tc>
          <w:tcPr>
            <w:tcW w:w="514" w:type="pct"/>
            <w:tcBorders>
              <w:top w:val="single" w:sz="12" w:space="0" w:color="auto"/>
              <w:left w:val="nil"/>
              <w:bottom w:val="single" w:sz="12" w:space="0" w:color="auto"/>
              <w:right w:val="nil"/>
            </w:tcBorders>
          </w:tcPr>
          <w:p w:rsidR="00DB608C" w:rsidRPr="007A649D" w:rsidRDefault="00DB608C" w:rsidP="00B601A8">
            <w:pPr>
              <w:keepNext/>
              <w:jc w:val="center"/>
              <w:rPr>
                <w:b/>
                <w:bCs/>
                <w:szCs w:val="22"/>
              </w:rPr>
            </w:pPr>
          </w:p>
          <w:p w:rsidR="00DB608C" w:rsidRPr="007A649D" w:rsidRDefault="00DB608C" w:rsidP="00B601A8">
            <w:pPr>
              <w:keepNext/>
              <w:jc w:val="center"/>
              <w:rPr>
                <w:b/>
                <w:bCs/>
                <w:szCs w:val="22"/>
              </w:rPr>
            </w:pPr>
            <w:r w:rsidRPr="007A649D">
              <w:rPr>
                <w:b/>
                <w:bCs/>
                <w:szCs w:val="22"/>
              </w:rPr>
              <w:t>MSST</w:t>
            </w:r>
          </w:p>
        </w:tc>
        <w:tc>
          <w:tcPr>
            <w:tcW w:w="638" w:type="pct"/>
            <w:tcBorders>
              <w:top w:val="single" w:sz="12" w:space="0" w:color="auto"/>
              <w:left w:val="nil"/>
              <w:bottom w:val="single" w:sz="12" w:space="0" w:color="auto"/>
              <w:right w:val="nil"/>
            </w:tcBorders>
          </w:tcPr>
          <w:p w:rsidR="00DB608C" w:rsidRPr="007A649D" w:rsidRDefault="00DB608C" w:rsidP="00B601A8">
            <w:pPr>
              <w:keepNext/>
              <w:jc w:val="center"/>
              <w:rPr>
                <w:b/>
                <w:bCs/>
                <w:szCs w:val="22"/>
              </w:rPr>
            </w:pPr>
            <w:r w:rsidRPr="007A649D">
              <w:rPr>
                <w:b/>
                <w:bCs/>
                <w:szCs w:val="22"/>
              </w:rPr>
              <w:t>Biomass</w:t>
            </w:r>
          </w:p>
          <w:p w:rsidR="00DB608C" w:rsidRPr="007A649D" w:rsidRDefault="00DB608C" w:rsidP="00B601A8">
            <w:pPr>
              <w:keepNext/>
              <w:jc w:val="center"/>
              <w:rPr>
                <w:b/>
                <w:bCs/>
                <w:szCs w:val="22"/>
              </w:rPr>
            </w:pPr>
            <w:r w:rsidRPr="007A649D">
              <w:rPr>
                <w:b/>
                <w:bCs/>
                <w:szCs w:val="22"/>
              </w:rPr>
              <w:t>(MMB)</w:t>
            </w:r>
          </w:p>
        </w:tc>
        <w:tc>
          <w:tcPr>
            <w:tcW w:w="495" w:type="pct"/>
            <w:tcBorders>
              <w:top w:val="single" w:sz="12" w:space="0" w:color="auto"/>
              <w:left w:val="nil"/>
              <w:bottom w:val="single" w:sz="12" w:space="0" w:color="auto"/>
              <w:right w:val="nil"/>
            </w:tcBorders>
            <w:shd w:val="clear" w:color="auto" w:fill="auto"/>
            <w:vAlign w:val="center"/>
          </w:tcPr>
          <w:p w:rsidR="00DB608C" w:rsidRPr="007A649D" w:rsidRDefault="00DB608C" w:rsidP="00B601A8">
            <w:pPr>
              <w:keepNext/>
              <w:jc w:val="center"/>
              <w:rPr>
                <w:b/>
                <w:bCs/>
                <w:szCs w:val="22"/>
              </w:rPr>
            </w:pPr>
            <w:proofErr w:type="spellStart"/>
            <w:r w:rsidRPr="007A649D">
              <w:rPr>
                <w:b/>
                <w:bCs/>
                <w:szCs w:val="22"/>
              </w:rPr>
              <w:t>GHL</w:t>
            </w:r>
            <w:r w:rsidRPr="007A649D">
              <w:rPr>
                <w:rFonts w:ascii="Times New Roman Bold" w:hAnsi="Times New Roman Bold"/>
                <w:b/>
                <w:bCs/>
                <w:vertAlign w:val="superscript"/>
              </w:rPr>
              <w:t>b</w:t>
            </w:r>
            <w:proofErr w:type="spellEnd"/>
          </w:p>
        </w:tc>
        <w:tc>
          <w:tcPr>
            <w:tcW w:w="835" w:type="pct"/>
            <w:tcBorders>
              <w:top w:val="single" w:sz="12" w:space="0" w:color="auto"/>
              <w:left w:val="nil"/>
              <w:bottom w:val="single" w:sz="12" w:space="0" w:color="auto"/>
              <w:right w:val="nil"/>
            </w:tcBorders>
            <w:shd w:val="clear" w:color="auto" w:fill="auto"/>
            <w:vAlign w:val="center"/>
          </w:tcPr>
          <w:p w:rsidR="00DB608C" w:rsidRPr="007A649D" w:rsidRDefault="00DB608C" w:rsidP="00E20BA4">
            <w:pPr>
              <w:keepNext/>
              <w:jc w:val="center"/>
              <w:rPr>
                <w:b/>
                <w:bCs/>
                <w:szCs w:val="22"/>
              </w:rPr>
            </w:pPr>
            <w:r w:rsidRPr="007A649D">
              <w:rPr>
                <w:b/>
                <w:bCs/>
                <w:szCs w:val="22"/>
              </w:rPr>
              <w:t>Retained</w:t>
            </w:r>
          </w:p>
          <w:p w:rsidR="00DB608C" w:rsidRPr="007A649D" w:rsidRDefault="00DB608C" w:rsidP="00E20BA4">
            <w:pPr>
              <w:keepNext/>
              <w:jc w:val="center"/>
              <w:rPr>
                <w:b/>
                <w:bCs/>
                <w:szCs w:val="22"/>
              </w:rPr>
            </w:pPr>
            <w:proofErr w:type="spellStart"/>
            <w:r w:rsidRPr="007A649D">
              <w:rPr>
                <w:b/>
                <w:bCs/>
                <w:szCs w:val="22"/>
              </w:rPr>
              <w:t>Catch</w:t>
            </w:r>
            <w:r w:rsidRPr="007A649D">
              <w:rPr>
                <w:rFonts w:ascii="Times New Roman Bold" w:hAnsi="Times New Roman Bold"/>
                <w:b/>
                <w:bCs/>
                <w:szCs w:val="22"/>
                <w:vertAlign w:val="superscript"/>
              </w:rPr>
              <w:t>c</w:t>
            </w:r>
            <w:proofErr w:type="spellEnd"/>
          </w:p>
        </w:tc>
        <w:tc>
          <w:tcPr>
            <w:tcW w:w="835" w:type="pct"/>
            <w:tcBorders>
              <w:top w:val="single" w:sz="12" w:space="0" w:color="auto"/>
              <w:left w:val="nil"/>
              <w:bottom w:val="single" w:sz="12" w:space="0" w:color="auto"/>
              <w:right w:val="nil"/>
            </w:tcBorders>
          </w:tcPr>
          <w:p w:rsidR="00DB608C" w:rsidRPr="007A649D" w:rsidRDefault="00DB608C" w:rsidP="00B601A8">
            <w:pPr>
              <w:keepNext/>
              <w:jc w:val="center"/>
              <w:rPr>
                <w:b/>
                <w:bCs/>
                <w:szCs w:val="22"/>
              </w:rPr>
            </w:pPr>
            <w:r w:rsidRPr="007A649D">
              <w:rPr>
                <w:b/>
                <w:bCs/>
                <w:szCs w:val="22"/>
              </w:rPr>
              <w:t>Total</w:t>
            </w:r>
          </w:p>
          <w:p w:rsidR="00DB608C" w:rsidRPr="007A649D" w:rsidRDefault="00DB608C" w:rsidP="00B601A8">
            <w:pPr>
              <w:keepNext/>
              <w:jc w:val="center"/>
              <w:rPr>
                <w:b/>
                <w:bCs/>
                <w:szCs w:val="22"/>
              </w:rPr>
            </w:pPr>
            <w:proofErr w:type="spellStart"/>
            <w:r w:rsidRPr="007A649D">
              <w:rPr>
                <w:b/>
                <w:bCs/>
                <w:szCs w:val="22"/>
              </w:rPr>
              <w:t>Catch</w:t>
            </w:r>
            <w:r w:rsidRPr="007A649D">
              <w:rPr>
                <w:rFonts w:ascii="Times New Roman Bold" w:hAnsi="Times New Roman Bold"/>
                <w:b/>
                <w:bCs/>
                <w:szCs w:val="22"/>
                <w:vertAlign w:val="superscript"/>
              </w:rPr>
              <w:t>c,d</w:t>
            </w:r>
            <w:proofErr w:type="spellEnd"/>
          </w:p>
        </w:tc>
        <w:tc>
          <w:tcPr>
            <w:tcW w:w="605" w:type="pct"/>
            <w:tcBorders>
              <w:top w:val="single" w:sz="12" w:space="0" w:color="auto"/>
              <w:left w:val="nil"/>
              <w:bottom w:val="single" w:sz="12" w:space="0" w:color="auto"/>
              <w:right w:val="nil"/>
            </w:tcBorders>
            <w:vAlign w:val="center"/>
          </w:tcPr>
          <w:p w:rsidR="00DB608C" w:rsidRPr="007A649D" w:rsidRDefault="00DB608C" w:rsidP="002A2C2E">
            <w:pPr>
              <w:keepNext/>
              <w:jc w:val="center"/>
              <w:rPr>
                <w:b/>
                <w:bCs/>
                <w:szCs w:val="22"/>
              </w:rPr>
            </w:pPr>
            <w:proofErr w:type="spellStart"/>
            <w:r w:rsidRPr="007A649D">
              <w:rPr>
                <w:b/>
                <w:bCs/>
                <w:szCs w:val="22"/>
              </w:rPr>
              <w:t>OFL</w:t>
            </w:r>
            <w:r w:rsidRPr="007A649D">
              <w:rPr>
                <w:rFonts w:ascii="Times New Roman Bold" w:hAnsi="Times New Roman Bold"/>
                <w:b/>
                <w:bCs/>
                <w:szCs w:val="22"/>
                <w:vertAlign w:val="superscript"/>
              </w:rPr>
              <w:t>c,e</w:t>
            </w:r>
            <w:proofErr w:type="spellEnd"/>
          </w:p>
        </w:tc>
        <w:tc>
          <w:tcPr>
            <w:tcW w:w="604" w:type="pct"/>
            <w:tcBorders>
              <w:top w:val="single" w:sz="12" w:space="0" w:color="auto"/>
              <w:left w:val="nil"/>
              <w:bottom w:val="single" w:sz="12" w:space="0" w:color="auto"/>
              <w:right w:val="nil"/>
            </w:tcBorders>
          </w:tcPr>
          <w:p w:rsidR="00DB608C" w:rsidRPr="00DB608C" w:rsidRDefault="00DB608C" w:rsidP="00DB608C">
            <w:pPr>
              <w:keepNext/>
              <w:spacing w:before="120"/>
              <w:jc w:val="center"/>
              <w:rPr>
                <w:b/>
                <w:bCs/>
                <w:szCs w:val="22"/>
                <w:vertAlign w:val="superscript"/>
              </w:rPr>
            </w:pPr>
            <w:proofErr w:type="spellStart"/>
            <w:r>
              <w:rPr>
                <w:b/>
                <w:bCs/>
                <w:szCs w:val="22"/>
              </w:rPr>
              <w:t>ABC</w:t>
            </w:r>
            <w:r w:rsidR="00812979">
              <w:rPr>
                <w:b/>
                <w:bCs/>
                <w:szCs w:val="22"/>
                <w:vertAlign w:val="superscript"/>
              </w:rPr>
              <w:t>c,e</w:t>
            </w:r>
            <w:proofErr w:type="spellEnd"/>
          </w:p>
        </w:tc>
      </w:tr>
      <w:tr w:rsidR="00DB608C" w:rsidRPr="00C8044B" w:rsidTr="00B62FB3">
        <w:trPr>
          <w:trHeight w:val="291"/>
        </w:trPr>
        <w:tc>
          <w:tcPr>
            <w:tcW w:w="474" w:type="pct"/>
            <w:tcBorders>
              <w:top w:val="nil"/>
              <w:left w:val="nil"/>
              <w:bottom w:val="nil"/>
              <w:right w:val="nil"/>
            </w:tcBorders>
            <w:shd w:val="clear" w:color="auto" w:fill="auto"/>
            <w:vAlign w:val="center"/>
          </w:tcPr>
          <w:p w:rsidR="00DB608C" w:rsidRPr="00A36539" w:rsidRDefault="00DB608C" w:rsidP="00202056">
            <w:pPr>
              <w:keepNext/>
              <w:jc w:val="center"/>
              <w:rPr>
                <w:szCs w:val="22"/>
              </w:rPr>
            </w:pPr>
            <w:r w:rsidRPr="00A36539">
              <w:rPr>
                <w:szCs w:val="22"/>
              </w:rPr>
              <w:t>20</w:t>
            </w:r>
            <w:r>
              <w:rPr>
                <w:szCs w:val="22"/>
              </w:rPr>
              <w:t>10</w:t>
            </w:r>
          </w:p>
        </w:tc>
        <w:tc>
          <w:tcPr>
            <w:tcW w:w="514" w:type="pct"/>
            <w:tcBorders>
              <w:top w:val="nil"/>
              <w:left w:val="nil"/>
              <w:bottom w:val="nil"/>
              <w:right w:val="nil"/>
            </w:tcBorders>
          </w:tcPr>
          <w:p w:rsidR="00DB608C" w:rsidRPr="00A36539" w:rsidRDefault="00DB608C" w:rsidP="00B601A8">
            <w:pPr>
              <w:keepNext/>
              <w:jc w:val="center"/>
              <w:rPr>
                <w:szCs w:val="22"/>
              </w:rPr>
            </w:pPr>
            <w:r w:rsidRPr="00A36539">
              <w:rPr>
                <w:szCs w:val="22"/>
              </w:rPr>
              <w:t>N/A</w:t>
            </w:r>
          </w:p>
        </w:tc>
        <w:tc>
          <w:tcPr>
            <w:tcW w:w="638" w:type="pct"/>
            <w:tcBorders>
              <w:top w:val="nil"/>
              <w:left w:val="nil"/>
              <w:bottom w:val="nil"/>
              <w:right w:val="nil"/>
            </w:tcBorders>
          </w:tcPr>
          <w:p w:rsidR="00DB608C" w:rsidRPr="00A36539" w:rsidRDefault="00DB608C" w:rsidP="00B601A8">
            <w:pPr>
              <w:jc w:val="center"/>
            </w:pPr>
            <w:r w:rsidRPr="00A36539">
              <w:rPr>
                <w:szCs w:val="22"/>
              </w:rPr>
              <w:t>N/A</w:t>
            </w:r>
          </w:p>
        </w:tc>
        <w:tc>
          <w:tcPr>
            <w:tcW w:w="495" w:type="pct"/>
            <w:tcBorders>
              <w:top w:val="nil"/>
              <w:left w:val="nil"/>
              <w:bottom w:val="nil"/>
              <w:right w:val="nil"/>
            </w:tcBorders>
            <w:shd w:val="clear" w:color="auto" w:fill="auto"/>
            <w:vAlign w:val="center"/>
          </w:tcPr>
          <w:p w:rsidR="00DB608C" w:rsidRPr="00415592" w:rsidRDefault="00DB608C" w:rsidP="00986893">
            <w:pPr>
              <w:keepNext/>
              <w:jc w:val="center"/>
              <w:rPr>
                <w:szCs w:val="22"/>
              </w:rPr>
            </w:pPr>
            <w:r>
              <w:rPr>
                <w:szCs w:val="22"/>
              </w:rPr>
              <w:t>68</w:t>
            </w:r>
          </w:p>
        </w:tc>
        <w:tc>
          <w:tcPr>
            <w:tcW w:w="835" w:type="pct"/>
            <w:tcBorders>
              <w:top w:val="nil"/>
              <w:left w:val="nil"/>
              <w:bottom w:val="nil"/>
              <w:right w:val="nil"/>
            </w:tcBorders>
            <w:vAlign w:val="center"/>
          </w:tcPr>
          <w:p w:rsidR="00DB608C" w:rsidRPr="00415592" w:rsidRDefault="00BC74AA" w:rsidP="00BC74AA">
            <w:pPr>
              <w:keepNext/>
              <w:jc w:val="center"/>
              <w:rPr>
                <w:szCs w:val="22"/>
              </w:rPr>
            </w:pPr>
            <w:r>
              <w:rPr>
                <w:szCs w:val="22"/>
              </w:rPr>
              <w:t>C</w:t>
            </w:r>
            <w:r w:rsidR="00DB608C">
              <w:rPr>
                <w:szCs w:val="22"/>
              </w:rPr>
              <w:t>onf</w:t>
            </w:r>
            <w:r>
              <w:rPr>
                <w:szCs w:val="22"/>
              </w:rPr>
              <w:t>.</w:t>
            </w:r>
            <w:r w:rsidRPr="0081405F">
              <w:rPr>
                <w:szCs w:val="22"/>
                <w:vertAlign w:val="superscript"/>
              </w:rPr>
              <w:t xml:space="preserve"> </w:t>
            </w:r>
            <w:r w:rsidR="00DB608C" w:rsidRPr="0081405F">
              <w:rPr>
                <w:szCs w:val="22"/>
                <w:vertAlign w:val="superscript"/>
              </w:rPr>
              <w:t>f</w:t>
            </w:r>
          </w:p>
        </w:tc>
        <w:tc>
          <w:tcPr>
            <w:tcW w:w="835" w:type="pct"/>
            <w:tcBorders>
              <w:top w:val="nil"/>
              <w:left w:val="nil"/>
              <w:bottom w:val="nil"/>
              <w:right w:val="nil"/>
            </w:tcBorders>
            <w:shd w:val="clear" w:color="auto" w:fill="auto"/>
            <w:vAlign w:val="center"/>
          </w:tcPr>
          <w:p w:rsidR="00DB608C" w:rsidRPr="00415592" w:rsidRDefault="00BC74AA" w:rsidP="00BC74AA">
            <w:pPr>
              <w:keepNext/>
              <w:jc w:val="center"/>
              <w:rPr>
                <w:szCs w:val="22"/>
              </w:rPr>
            </w:pPr>
            <w:r>
              <w:rPr>
                <w:szCs w:val="22"/>
              </w:rPr>
              <w:t>C</w:t>
            </w:r>
            <w:r w:rsidR="00DB608C">
              <w:rPr>
                <w:szCs w:val="22"/>
              </w:rPr>
              <w:t>onf</w:t>
            </w:r>
            <w:r>
              <w:rPr>
                <w:szCs w:val="22"/>
              </w:rPr>
              <w:t>.</w:t>
            </w:r>
            <w:r w:rsidRPr="0081405F">
              <w:rPr>
                <w:szCs w:val="22"/>
                <w:vertAlign w:val="superscript"/>
              </w:rPr>
              <w:t xml:space="preserve"> </w:t>
            </w:r>
            <w:r w:rsidR="00DB608C" w:rsidRPr="0081405F">
              <w:rPr>
                <w:szCs w:val="22"/>
                <w:vertAlign w:val="superscript"/>
              </w:rPr>
              <w:t>f</w:t>
            </w:r>
          </w:p>
        </w:tc>
        <w:tc>
          <w:tcPr>
            <w:tcW w:w="605" w:type="pct"/>
            <w:tcBorders>
              <w:top w:val="nil"/>
              <w:left w:val="nil"/>
              <w:bottom w:val="nil"/>
              <w:right w:val="nil"/>
            </w:tcBorders>
            <w:vAlign w:val="center"/>
          </w:tcPr>
          <w:p w:rsidR="00DB608C" w:rsidRPr="00A36539" w:rsidRDefault="00BC74AA" w:rsidP="007A649D">
            <w:pPr>
              <w:keepNext/>
              <w:jc w:val="center"/>
              <w:rPr>
                <w:szCs w:val="22"/>
              </w:rPr>
            </w:pPr>
            <w:r>
              <w:rPr>
                <w:szCs w:val="22"/>
              </w:rPr>
              <w:t>77</w:t>
            </w:r>
            <w:r w:rsidR="00DB608C">
              <w:rPr>
                <w:szCs w:val="22"/>
              </w:rPr>
              <w:t xml:space="preserve"> R</w:t>
            </w:r>
          </w:p>
        </w:tc>
        <w:tc>
          <w:tcPr>
            <w:tcW w:w="604" w:type="pct"/>
            <w:tcBorders>
              <w:top w:val="nil"/>
              <w:left w:val="nil"/>
              <w:bottom w:val="nil"/>
              <w:right w:val="nil"/>
            </w:tcBorders>
          </w:tcPr>
          <w:p w:rsidR="00DB608C" w:rsidRPr="00A36539" w:rsidRDefault="00DB608C" w:rsidP="0014487B">
            <w:pPr>
              <w:keepNext/>
              <w:jc w:val="center"/>
              <w:rPr>
                <w:szCs w:val="22"/>
              </w:rPr>
            </w:pPr>
            <w:r>
              <w:rPr>
                <w:szCs w:val="22"/>
              </w:rPr>
              <w:t>N/A</w:t>
            </w:r>
          </w:p>
        </w:tc>
      </w:tr>
      <w:tr w:rsidR="00DB608C" w:rsidRPr="00C8044B" w:rsidTr="00B62FB3">
        <w:trPr>
          <w:trHeight w:val="291"/>
        </w:trPr>
        <w:tc>
          <w:tcPr>
            <w:tcW w:w="474" w:type="pct"/>
            <w:tcBorders>
              <w:top w:val="nil"/>
              <w:left w:val="nil"/>
              <w:bottom w:val="nil"/>
              <w:right w:val="nil"/>
            </w:tcBorders>
            <w:shd w:val="clear" w:color="auto" w:fill="auto"/>
            <w:vAlign w:val="center"/>
          </w:tcPr>
          <w:p w:rsidR="00DB608C" w:rsidRPr="00A36539" w:rsidRDefault="00DB608C" w:rsidP="00B601A8">
            <w:pPr>
              <w:keepNext/>
              <w:jc w:val="center"/>
              <w:rPr>
                <w:szCs w:val="22"/>
              </w:rPr>
            </w:pPr>
            <w:r>
              <w:rPr>
                <w:szCs w:val="22"/>
              </w:rPr>
              <w:t>2011</w:t>
            </w:r>
          </w:p>
        </w:tc>
        <w:tc>
          <w:tcPr>
            <w:tcW w:w="514" w:type="pct"/>
            <w:tcBorders>
              <w:top w:val="nil"/>
              <w:left w:val="nil"/>
              <w:bottom w:val="nil"/>
              <w:right w:val="nil"/>
            </w:tcBorders>
          </w:tcPr>
          <w:p w:rsidR="00DB608C" w:rsidRPr="00A36539" w:rsidRDefault="00DB608C" w:rsidP="00B601A8">
            <w:pPr>
              <w:keepNext/>
              <w:jc w:val="center"/>
              <w:rPr>
                <w:szCs w:val="22"/>
              </w:rPr>
            </w:pPr>
            <w:r>
              <w:rPr>
                <w:szCs w:val="22"/>
              </w:rPr>
              <w:t>N/A</w:t>
            </w:r>
          </w:p>
        </w:tc>
        <w:tc>
          <w:tcPr>
            <w:tcW w:w="638" w:type="pct"/>
            <w:tcBorders>
              <w:top w:val="nil"/>
              <w:left w:val="nil"/>
              <w:bottom w:val="nil"/>
              <w:right w:val="nil"/>
            </w:tcBorders>
          </w:tcPr>
          <w:p w:rsidR="00DB608C" w:rsidRPr="00A36539" w:rsidRDefault="00DB608C" w:rsidP="00B601A8">
            <w:pPr>
              <w:jc w:val="center"/>
              <w:rPr>
                <w:szCs w:val="22"/>
              </w:rPr>
            </w:pPr>
            <w:r>
              <w:rPr>
                <w:szCs w:val="22"/>
              </w:rPr>
              <w:t>N/A</w:t>
            </w:r>
          </w:p>
        </w:tc>
        <w:tc>
          <w:tcPr>
            <w:tcW w:w="495" w:type="pct"/>
            <w:tcBorders>
              <w:top w:val="nil"/>
              <w:left w:val="nil"/>
              <w:bottom w:val="nil"/>
              <w:right w:val="nil"/>
            </w:tcBorders>
            <w:shd w:val="clear" w:color="auto" w:fill="auto"/>
            <w:vAlign w:val="center"/>
          </w:tcPr>
          <w:p w:rsidR="00DB608C" w:rsidRPr="00415592" w:rsidRDefault="00DB608C" w:rsidP="00986893">
            <w:pPr>
              <w:keepNext/>
              <w:jc w:val="center"/>
              <w:rPr>
                <w:szCs w:val="22"/>
              </w:rPr>
            </w:pPr>
            <w:r>
              <w:rPr>
                <w:szCs w:val="22"/>
              </w:rPr>
              <w:t>68</w:t>
            </w:r>
          </w:p>
        </w:tc>
        <w:tc>
          <w:tcPr>
            <w:tcW w:w="835" w:type="pct"/>
            <w:tcBorders>
              <w:top w:val="nil"/>
              <w:left w:val="nil"/>
              <w:bottom w:val="nil"/>
              <w:right w:val="nil"/>
            </w:tcBorders>
            <w:vAlign w:val="center"/>
          </w:tcPr>
          <w:p w:rsidR="00DB608C" w:rsidRPr="00415592" w:rsidRDefault="00BC74AA" w:rsidP="00B601A8">
            <w:pPr>
              <w:keepNext/>
              <w:jc w:val="center"/>
              <w:rPr>
                <w:szCs w:val="22"/>
              </w:rPr>
            </w:pPr>
            <w:r>
              <w:rPr>
                <w:szCs w:val="22"/>
              </w:rPr>
              <w:t>Conf.</w:t>
            </w:r>
            <w:r w:rsidRPr="0081405F">
              <w:rPr>
                <w:szCs w:val="22"/>
                <w:vertAlign w:val="superscript"/>
              </w:rPr>
              <w:t xml:space="preserve"> f</w:t>
            </w:r>
          </w:p>
        </w:tc>
        <w:tc>
          <w:tcPr>
            <w:tcW w:w="835" w:type="pct"/>
            <w:tcBorders>
              <w:top w:val="nil"/>
              <w:left w:val="nil"/>
              <w:bottom w:val="nil"/>
              <w:right w:val="nil"/>
            </w:tcBorders>
            <w:shd w:val="clear" w:color="auto" w:fill="auto"/>
            <w:vAlign w:val="center"/>
          </w:tcPr>
          <w:p w:rsidR="00DB608C" w:rsidRPr="00415592" w:rsidRDefault="00BC74AA" w:rsidP="00B601A8">
            <w:pPr>
              <w:keepNext/>
              <w:jc w:val="center"/>
              <w:rPr>
                <w:szCs w:val="22"/>
              </w:rPr>
            </w:pPr>
            <w:r>
              <w:rPr>
                <w:szCs w:val="22"/>
              </w:rPr>
              <w:t>Conf.</w:t>
            </w:r>
            <w:r w:rsidRPr="0081405F">
              <w:rPr>
                <w:szCs w:val="22"/>
                <w:vertAlign w:val="superscript"/>
              </w:rPr>
              <w:t xml:space="preserve"> f</w:t>
            </w:r>
          </w:p>
        </w:tc>
        <w:tc>
          <w:tcPr>
            <w:tcW w:w="605" w:type="pct"/>
            <w:tcBorders>
              <w:top w:val="nil"/>
              <w:left w:val="nil"/>
              <w:bottom w:val="nil"/>
              <w:right w:val="nil"/>
            </w:tcBorders>
            <w:vAlign w:val="center"/>
          </w:tcPr>
          <w:p w:rsidR="00DB608C" w:rsidRPr="00A36539" w:rsidRDefault="00BC74AA" w:rsidP="007A649D">
            <w:pPr>
              <w:keepNext/>
              <w:jc w:val="center"/>
              <w:rPr>
                <w:szCs w:val="22"/>
              </w:rPr>
            </w:pPr>
            <w:r>
              <w:rPr>
                <w:szCs w:val="22"/>
              </w:rPr>
              <w:t>82</w:t>
            </w:r>
            <w:r w:rsidR="00DB608C">
              <w:rPr>
                <w:szCs w:val="22"/>
              </w:rPr>
              <w:t xml:space="preserve"> T</w:t>
            </w:r>
          </w:p>
        </w:tc>
        <w:tc>
          <w:tcPr>
            <w:tcW w:w="604" w:type="pct"/>
            <w:tcBorders>
              <w:top w:val="nil"/>
              <w:left w:val="nil"/>
              <w:bottom w:val="nil"/>
              <w:right w:val="nil"/>
            </w:tcBorders>
          </w:tcPr>
          <w:p w:rsidR="00DB608C" w:rsidRPr="00A36539" w:rsidRDefault="00DB608C" w:rsidP="0014487B">
            <w:pPr>
              <w:keepNext/>
              <w:jc w:val="center"/>
              <w:rPr>
                <w:szCs w:val="22"/>
              </w:rPr>
            </w:pPr>
            <w:r>
              <w:rPr>
                <w:szCs w:val="22"/>
              </w:rPr>
              <w:t>N/A</w:t>
            </w:r>
          </w:p>
        </w:tc>
      </w:tr>
      <w:tr w:rsidR="00DB608C" w:rsidRPr="00C8044B" w:rsidTr="00B62FB3">
        <w:trPr>
          <w:trHeight w:val="291"/>
        </w:trPr>
        <w:tc>
          <w:tcPr>
            <w:tcW w:w="474" w:type="pct"/>
            <w:tcBorders>
              <w:top w:val="nil"/>
              <w:left w:val="nil"/>
              <w:bottom w:val="nil"/>
              <w:right w:val="nil"/>
            </w:tcBorders>
            <w:shd w:val="clear" w:color="auto" w:fill="auto"/>
            <w:vAlign w:val="center"/>
          </w:tcPr>
          <w:p w:rsidR="00DB608C" w:rsidRDefault="00DB608C" w:rsidP="00B601A8">
            <w:pPr>
              <w:keepNext/>
              <w:jc w:val="center"/>
              <w:rPr>
                <w:szCs w:val="22"/>
              </w:rPr>
            </w:pPr>
            <w:r>
              <w:rPr>
                <w:szCs w:val="22"/>
              </w:rPr>
              <w:t>2012</w:t>
            </w:r>
          </w:p>
        </w:tc>
        <w:tc>
          <w:tcPr>
            <w:tcW w:w="514" w:type="pct"/>
            <w:tcBorders>
              <w:top w:val="nil"/>
              <w:left w:val="nil"/>
              <w:bottom w:val="nil"/>
              <w:right w:val="nil"/>
            </w:tcBorders>
          </w:tcPr>
          <w:p w:rsidR="00DB608C" w:rsidRDefault="00DB608C" w:rsidP="00B601A8">
            <w:pPr>
              <w:keepNext/>
              <w:jc w:val="center"/>
              <w:rPr>
                <w:szCs w:val="22"/>
              </w:rPr>
            </w:pPr>
            <w:r>
              <w:rPr>
                <w:szCs w:val="22"/>
              </w:rPr>
              <w:t>N/A</w:t>
            </w:r>
          </w:p>
        </w:tc>
        <w:tc>
          <w:tcPr>
            <w:tcW w:w="638" w:type="pct"/>
            <w:tcBorders>
              <w:top w:val="nil"/>
              <w:left w:val="nil"/>
              <w:bottom w:val="nil"/>
              <w:right w:val="nil"/>
            </w:tcBorders>
          </w:tcPr>
          <w:p w:rsidR="00DB608C" w:rsidRDefault="00DB608C" w:rsidP="00B601A8">
            <w:pPr>
              <w:jc w:val="center"/>
              <w:rPr>
                <w:szCs w:val="22"/>
              </w:rPr>
            </w:pPr>
            <w:r>
              <w:rPr>
                <w:szCs w:val="22"/>
              </w:rPr>
              <w:t>N/A</w:t>
            </w:r>
          </w:p>
        </w:tc>
        <w:tc>
          <w:tcPr>
            <w:tcW w:w="495" w:type="pct"/>
            <w:tcBorders>
              <w:top w:val="nil"/>
              <w:left w:val="nil"/>
              <w:bottom w:val="nil"/>
              <w:right w:val="nil"/>
            </w:tcBorders>
            <w:shd w:val="clear" w:color="auto" w:fill="auto"/>
            <w:vAlign w:val="center"/>
          </w:tcPr>
          <w:p w:rsidR="00DB608C" w:rsidRDefault="00A446D7" w:rsidP="00986893">
            <w:pPr>
              <w:keepNext/>
              <w:jc w:val="center"/>
              <w:rPr>
                <w:szCs w:val="22"/>
              </w:rPr>
            </w:pPr>
            <w:r>
              <w:rPr>
                <w:szCs w:val="22"/>
              </w:rPr>
              <w:t>68</w:t>
            </w:r>
          </w:p>
        </w:tc>
        <w:tc>
          <w:tcPr>
            <w:tcW w:w="835" w:type="pct"/>
            <w:tcBorders>
              <w:top w:val="nil"/>
              <w:left w:val="nil"/>
              <w:bottom w:val="nil"/>
              <w:right w:val="nil"/>
            </w:tcBorders>
            <w:vAlign w:val="center"/>
          </w:tcPr>
          <w:p w:rsidR="00DB608C" w:rsidRDefault="0020624C" w:rsidP="00B601A8">
            <w:pPr>
              <w:keepNext/>
              <w:jc w:val="center"/>
              <w:rPr>
                <w:szCs w:val="22"/>
              </w:rPr>
            </w:pPr>
            <w:r>
              <w:rPr>
                <w:szCs w:val="22"/>
              </w:rPr>
              <w:t>Conf.</w:t>
            </w:r>
            <w:r w:rsidRPr="0081405F">
              <w:rPr>
                <w:szCs w:val="22"/>
                <w:vertAlign w:val="superscript"/>
              </w:rPr>
              <w:t xml:space="preserve"> f</w:t>
            </w:r>
          </w:p>
        </w:tc>
        <w:tc>
          <w:tcPr>
            <w:tcW w:w="835" w:type="pct"/>
            <w:tcBorders>
              <w:top w:val="nil"/>
              <w:left w:val="nil"/>
              <w:bottom w:val="nil"/>
              <w:right w:val="nil"/>
            </w:tcBorders>
            <w:shd w:val="clear" w:color="auto" w:fill="auto"/>
            <w:vAlign w:val="center"/>
          </w:tcPr>
          <w:p w:rsidR="00DB608C" w:rsidRDefault="0020624C" w:rsidP="00B601A8">
            <w:pPr>
              <w:keepNext/>
              <w:jc w:val="center"/>
              <w:rPr>
                <w:szCs w:val="22"/>
              </w:rPr>
            </w:pPr>
            <w:r>
              <w:rPr>
                <w:szCs w:val="22"/>
              </w:rPr>
              <w:t>Conf.</w:t>
            </w:r>
            <w:r w:rsidRPr="0081405F">
              <w:rPr>
                <w:szCs w:val="22"/>
                <w:vertAlign w:val="superscript"/>
              </w:rPr>
              <w:t xml:space="preserve"> f</w:t>
            </w:r>
          </w:p>
        </w:tc>
        <w:tc>
          <w:tcPr>
            <w:tcW w:w="605" w:type="pct"/>
            <w:tcBorders>
              <w:top w:val="nil"/>
              <w:left w:val="nil"/>
              <w:bottom w:val="nil"/>
              <w:right w:val="nil"/>
            </w:tcBorders>
            <w:vAlign w:val="center"/>
          </w:tcPr>
          <w:p w:rsidR="00DB608C" w:rsidRPr="00DB608C" w:rsidRDefault="00067343" w:rsidP="006B47D4">
            <w:pPr>
              <w:keepNext/>
              <w:jc w:val="center"/>
              <w:rPr>
                <w:szCs w:val="22"/>
                <w:highlight w:val="yellow"/>
              </w:rPr>
            </w:pPr>
            <w:r>
              <w:rPr>
                <w:szCs w:val="22"/>
              </w:rPr>
              <w:t>91</w:t>
            </w:r>
            <w:r w:rsidR="001B3A3A" w:rsidRPr="001B3A3A">
              <w:rPr>
                <w:szCs w:val="22"/>
              </w:rPr>
              <w:t xml:space="preserve"> T</w:t>
            </w:r>
          </w:p>
        </w:tc>
        <w:tc>
          <w:tcPr>
            <w:tcW w:w="604" w:type="pct"/>
            <w:tcBorders>
              <w:top w:val="nil"/>
              <w:left w:val="nil"/>
              <w:bottom w:val="nil"/>
              <w:right w:val="nil"/>
            </w:tcBorders>
          </w:tcPr>
          <w:p w:rsidR="00DB608C" w:rsidRPr="00DB608C" w:rsidRDefault="00067343" w:rsidP="006B47D4">
            <w:pPr>
              <w:keepNext/>
              <w:jc w:val="center"/>
              <w:rPr>
                <w:szCs w:val="22"/>
                <w:highlight w:val="yellow"/>
              </w:rPr>
            </w:pPr>
            <w:r>
              <w:rPr>
                <w:szCs w:val="22"/>
              </w:rPr>
              <w:t>82</w:t>
            </w:r>
            <w:r w:rsidR="001B3A3A" w:rsidRPr="001B3A3A">
              <w:rPr>
                <w:szCs w:val="22"/>
              </w:rPr>
              <w:t xml:space="preserve"> T</w:t>
            </w:r>
          </w:p>
        </w:tc>
      </w:tr>
      <w:tr w:rsidR="00BC74AA" w:rsidRPr="00C8044B" w:rsidTr="00B62FB3">
        <w:trPr>
          <w:trHeight w:val="291"/>
        </w:trPr>
        <w:tc>
          <w:tcPr>
            <w:tcW w:w="474" w:type="pct"/>
            <w:tcBorders>
              <w:top w:val="nil"/>
              <w:left w:val="nil"/>
              <w:bottom w:val="nil"/>
              <w:right w:val="nil"/>
            </w:tcBorders>
            <w:shd w:val="clear" w:color="auto" w:fill="auto"/>
            <w:vAlign w:val="center"/>
          </w:tcPr>
          <w:p w:rsidR="00BC74AA" w:rsidRDefault="00BC74AA" w:rsidP="00B601A8">
            <w:pPr>
              <w:keepNext/>
              <w:jc w:val="center"/>
              <w:rPr>
                <w:szCs w:val="22"/>
              </w:rPr>
            </w:pPr>
            <w:r>
              <w:rPr>
                <w:szCs w:val="22"/>
              </w:rPr>
              <w:t>2013</w:t>
            </w:r>
          </w:p>
        </w:tc>
        <w:tc>
          <w:tcPr>
            <w:tcW w:w="514" w:type="pct"/>
            <w:tcBorders>
              <w:top w:val="nil"/>
              <w:left w:val="nil"/>
              <w:bottom w:val="nil"/>
              <w:right w:val="nil"/>
            </w:tcBorders>
          </w:tcPr>
          <w:p w:rsidR="00BC74AA" w:rsidRDefault="00BC74AA" w:rsidP="00B601A8">
            <w:pPr>
              <w:keepNext/>
              <w:jc w:val="center"/>
              <w:rPr>
                <w:szCs w:val="22"/>
              </w:rPr>
            </w:pPr>
            <w:r>
              <w:rPr>
                <w:szCs w:val="22"/>
              </w:rPr>
              <w:t>N/A</w:t>
            </w:r>
          </w:p>
        </w:tc>
        <w:tc>
          <w:tcPr>
            <w:tcW w:w="638" w:type="pct"/>
            <w:tcBorders>
              <w:top w:val="nil"/>
              <w:left w:val="nil"/>
              <w:bottom w:val="nil"/>
              <w:right w:val="nil"/>
            </w:tcBorders>
          </w:tcPr>
          <w:p w:rsidR="00BC74AA" w:rsidRDefault="00BC74AA" w:rsidP="00B601A8">
            <w:pPr>
              <w:jc w:val="center"/>
              <w:rPr>
                <w:szCs w:val="22"/>
              </w:rPr>
            </w:pPr>
            <w:r>
              <w:rPr>
                <w:szCs w:val="22"/>
              </w:rPr>
              <w:t>N/A</w:t>
            </w:r>
          </w:p>
        </w:tc>
        <w:tc>
          <w:tcPr>
            <w:tcW w:w="495" w:type="pct"/>
            <w:tcBorders>
              <w:top w:val="nil"/>
              <w:left w:val="nil"/>
              <w:bottom w:val="nil"/>
              <w:right w:val="nil"/>
            </w:tcBorders>
            <w:shd w:val="clear" w:color="auto" w:fill="auto"/>
            <w:vAlign w:val="center"/>
          </w:tcPr>
          <w:p w:rsidR="00BC74AA" w:rsidRDefault="0020624C" w:rsidP="00986893">
            <w:pPr>
              <w:keepNext/>
              <w:jc w:val="center"/>
              <w:rPr>
                <w:szCs w:val="22"/>
              </w:rPr>
            </w:pPr>
            <w:r>
              <w:rPr>
                <w:szCs w:val="22"/>
              </w:rPr>
              <w:t>68</w:t>
            </w:r>
          </w:p>
        </w:tc>
        <w:tc>
          <w:tcPr>
            <w:tcW w:w="835" w:type="pct"/>
            <w:tcBorders>
              <w:top w:val="nil"/>
              <w:left w:val="nil"/>
              <w:bottom w:val="nil"/>
              <w:right w:val="nil"/>
            </w:tcBorders>
            <w:vAlign w:val="center"/>
          </w:tcPr>
          <w:p w:rsidR="00BC74AA" w:rsidRDefault="00BC74AA" w:rsidP="00B601A8">
            <w:pPr>
              <w:keepNext/>
              <w:jc w:val="center"/>
              <w:rPr>
                <w:szCs w:val="22"/>
              </w:rPr>
            </w:pPr>
          </w:p>
        </w:tc>
        <w:tc>
          <w:tcPr>
            <w:tcW w:w="835" w:type="pct"/>
            <w:tcBorders>
              <w:top w:val="nil"/>
              <w:left w:val="nil"/>
              <w:bottom w:val="nil"/>
              <w:right w:val="nil"/>
            </w:tcBorders>
            <w:shd w:val="clear" w:color="auto" w:fill="auto"/>
            <w:vAlign w:val="center"/>
          </w:tcPr>
          <w:p w:rsidR="00BC74AA" w:rsidRDefault="00BC74AA" w:rsidP="00B601A8">
            <w:pPr>
              <w:keepNext/>
              <w:jc w:val="center"/>
              <w:rPr>
                <w:szCs w:val="22"/>
              </w:rPr>
            </w:pPr>
          </w:p>
        </w:tc>
        <w:tc>
          <w:tcPr>
            <w:tcW w:w="605" w:type="pct"/>
            <w:tcBorders>
              <w:top w:val="nil"/>
              <w:left w:val="nil"/>
              <w:bottom w:val="nil"/>
              <w:right w:val="nil"/>
            </w:tcBorders>
            <w:vAlign w:val="center"/>
          </w:tcPr>
          <w:p w:rsidR="00BC74AA" w:rsidRPr="001B3A3A" w:rsidRDefault="00067343" w:rsidP="0020624C">
            <w:pPr>
              <w:keepNext/>
              <w:jc w:val="center"/>
              <w:rPr>
                <w:szCs w:val="22"/>
              </w:rPr>
            </w:pPr>
            <w:r>
              <w:rPr>
                <w:szCs w:val="22"/>
              </w:rPr>
              <w:t>91</w:t>
            </w:r>
            <w:r w:rsidR="00BC74AA" w:rsidRPr="001B3A3A">
              <w:rPr>
                <w:szCs w:val="22"/>
              </w:rPr>
              <w:t xml:space="preserve"> T</w:t>
            </w:r>
          </w:p>
        </w:tc>
        <w:tc>
          <w:tcPr>
            <w:tcW w:w="604" w:type="pct"/>
            <w:tcBorders>
              <w:top w:val="nil"/>
              <w:left w:val="nil"/>
              <w:bottom w:val="nil"/>
              <w:right w:val="nil"/>
            </w:tcBorders>
          </w:tcPr>
          <w:p w:rsidR="00BC74AA" w:rsidRPr="001B3A3A" w:rsidRDefault="00067343" w:rsidP="0020624C">
            <w:pPr>
              <w:keepNext/>
              <w:jc w:val="center"/>
              <w:rPr>
                <w:szCs w:val="22"/>
              </w:rPr>
            </w:pPr>
            <w:r>
              <w:rPr>
                <w:szCs w:val="22"/>
              </w:rPr>
              <w:t>82</w:t>
            </w:r>
            <w:r w:rsidR="00BC74AA" w:rsidRPr="001B3A3A">
              <w:rPr>
                <w:szCs w:val="22"/>
              </w:rPr>
              <w:t xml:space="preserve"> T</w:t>
            </w:r>
          </w:p>
        </w:tc>
      </w:tr>
      <w:tr w:rsidR="00B62FB3" w:rsidRPr="00C8044B" w:rsidTr="00B62FB3">
        <w:trPr>
          <w:trHeight w:val="291"/>
        </w:trPr>
        <w:tc>
          <w:tcPr>
            <w:tcW w:w="474" w:type="pct"/>
            <w:tcBorders>
              <w:top w:val="nil"/>
              <w:left w:val="nil"/>
              <w:bottom w:val="single" w:sz="12" w:space="0" w:color="auto"/>
              <w:right w:val="nil"/>
            </w:tcBorders>
            <w:shd w:val="clear" w:color="auto" w:fill="auto"/>
            <w:vAlign w:val="center"/>
          </w:tcPr>
          <w:p w:rsidR="00B62FB3" w:rsidRDefault="0020624C" w:rsidP="00B601A8">
            <w:pPr>
              <w:keepNext/>
              <w:jc w:val="center"/>
              <w:rPr>
                <w:szCs w:val="22"/>
              </w:rPr>
            </w:pPr>
            <w:r>
              <w:rPr>
                <w:szCs w:val="22"/>
              </w:rPr>
              <w:t>2014</w:t>
            </w:r>
          </w:p>
        </w:tc>
        <w:tc>
          <w:tcPr>
            <w:tcW w:w="514" w:type="pct"/>
            <w:tcBorders>
              <w:top w:val="nil"/>
              <w:left w:val="nil"/>
              <w:bottom w:val="single" w:sz="12" w:space="0" w:color="auto"/>
              <w:right w:val="nil"/>
            </w:tcBorders>
          </w:tcPr>
          <w:p w:rsidR="00B62FB3" w:rsidRDefault="0020624C" w:rsidP="00B601A8">
            <w:pPr>
              <w:keepNext/>
              <w:jc w:val="center"/>
              <w:rPr>
                <w:szCs w:val="22"/>
              </w:rPr>
            </w:pPr>
            <w:r>
              <w:rPr>
                <w:szCs w:val="22"/>
              </w:rPr>
              <w:t>N/A</w:t>
            </w:r>
          </w:p>
        </w:tc>
        <w:tc>
          <w:tcPr>
            <w:tcW w:w="638" w:type="pct"/>
            <w:tcBorders>
              <w:top w:val="nil"/>
              <w:left w:val="nil"/>
              <w:bottom w:val="single" w:sz="12" w:space="0" w:color="auto"/>
              <w:right w:val="nil"/>
            </w:tcBorders>
          </w:tcPr>
          <w:p w:rsidR="00B62FB3" w:rsidRDefault="0020624C" w:rsidP="00B601A8">
            <w:pPr>
              <w:jc w:val="center"/>
              <w:rPr>
                <w:szCs w:val="22"/>
              </w:rPr>
            </w:pPr>
            <w:r>
              <w:rPr>
                <w:szCs w:val="22"/>
              </w:rPr>
              <w:t>N/A</w:t>
            </w:r>
          </w:p>
        </w:tc>
        <w:tc>
          <w:tcPr>
            <w:tcW w:w="495" w:type="pct"/>
            <w:tcBorders>
              <w:top w:val="nil"/>
              <w:left w:val="nil"/>
              <w:bottom w:val="single" w:sz="12" w:space="0" w:color="auto"/>
              <w:right w:val="nil"/>
            </w:tcBorders>
            <w:shd w:val="clear" w:color="auto" w:fill="auto"/>
            <w:vAlign w:val="center"/>
          </w:tcPr>
          <w:p w:rsidR="00B62FB3" w:rsidRDefault="00B62FB3" w:rsidP="00986893">
            <w:pPr>
              <w:keepNext/>
              <w:jc w:val="center"/>
              <w:rPr>
                <w:szCs w:val="22"/>
              </w:rPr>
            </w:pPr>
          </w:p>
        </w:tc>
        <w:tc>
          <w:tcPr>
            <w:tcW w:w="835" w:type="pct"/>
            <w:tcBorders>
              <w:top w:val="nil"/>
              <w:left w:val="nil"/>
              <w:bottom w:val="single" w:sz="12" w:space="0" w:color="auto"/>
              <w:right w:val="nil"/>
            </w:tcBorders>
            <w:vAlign w:val="center"/>
          </w:tcPr>
          <w:p w:rsidR="00B62FB3" w:rsidRDefault="00B62FB3" w:rsidP="00B601A8">
            <w:pPr>
              <w:keepNext/>
              <w:jc w:val="center"/>
              <w:rPr>
                <w:szCs w:val="22"/>
              </w:rPr>
            </w:pPr>
          </w:p>
        </w:tc>
        <w:tc>
          <w:tcPr>
            <w:tcW w:w="835" w:type="pct"/>
            <w:tcBorders>
              <w:top w:val="nil"/>
              <w:left w:val="nil"/>
              <w:bottom w:val="single" w:sz="12" w:space="0" w:color="auto"/>
              <w:right w:val="nil"/>
            </w:tcBorders>
            <w:shd w:val="clear" w:color="auto" w:fill="auto"/>
            <w:vAlign w:val="center"/>
          </w:tcPr>
          <w:p w:rsidR="00B62FB3" w:rsidRDefault="00B62FB3" w:rsidP="00B601A8">
            <w:pPr>
              <w:keepNext/>
              <w:jc w:val="center"/>
              <w:rPr>
                <w:szCs w:val="22"/>
              </w:rPr>
            </w:pPr>
          </w:p>
        </w:tc>
        <w:tc>
          <w:tcPr>
            <w:tcW w:w="605" w:type="pct"/>
            <w:tcBorders>
              <w:top w:val="nil"/>
              <w:left w:val="nil"/>
              <w:bottom w:val="single" w:sz="12" w:space="0" w:color="auto"/>
              <w:right w:val="nil"/>
            </w:tcBorders>
            <w:vAlign w:val="center"/>
          </w:tcPr>
          <w:p w:rsidR="00B62FB3" w:rsidRDefault="00C91A97" w:rsidP="006B47D4">
            <w:pPr>
              <w:keepNext/>
              <w:jc w:val="center"/>
              <w:rPr>
                <w:szCs w:val="22"/>
              </w:rPr>
            </w:pPr>
            <w:r>
              <w:rPr>
                <w:szCs w:val="22"/>
              </w:rPr>
              <w:t>91</w:t>
            </w:r>
            <w:r w:rsidRPr="001B3A3A">
              <w:rPr>
                <w:szCs w:val="22"/>
              </w:rPr>
              <w:t xml:space="preserve"> T</w:t>
            </w:r>
          </w:p>
        </w:tc>
        <w:tc>
          <w:tcPr>
            <w:tcW w:w="604" w:type="pct"/>
            <w:tcBorders>
              <w:top w:val="nil"/>
              <w:left w:val="nil"/>
              <w:bottom w:val="single" w:sz="12" w:space="0" w:color="auto"/>
              <w:right w:val="nil"/>
            </w:tcBorders>
          </w:tcPr>
          <w:p w:rsidR="00B62FB3" w:rsidRDefault="00C91A97" w:rsidP="006B47D4">
            <w:pPr>
              <w:keepNext/>
              <w:jc w:val="center"/>
              <w:rPr>
                <w:szCs w:val="22"/>
              </w:rPr>
            </w:pPr>
            <w:r>
              <w:rPr>
                <w:szCs w:val="22"/>
              </w:rPr>
              <w:t>82</w:t>
            </w:r>
            <w:r w:rsidRPr="001B3A3A">
              <w:rPr>
                <w:szCs w:val="22"/>
              </w:rPr>
              <w:t xml:space="preserve"> T</w:t>
            </w:r>
          </w:p>
        </w:tc>
      </w:tr>
    </w:tbl>
    <w:p w:rsidR="00A36539" w:rsidRPr="00644C32" w:rsidRDefault="00531B37" w:rsidP="002F1A19">
      <w:pPr>
        <w:numPr>
          <w:ilvl w:val="0"/>
          <w:numId w:val="11"/>
        </w:numPr>
        <w:rPr>
          <w:sz w:val="16"/>
          <w:szCs w:val="20"/>
        </w:rPr>
      </w:pPr>
      <w:r w:rsidRPr="00644C32">
        <w:rPr>
          <w:sz w:val="16"/>
          <w:szCs w:val="20"/>
        </w:rPr>
        <w:t>S</w:t>
      </w:r>
      <w:r w:rsidR="00A36539" w:rsidRPr="00644C32">
        <w:rPr>
          <w:sz w:val="16"/>
          <w:szCs w:val="20"/>
        </w:rPr>
        <w:t>eason is based on a calendar year.</w:t>
      </w:r>
    </w:p>
    <w:p w:rsidR="003B54BA" w:rsidRPr="00644C32" w:rsidRDefault="00415592" w:rsidP="002F1A19">
      <w:pPr>
        <w:numPr>
          <w:ilvl w:val="0"/>
          <w:numId w:val="11"/>
        </w:numPr>
        <w:rPr>
          <w:sz w:val="16"/>
          <w:szCs w:val="20"/>
        </w:rPr>
      </w:pPr>
      <w:r w:rsidRPr="00644C32">
        <w:rPr>
          <w:sz w:val="16"/>
          <w:szCs w:val="20"/>
        </w:rPr>
        <w:t>Guideline harvest level</w:t>
      </w:r>
      <w:r w:rsidR="00810572" w:rsidRPr="00644C32">
        <w:rPr>
          <w:sz w:val="16"/>
          <w:szCs w:val="20"/>
        </w:rPr>
        <w:t xml:space="preserve"> expressed in t</w:t>
      </w:r>
      <w:r w:rsidRPr="00644C32">
        <w:rPr>
          <w:sz w:val="16"/>
          <w:szCs w:val="20"/>
        </w:rPr>
        <w:t xml:space="preserve">. </w:t>
      </w:r>
    </w:p>
    <w:p w:rsidR="0060415F" w:rsidRPr="00644C32" w:rsidRDefault="00110EE6" w:rsidP="002F1A19">
      <w:pPr>
        <w:numPr>
          <w:ilvl w:val="0"/>
          <w:numId w:val="11"/>
        </w:numPr>
        <w:rPr>
          <w:sz w:val="16"/>
          <w:szCs w:val="20"/>
        </w:rPr>
      </w:pPr>
      <w:r w:rsidRPr="00644C32">
        <w:rPr>
          <w:sz w:val="16"/>
          <w:szCs w:val="20"/>
        </w:rPr>
        <w:t>Metric tons</w:t>
      </w:r>
      <w:r w:rsidR="00FF1080" w:rsidRPr="00644C32">
        <w:rPr>
          <w:sz w:val="16"/>
          <w:szCs w:val="20"/>
        </w:rPr>
        <w:t>.</w:t>
      </w:r>
    </w:p>
    <w:p w:rsidR="00D400D2" w:rsidRPr="00644C32" w:rsidRDefault="00E509C9" w:rsidP="002F1A19">
      <w:pPr>
        <w:numPr>
          <w:ilvl w:val="0"/>
          <w:numId w:val="11"/>
        </w:numPr>
        <w:rPr>
          <w:sz w:val="16"/>
          <w:szCs w:val="20"/>
        </w:rPr>
      </w:pPr>
      <w:r w:rsidRPr="00644C32">
        <w:rPr>
          <w:sz w:val="16"/>
          <w:szCs w:val="20"/>
        </w:rPr>
        <w:t>Total retained catch</w:t>
      </w:r>
      <w:r w:rsidR="00C77C51" w:rsidRPr="00644C32">
        <w:rPr>
          <w:sz w:val="16"/>
          <w:szCs w:val="20"/>
        </w:rPr>
        <w:t xml:space="preserve"> </w:t>
      </w:r>
      <w:r w:rsidRPr="00644C32">
        <w:rPr>
          <w:sz w:val="16"/>
          <w:szCs w:val="20"/>
        </w:rPr>
        <w:t xml:space="preserve">plus </w:t>
      </w:r>
      <w:r w:rsidR="009C1F48" w:rsidRPr="00644C32">
        <w:rPr>
          <w:sz w:val="16"/>
          <w:szCs w:val="20"/>
        </w:rPr>
        <w:t xml:space="preserve">estimated </w:t>
      </w:r>
      <w:r w:rsidRPr="00644C32">
        <w:rPr>
          <w:sz w:val="16"/>
          <w:szCs w:val="20"/>
        </w:rPr>
        <w:t xml:space="preserve">bycatch </w:t>
      </w:r>
      <w:r w:rsidR="00BE2FAC" w:rsidRPr="00644C32">
        <w:rPr>
          <w:sz w:val="16"/>
          <w:szCs w:val="20"/>
        </w:rPr>
        <w:t>mortality of d</w:t>
      </w:r>
      <w:r w:rsidR="00D400D2" w:rsidRPr="00644C32">
        <w:rPr>
          <w:sz w:val="16"/>
          <w:szCs w:val="20"/>
        </w:rPr>
        <w:t xml:space="preserve">iscarded </w:t>
      </w:r>
      <w:r w:rsidR="00BE2FAC" w:rsidRPr="00644C32">
        <w:rPr>
          <w:sz w:val="16"/>
          <w:szCs w:val="20"/>
        </w:rPr>
        <w:t>by</w:t>
      </w:r>
      <w:r w:rsidR="00D400D2" w:rsidRPr="00644C32">
        <w:rPr>
          <w:sz w:val="16"/>
          <w:szCs w:val="20"/>
        </w:rPr>
        <w:t>catch</w:t>
      </w:r>
      <w:r w:rsidRPr="00644C32">
        <w:rPr>
          <w:sz w:val="16"/>
          <w:szCs w:val="20"/>
        </w:rPr>
        <w:t xml:space="preserve"> during crab fisheries only. Bycatch mortality due to groundfish fisheries is not included here because available data is summarized by “crab fishery year” rather than calendar year; estimates of </w:t>
      </w:r>
      <w:r w:rsidR="00057073" w:rsidRPr="00644C32">
        <w:rPr>
          <w:sz w:val="16"/>
          <w:szCs w:val="20"/>
        </w:rPr>
        <w:t xml:space="preserve">annual </w:t>
      </w:r>
      <w:r w:rsidRPr="00644C32">
        <w:rPr>
          <w:sz w:val="16"/>
          <w:szCs w:val="20"/>
        </w:rPr>
        <w:t xml:space="preserve">bycatch mortality during </w:t>
      </w:r>
      <w:r w:rsidR="00057073" w:rsidRPr="00644C32">
        <w:rPr>
          <w:sz w:val="16"/>
          <w:szCs w:val="20"/>
        </w:rPr>
        <w:t>1991/92</w:t>
      </w:r>
      <w:r w:rsidRPr="00644C32">
        <w:rPr>
          <w:sz w:val="16"/>
          <w:szCs w:val="20"/>
        </w:rPr>
        <w:t>–20</w:t>
      </w:r>
      <w:r w:rsidR="00C14F67" w:rsidRPr="00644C32">
        <w:rPr>
          <w:sz w:val="16"/>
          <w:szCs w:val="20"/>
        </w:rPr>
        <w:t>10</w:t>
      </w:r>
      <w:r w:rsidRPr="00644C32">
        <w:rPr>
          <w:sz w:val="16"/>
          <w:szCs w:val="20"/>
        </w:rPr>
        <w:t>/</w:t>
      </w:r>
      <w:r w:rsidR="006F1B05" w:rsidRPr="00644C32">
        <w:rPr>
          <w:sz w:val="16"/>
          <w:szCs w:val="20"/>
        </w:rPr>
        <w:t>1</w:t>
      </w:r>
      <w:r w:rsidR="00C14F67" w:rsidRPr="00644C32">
        <w:rPr>
          <w:sz w:val="16"/>
          <w:szCs w:val="20"/>
        </w:rPr>
        <w:t>1</w:t>
      </w:r>
      <w:r w:rsidRPr="00644C32">
        <w:rPr>
          <w:sz w:val="16"/>
          <w:szCs w:val="20"/>
        </w:rPr>
        <w:t xml:space="preserve"> groundfish fisheries </w:t>
      </w:r>
      <w:r w:rsidR="003A5638" w:rsidRPr="00644C32">
        <w:rPr>
          <w:sz w:val="16"/>
          <w:szCs w:val="20"/>
        </w:rPr>
        <w:t>are ≤</w:t>
      </w:r>
      <w:r w:rsidR="00335FB0" w:rsidRPr="00644C32">
        <w:rPr>
          <w:sz w:val="16"/>
          <w:szCs w:val="20"/>
        </w:rPr>
        <w:t>9</w:t>
      </w:r>
      <w:r w:rsidR="00110EE6" w:rsidRPr="00644C32">
        <w:rPr>
          <w:sz w:val="16"/>
          <w:szCs w:val="20"/>
        </w:rPr>
        <w:t xml:space="preserve"> t</w:t>
      </w:r>
      <w:r w:rsidR="00335FB0" w:rsidRPr="00644C32">
        <w:rPr>
          <w:sz w:val="16"/>
          <w:szCs w:val="20"/>
        </w:rPr>
        <w:t>, with an average of 3</w:t>
      </w:r>
      <w:r w:rsidR="00057073" w:rsidRPr="00644C32">
        <w:rPr>
          <w:sz w:val="16"/>
          <w:szCs w:val="20"/>
        </w:rPr>
        <w:t xml:space="preserve"> t</w:t>
      </w:r>
      <w:r w:rsidRPr="00644C32">
        <w:rPr>
          <w:sz w:val="16"/>
          <w:szCs w:val="20"/>
        </w:rPr>
        <w:t>.</w:t>
      </w:r>
    </w:p>
    <w:p w:rsidR="0081405F" w:rsidRPr="00644C32" w:rsidRDefault="002A2C2E" w:rsidP="002F1A19">
      <w:pPr>
        <w:numPr>
          <w:ilvl w:val="0"/>
          <w:numId w:val="11"/>
        </w:numPr>
        <w:jc w:val="both"/>
        <w:rPr>
          <w:sz w:val="20"/>
        </w:rPr>
      </w:pPr>
      <w:r w:rsidRPr="00644C32">
        <w:rPr>
          <w:sz w:val="16"/>
          <w:szCs w:val="20"/>
        </w:rPr>
        <w:t>Noted as “</w:t>
      </w:r>
      <w:r w:rsidR="007A649D" w:rsidRPr="00644C32">
        <w:rPr>
          <w:sz w:val="16"/>
          <w:szCs w:val="20"/>
        </w:rPr>
        <w:t>R” for retained-catch-</w:t>
      </w:r>
      <w:r w:rsidRPr="00644C32">
        <w:rPr>
          <w:sz w:val="16"/>
          <w:szCs w:val="20"/>
        </w:rPr>
        <w:t xml:space="preserve">only </w:t>
      </w:r>
      <w:r w:rsidR="007A649D" w:rsidRPr="00644C32">
        <w:rPr>
          <w:sz w:val="16"/>
          <w:szCs w:val="20"/>
        </w:rPr>
        <w:t xml:space="preserve">OFL </w:t>
      </w:r>
      <w:r w:rsidRPr="00644C32">
        <w:rPr>
          <w:sz w:val="16"/>
          <w:szCs w:val="20"/>
        </w:rPr>
        <w:t>and “</w:t>
      </w:r>
      <w:r w:rsidR="007A649D" w:rsidRPr="00644C32">
        <w:rPr>
          <w:sz w:val="16"/>
          <w:szCs w:val="20"/>
        </w:rPr>
        <w:t>T” for total-</w:t>
      </w:r>
      <w:r w:rsidRPr="00644C32">
        <w:rPr>
          <w:sz w:val="16"/>
          <w:szCs w:val="20"/>
        </w:rPr>
        <w:t>catch</w:t>
      </w:r>
      <w:r w:rsidR="007A649D" w:rsidRPr="00644C32">
        <w:rPr>
          <w:sz w:val="16"/>
          <w:szCs w:val="20"/>
        </w:rPr>
        <w:t xml:space="preserve"> OFL</w:t>
      </w:r>
      <w:r w:rsidR="00C14F67" w:rsidRPr="00644C32">
        <w:rPr>
          <w:sz w:val="16"/>
          <w:szCs w:val="20"/>
        </w:rPr>
        <w:t xml:space="preserve"> and ABC</w:t>
      </w:r>
      <w:r w:rsidRPr="00644C32">
        <w:rPr>
          <w:sz w:val="16"/>
          <w:szCs w:val="20"/>
        </w:rPr>
        <w:t>.</w:t>
      </w:r>
    </w:p>
    <w:p w:rsidR="00036AA1" w:rsidRPr="00644C32" w:rsidRDefault="00C77C51" w:rsidP="00930645">
      <w:pPr>
        <w:numPr>
          <w:ilvl w:val="0"/>
          <w:numId w:val="11"/>
        </w:numPr>
        <w:jc w:val="both"/>
        <w:rPr>
          <w:sz w:val="16"/>
          <w:szCs w:val="20"/>
        </w:rPr>
      </w:pPr>
      <w:r w:rsidRPr="00644C32">
        <w:rPr>
          <w:sz w:val="16"/>
          <w:szCs w:val="20"/>
        </w:rPr>
        <w:t xml:space="preserve">Catch statistics are confidential under Sec. 16.05.815 (SOA statute): </w:t>
      </w:r>
      <w:r w:rsidR="0020624C" w:rsidRPr="00644C32">
        <w:rPr>
          <w:sz w:val="16"/>
          <w:szCs w:val="20"/>
        </w:rPr>
        <w:t>≤2 vessels participated in each season</w:t>
      </w:r>
      <w:r w:rsidRPr="00644C32">
        <w:rPr>
          <w:sz w:val="16"/>
          <w:szCs w:val="20"/>
        </w:rPr>
        <w:t>.</w:t>
      </w:r>
    </w:p>
    <w:p w:rsidR="000314A8" w:rsidRPr="00F02729" w:rsidRDefault="00F46583" w:rsidP="007B5B81">
      <w:pPr>
        <w:numPr>
          <w:ilvl w:val="0"/>
          <w:numId w:val="4"/>
        </w:numPr>
        <w:jc w:val="both"/>
        <w:rPr>
          <w:b/>
        </w:rPr>
      </w:pPr>
      <w:r>
        <w:rPr>
          <w:b/>
          <w:u w:val="single"/>
        </w:rPr>
        <w:br w:type="page"/>
      </w:r>
      <w:r w:rsidR="007B5B81" w:rsidRPr="00F02729">
        <w:rPr>
          <w:b/>
          <w:u w:val="single"/>
        </w:rPr>
        <w:lastRenderedPageBreak/>
        <w:t>Basis for the OFL</w:t>
      </w:r>
      <w:r w:rsidR="00E702E6">
        <w:rPr>
          <w:b/>
          <w:u w:val="single"/>
        </w:rPr>
        <w:t xml:space="preserve"> and ABC</w:t>
      </w:r>
      <w:r w:rsidR="007B5B81" w:rsidRPr="00F02729">
        <w:rPr>
          <w:b/>
        </w:rPr>
        <w:t>:</w:t>
      </w:r>
      <w:r w:rsidR="00BD5968">
        <w:t xml:space="preserve">  T</w:t>
      </w:r>
      <w:r w:rsidR="00E04DB4">
        <w:t xml:space="preserve">he </w:t>
      </w:r>
      <w:r w:rsidR="00AB4C8E">
        <w:t>values for 201</w:t>
      </w:r>
      <w:r w:rsidR="00A200D2">
        <w:t>4</w:t>
      </w:r>
      <w:r w:rsidR="00AB4C8E">
        <w:t xml:space="preserve"> are the author’s recommendation</w:t>
      </w:r>
      <w:r w:rsidR="00CD2C00">
        <w:t>.</w:t>
      </w:r>
    </w:p>
    <w:p w:rsidR="007B5B81" w:rsidRDefault="007B5B81" w:rsidP="000314A8">
      <w:pPr>
        <w:jc w:val="both"/>
      </w:pPr>
      <w:r w:rsidRPr="00AB12B9">
        <w:t xml:space="preserve"> </w:t>
      </w:r>
    </w:p>
    <w:tbl>
      <w:tblPr>
        <w:tblW w:w="0" w:type="auto"/>
        <w:tblInd w:w="720" w:type="dxa"/>
        <w:tblLayout w:type="fixed"/>
        <w:tblLook w:val="0000"/>
      </w:tblPr>
      <w:tblGrid>
        <w:gridCol w:w="1013"/>
        <w:gridCol w:w="1016"/>
        <w:gridCol w:w="2880"/>
        <w:gridCol w:w="1460"/>
        <w:gridCol w:w="1460"/>
      </w:tblGrid>
      <w:tr w:rsidR="00EF0B0C" w:rsidRPr="00C8044B" w:rsidTr="0014487B">
        <w:trPr>
          <w:trHeight w:val="437"/>
        </w:trPr>
        <w:tc>
          <w:tcPr>
            <w:tcW w:w="1013" w:type="dxa"/>
            <w:tcBorders>
              <w:top w:val="single" w:sz="12" w:space="0" w:color="auto"/>
              <w:left w:val="nil"/>
              <w:bottom w:val="single" w:sz="12" w:space="0" w:color="auto"/>
              <w:right w:val="nil"/>
            </w:tcBorders>
            <w:shd w:val="clear" w:color="auto" w:fill="auto"/>
            <w:vAlign w:val="center"/>
          </w:tcPr>
          <w:p w:rsidR="00EF0B0C" w:rsidRPr="00A36539" w:rsidRDefault="00EF0B0C" w:rsidP="00B601A8">
            <w:pPr>
              <w:keepNext/>
              <w:jc w:val="center"/>
              <w:rPr>
                <w:b/>
                <w:bCs/>
                <w:szCs w:val="22"/>
              </w:rPr>
            </w:pPr>
            <w:proofErr w:type="spellStart"/>
            <w:r w:rsidRPr="00A36539">
              <w:rPr>
                <w:b/>
                <w:bCs/>
                <w:szCs w:val="22"/>
              </w:rPr>
              <w:t>Year</w:t>
            </w:r>
            <w:r w:rsidRPr="00A36539">
              <w:rPr>
                <w:rFonts w:ascii="Times New Roman Bold" w:hAnsi="Times New Roman Bold"/>
                <w:b/>
                <w:bCs/>
                <w:vertAlign w:val="superscript"/>
              </w:rPr>
              <w:t>a</w:t>
            </w:r>
            <w:proofErr w:type="spellEnd"/>
          </w:p>
        </w:tc>
        <w:tc>
          <w:tcPr>
            <w:tcW w:w="1016" w:type="dxa"/>
            <w:tcBorders>
              <w:top w:val="single" w:sz="12" w:space="0" w:color="auto"/>
              <w:left w:val="nil"/>
              <w:bottom w:val="single" w:sz="12" w:space="0" w:color="auto"/>
              <w:right w:val="nil"/>
            </w:tcBorders>
            <w:shd w:val="clear" w:color="auto" w:fill="auto"/>
            <w:vAlign w:val="center"/>
          </w:tcPr>
          <w:p w:rsidR="00EF0B0C" w:rsidRPr="00A36539" w:rsidRDefault="00EF0B0C" w:rsidP="00B601A8">
            <w:pPr>
              <w:keepNext/>
              <w:jc w:val="center"/>
              <w:rPr>
                <w:b/>
                <w:bCs/>
                <w:szCs w:val="22"/>
              </w:rPr>
            </w:pPr>
            <w:r w:rsidRPr="00A36539">
              <w:rPr>
                <w:b/>
                <w:bCs/>
                <w:szCs w:val="22"/>
              </w:rPr>
              <w:t>Tier</w:t>
            </w:r>
          </w:p>
        </w:tc>
        <w:tc>
          <w:tcPr>
            <w:tcW w:w="2880" w:type="dxa"/>
            <w:tcBorders>
              <w:top w:val="single" w:sz="12" w:space="0" w:color="auto"/>
              <w:left w:val="nil"/>
              <w:bottom w:val="single" w:sz="12" w:space="0" w:color="auto"/>
              <w:right w:val="nil"/>
            </w:tcBorders>
            <w:shd w:val="clear" w:color="auto" w:fill="auto"/>
            <w:vAlign w:val="center"/>
          </w:tcPr>
          <w:p w:rsidR="00EF0B0C" w:rsidRPr="00A36539" w:rsidRDefault="00EF0B0C" w:rsidP="00B601A8">
            <w:pPr>
              <w:keepNext/>
              <w:jc w:val="center"/>
              <w:rPr>
                <w:b/>
                <w:bCs/>
                <w:szCs w:val="22"/>
              </w:rPr>
            </w:pPr>
            <w:r w:rsidRPr="00A36539">
              <w:rPr>
                <w:b/>
                <w:bCs/>
                <w:szCs w:val="22"/>
              </w:rPr>
              <w:t xml:space="preserve">Years to define </w:t>
            </w:r>
          </w:p>
          <w:p w:rsidR="00EF0B0C" w:rsidRPr="00C8044B" w:rsidRDefault="00EF0B0C" w:rsidP="00B601A8">
            <w:pPr>
              <w:keepNext/>
              <w:jc w:val="center"/>
              <w:rPr>
                <w:b/>
                <w:bCs/>
                <w:szCs w:val="22"/>
                <w:highlight w:val="yellow"/>
              </w:rPr>
            </w:pPr>
            <w:r w:rsidRPr="00A36539">
              <w:rPr>
                <w:b/>
                <w:bCs/>
                <w:szCs w:val="22"/>
              </w:rPr>
              <w:t>Average catch (OFL)</w:t>
            </w:r>
          </w:p>
        </w:tc>
        <w:tc>
          <w:tcPr>
            <w:tcW w:w="1460" w:type="dxa"/>
            <w:tcBorders>
              <w:top w:val="single" w:sz="12" w:space="0" w:color="auto"/>
              <w:left w:val="nil"/>
              <w:bottom w:val="single" w:sz="12" w:space="0" w:color="auto"/>
              <w:right w:val="nil"/>
            </w:tcBorders>
          </w:tcPr>
          <w:p w:rsidR="00EF0B0C" w:rsidRPr="00A36539" w:rsidRDefault="00EF0B0C" w:rsidP="00B601A8">
            <w:pPr>
              <w:keepNext/>
              <w:jc w:val="center"/>
              <w:rPr>
                <w:b/>
                <w:bCs/>
                <w:szCs w:val="22"/>
              </w:rPr>
            </w:pPr>
            <w:r w:rsidRPr="00A36539">
              <w:rPr>
                <w:b/>
                <w:bCs/>
                <w:szCs w:val="22"/>
              </w:rPr>
              <w:t>Natural</w:t>
            </w:r>
          </w:p>
          <w:p w:rsidR="00EF0B0C" w:rsidRPr="00A36539" w:rsidRDefault="00EF0B0C" w:rsidP="00B601A8">
            <w:pPr>
              <w:keepNext/>
              <w:jc w:val="center"/>
              <w:rPr>
                <w:b/>
                <w:bCs/>
                <w:szCs w:val="22"/>
              </w:rPr>
            </w:pPr>
            <w:proofErr w:type="spellStart"/>
            <w:r w:rsidRPr="00A36539">
              <w:rPr>
                <w:b/>
                <w:bCs/>
                <w:szCs w:val="22"/>
              </w:rPr>
              <w:t>Mortality</w:t>
            </w:r>
            <w:r w:rsidR="00F91DB3" w:rsidRPr="00F91DB3">
              <w:rPr>
                <w:b/>
                <w:bCs/>
                <w:szCs w:val="22"/>
                <w:vertAlign w:val="superscript"/>
              </w:rPr>
              <w:t>e</w:t>
            </w:r>
            <w:proofErr w:type="spellEnd"/>
          </w:p>
        </w:tc>
        <w:tc>
          <w:tcPr>
            <w:tcW w:w="1460" w:type="dxa"/>
            <w:tcBorders>
              <w:top w:val="single" w:sz="12" w:space="0" w:color="auto"/>
              <w:left w:val="nil"/>
              <w:bottom w:val="single" w:sz="12" w:space="0" w:color="auto"/>
              <w:right w:val="nil"/>
            </w:tcBorders>
          </w:tcPr>
          <w:p w:rsidR="00EF0B0C" w:rsidRPr="00A36539" w:rsidRDefault="00EF0B0C" w:rsidP="00EF0B0C">
            <w:pPr>
              <w:keepNext/>
              <w:spacing w:before="120"/>
              <w:jc w:val="center"/>
              <w:rPr>
                <w:b/>
                <w:bCs/>
                <w:szCs w:val="22"/>
              </w:rPr>
            </w:pPr>
            <w:r>
              <w:rPr>
                <w:b/>
                <w:bCs/>
                <w:szCs w:val="22"/>
              </w:rPr>
              <w:t>Buffer</w:t>
            </w:r>
          </w:p>
        </w:tc>
      </w:tr>
      <w:tr w:rsidR="00EF0B0C" w:rsidRPr="000A0DCA" w:rsidTr="0014487B">
        <w:trPr>
          <w:trHeight w:val="291"/>
        </w:trPr>
        <w:tc>
          <w:tcPr>
            <w:tcW w:w="1013" w:type="dxa"/>
            <w:tcBorders>
              <w:top w:val="nil"/>
              <w:left w:val="nil"/>
              <w:bottom w:val="nil"/>
              <w:right w:val="nil"/>
            </w:tcBorders>
            <w:shd w:val="clear" w:color="auto" w:fill="auto"/>
            <w:vAlign w:val="center"/>
          </w:tcPr>
          <w:p w:rsidR="00EF0B0C" w:rsidRPr="00A36539" w:rsidRDefault="00EF0B0C" w:rsidP="00B16749">
            <w:pPr>
              <w:keepNext/>
              <w:jc w:val="center"/>
              <w:rPr>
                <w:szCs w:val="22"/>
              </w:rPr>
            </w:pPr>
            <w:r w:rsidRPr="00A36539">
              <w:rPr>
                <w:szCs w:val="22"/>
              </w:rPr>
              <w:t>20</w:t>
            </w:r>
            <w:r>
              <w:rPr>
                <w:szCs w:val="22"/>
              </w:rPr>
              <w:t>10</w:t>
            </w:r>
          </w:p>
        </w:tc>
        <w:tc>
          <w:tcPr>
            <w:tcW w:w="1016" w:type="dxa"/>
            <w:tcBorders>
              <w:top w:val="nil"/>
              <w:left w:val="nil"/>
              <w:bottom w:val="nil"/>
              <w:right w:val="nil"/>
            </w:tcBorders>
            <w:shd w:val="clear" w:color="auto" w:fill="auto"/>
            <w:vAlign w:val="center"/>
          </w:tcPr>
          <w:p w:rsidR="00EF0B0C" w:rsidRPr="00A36539" w:rsidRDefault="00EF0B0C" w:rsidP="00B653D2">
            <w:pPr>
              <w:keepNext/>
              <w:jc w:val="center"/>
              <w:rPr>
                <w:szCs w:val="22"/>
              </w:rPr>
            </w:pPr>
            <w:r w:rsidRPr="00A36539">
              <w:rPr>
                <w:szCs w:val="22"/>
              </w:rPr>
              <w:t>5</w:t>
            </w:r>
          </w:p>
        </w:tc>
        <w:tc>
          <w:tcPr>
            <w:tcW w:w="2880" w:type="dxa"/>
            <w:tcBorders>
              <w:top w:val="nil"/>
              <w:left w:val="nil"/>
              <w:bottom w:val="nil"/>
              <w:right w:val="nil"/>
            </w:tcBorders>
            <w:vAlign w:val="center"/>
          </w:tcPr>
          <w:p w:rsidR="00EF0B0C" w:rsidRPr="00C8044B" w:rsidRDefault="00EF0B0C" w:rsidP="00F72A47">
            <w:pPr>
              <w:keepNext/>
              <w:jc w:val="center"/>
              <w:rPr>
                <w:szCs w:val="22"/>
                <w:highlight w:val="yellow"/>
              </w:rPr>
            </w:pPr>
            <w:r w:rsidRPr="00A36539">
              <w:rPr>
                <w:szCs w:val="22"/>
              </w:rPr>
              <w:t>1993–199</w:t>
            </w:r>
            <w:r>
              <w:rPr>
                <w:szCs w:val="22"/>
              </w:rPr>
              <w:t>8</w:t>
            </w:r>
            <w:r w:rsidRPr="00A36539">
              <w:rPr>
                <w:szCs w:val="22"/>
                <w:vertAlign w:val="superscript"/>
              </w:rPr>
              <w:t>b</w:t>
            </w:r>
          </w:p>
        </w:tc>
        <w:tc>
          <w:tcPr>
            <w:tcW w:w="1460" w:type="dxa"/>
            <w:tcBorders>
              <w:top w:val="nil"/>
              <w:left w:val="nil"/>
              <w:bottom w:val="nil"/>
              <w:right w:val="nil"/>
            </w:tcBorders>
            <w:shd w:val="clear" w:color="auto" w:fill="auto"/>
            <w:vAlign w:val="center"/>
          </w:tcPr>
          <w:p w:rsidR="00EF0B0C" w:rsidRPr="00A36539" w:rsidRDefault="00D26083" w:rsidP="00F91DB3">
            <w:pPr>
              <w:keepNext/>
              <w:jc w:val="center"/>
              <w:rPr>
                <w:szCs w:val="22"/>
              </w:rPr>
            </w:pPr>
            <w:r>
              <w:rPr>
                <w:szCs w:val="22"/>
              </w:rPr>
              <w:t>0.18</w:t>
            </w:r>
            <w:r w:rsidR="00F91DB3">
              <w:rPr>
                <w:szCs w:val="22"/>
              </w:rPr>
              <w:t xml:space="preserve"> yr</w:t>
            </w:r>
            <w:r w:rsidR="00F91DB3" w:rsidRPr="00F91DB3">
              <w:rPr>
                <w:szCs w:val="22"/>
                <w:vertAlign w:val="superscript"/>
              </w:rPr>
              <w:t>-1</w:t>
            </w:r>
          </w:p>
        </w:tc>
        <w:tc>
          <w:tcPr>
            <w:tcW w:w="1460" w:type="dxa"/>
            <w:tcBorders>
              <w:top w:val="nil"/>
              <w:left w:val="nil"/>
              <w:bottom w:val="nil"/>
              <w:right w:val="nil"/>
            </w:tcBorders>
          </w:tcPr>
          <w:p w:rsidR="00EF0B0C" w:rsidRPr="00A36539" w:rsidRDefault="00EF0B0C" w:rsidP="00B653D2">
            <w:pPr>
              <w:keepNext/>
              <w:jc w:val="center"/>
              <w:rPr>
                <w:szCs w:val="22"/>
              </w:rPr>
            </w:pPr>
            <w:r>
              <w:rPr>
                <w:szCs w:val="22"/>
              </w:rPr>
              <w:t>N/A</w:t>
            </w:r>
          </w:p>
        </w:tc>
      </w:tr>
      <w:tr w:rsidR="00EF0B0C" w:rsidRPr="000A0DCA" w:rsidTr="0014487B">
        <w:trPr>
          <w:trHeight w:val="291"/>
        </w:trPr>
        <w:tc>
          <w:tcPr>
            <w:tcW w:w="1013" w:type="dxa"/>
            <w:tcBorders>
              <w:top w:val="nil"/>
              <w:left w:val="nil"/>
              <w:bottom w:val="nil"/>
              <w:right w:val="nil"/>
            </w:tcBorders>
            <w:shd w:val="clear" w:color="auto" w:fill="auto"/>
            <w:vAlign w:val="center"/>
          </w:tcPr>
          <w:p w:rsidR="00EF0B0C" w:rsidRPr="00A36539" w:rsidRDefault="00EF0B0C" w:rsidP="00B601A8">
            <w:pPr>
              <w:keepNext/>
              <w:jc w:val="center"/>
              <w:rPr>
                <w:szCs w:val="22"/>
              </w:rPr>
            </w:pPr>
            <w:r>
              <w:rPr>
                <w:szCs w:val="22"/>
              </w:rPr>
              <w:t>2011</w:t>
            </w:r>
          </w:p>
        </w:tc>
        <w:tc>
          <w:tcPr>
            <w:tcW w:w="1016" w:type="dxa"/>
            <w:tcBorders>
              <w:top w:val="nil"/>
              <w:left w:val="nil"/>
              <w:bottom w:val="nil"/>
              <w:right w:val="nil"/>
            </w:tcBorders>
            <w:shd w:val="clear" w:color="auto" w:fill="auto"/>
            <w:vAlign w:val="center"/>
          </w:tcPr>
          <w:p w:rsidR="00EF0B0C" w:rsidRPr="00A36539" w:rsidRDefault="00EF0B0C" w:rsidP="00B653D2">
            <w:pPr>
              <w:keepNext/>
              <w:jc w:val="center"/>
              <w:rPr>
                <w:szCs w:val="22"/>
              </w:rPr>
            </w:pPr>
            <w:r w:rsidRPr="00A36539">
              <w:rPr>
                <w:szCs w:val="22"/>
              </w:rPr>
              <w:t>5</w:t>
            </w:r>
          </w:p>
        </w:tc>
        <w:tc>
          <w:tcPr>
            <w:tcW w:w="2880" w:type="dxa"/>
            <w:tcBorders>
              <w:top w:val="nil"/>
              <w:left w:val="nil"/>
              <w:bottom w:val="nil"/>
              <w:right w:val="nil"/>
            </w:tcBorders>
            <w:vAlign w:val="center"/>
          </w:tcPr>
          <w:p w:rsidR="00EF0B0C" w:rsidRPr="00C8044B" w:rsidRDefault="00EF0B0C" w:rsidP="00F72A47">
            <w:pPr>
              <w:keepNext/>
              <w:jc w:val="center"/>
              <w:rPr>
                <w:szCs w:val="22"/>
                <w:highlight w:val="yellow"/>
              </w:rPr>
            </w:pPr>
            <w:r w:rsidRPr="00A36539">
              <w:rPr>
                <w:szCs w:val="22"/>
              </w:rPr>
              <w:t>1993–199</w:t>
            </w:r>
            <w:r>
              <w:rPr>
                <w:szCs w:val="22"/>
              </w:rPr>
              <w:t>8</w:t>
            </w:r>
            <w:r>
              <w:rPr>
                <w:szCs w:val="22"/>
                <w:vertAlign w:val="superscript"/>
              </w:rPr>
              <w:t>c</w:t>
            </w:r>
          </w:p>
        </w:tc>
        <w:tc>
          <w:tcPr>
            <w:tcW w:w="1460" w:type="dxa"/>
            <w:tcBorders>
              <w:top w:val="nil"/>
              <w:left w:val="nil"/>
              <w:bottom w:val="nil"/>
              <w:right w:val="nil"/>
            </w:tcBorders>
            <w:shd w:val="clear" w:color="auto" w:fill="auto"/>
            <w:vAlign w:val="center"/>
          </w:tcPr>
          <w:p w:rsidR="00EF0B0C" w:rsidRPr="00A36539" w:rsidRDefault="00D26083" w:rsidP="00F91DB3">
            <w:pPr>
              <w:keepNext/>
              <w:jc w:val="center"/>
              <w:rPr>
                <w:szCs w:val="22"/>
              </w:rPr>
            </w:pPr>
            <w:r>
              <w:rPr>
                <w:szCs w:val="22"/>
              </w:rPr>
              <w:t>0.18</w:t>
            </w:r>
            <w:r w:rsidR="00F91DB3">
              <w:rPr>
                <w:szCs w:val="22"/>
              </w:rPr>
              <w:t xml:space="preserve"> yr</w:t>
            </w:r>
            <w:r w:rsidR="00F91DB3" w:rsidRPr="00F91DB3">
              <w:rPr>
                <w:szCs w:val="22"/>
                <w:vertAlign w:val="superscript"/>
              </w:rPr>
              <w:t>-1</w:t>
            </w:r>
          </w:p>
        </w:tc>
        <w:tc>
          <w:tcPr>
            <w:tcW w:w="1460" w:type="dxa"/>
            <w:tcBorders>
              <w:top w:val="nil"/>
              <w:left w:val="nil"/>
              <w:bottom w:val="nil"/>
              <w:right w:val="nil"/>
            </w:tcBorders>
          </w:tcPr>
          <w:p w:rsidR="00EF0B0C" w:rsidRPr="00A36539" w:rsidRDefault="00EF0B0C" w:rsidP="00B653D2">
            <w:pPr>
              <w:keepNext/>
              <w:jc w:val="center"/>
              <w:rPr>
                <w:szCs w:val="22"/>
              </w:rPr>
            </w:pPr>
            <w:r>
              <w:rPr>
                <w:szCs w:val="22"/>
              </w:rPr>
              <w:t>N/A</w:t>
            </w:r>
          </w:p>
        </w:tc>
      </w:tr>
      <w:tr w:rsidR="00EF0B0C" w:rsidRPr="00D14502" w:rsidTr="00AB4C8E">
        <w:trPr>
          <w:trHeight w:val="291"/>
        </w:trPr>
        <w:tc>
          <w:tcPr>
            <w:tcW w:w="1013" w:type="dxa"/>
            <w:tcBorders>
              <w:top w:val="nil"/>
              <w:left w:val="nil"/>
              <w:bottom w:val="nil"/>
              <w:right w:val="nil"/>
            </w:tcBorders>
            <w:shd w:val="clear" w:color="auto" w:fill="auto"/>
            <w:vAlign w:val="center"/>
          </w:tcPr>
          <w:p w:rsidR="00EF0B0C" w:rsidRDefault="00EF0B0C" w:rsidP="00D14502">
            <w:pPr>
              <w:keepNext/>
              <w:jc w:val="center"/>
              <w:rPr>
                <w:szCs w:val="22"/>
              </w:rPr>
            </w:pPr>
            <w:r>
              <w:rPr>
                <w:szCs w:val="22"/>
              </w:rPr>
              <w:t>2012</w:t>
            </w:r>
          </w:p>
        </w:tc>
        <w:tc>
          <w:tcPr>
            <w:tcW w:w="1016" w:type="dxa"/>
            <w:tcBorders>
              <w:top w:val="nil"/>
              <w:left w:val="nil"/>
              <w:bottom w:val="nil"/>
              <w:right w:val="nil"/>
            </w:tcBorders>
            <w:shd w:val="clear" w:color="auto" w:fill="auto"/>
            <w:vAlign w:val="center"/>
          </w:tcPr>
          <w:p w:rsidR="00EF0B0C" w:rsidRPr="00A36539" w:rsidRDefault="00EF0B0C" w:rsidP="00B653D2">
            <w:pPr>
              <w:keepNext/>
              <w:jc w:val="center"/>
              <w:rPr>
                <w:szCs w:val="22"/>
              </w:rPr>
            </w:pPr>
            <w:r>
              <w:rPr>
                <w:szCs w:val="22"/>
              </w:rPr>
              <w:t>5</w:t>
            </w:r>
          </w:p>
        </w:tc>
        <w:tc>
          <w:tcPr>
            <w:tcW w:w="2880" w:type="dxa"/>
            <w:tcBorders>
              <w:top w:val="nil"/>
              <w:left w:val="nil"/>
              <w:bottom w:val="nil"/>
              <w:right w:val="nil"/>
            </w:tcBorders>
            <w:vAlign w:val="center"/>
          </w:tcPr>
          <w:p w:rsidR="00EF0B0C" w:rsidRPr="00D14502" w:rsidRDefault="00EF0B0C" w:rsidP="00F72A47">
            <w:pPr>
              <w:keepNext/>
              <w:jc w:val="center"/>
              <w:rPr>
                <w:szCs w:val="22"/>
                <w:highlight w:val="yellow"/>
                <w:vertAlign w:val="superscript"/>
              </w:rPr>
            </w:pPr>
            <w:r w:rsidRPr="00D26083">
              <w:rPr>
                <w:szCs w:val="22"/>
              </w:rPr>
              <w:t>1993–1998</w:t>
            </w:r>
            <w:r w:rsidR="00D26083">
              <w:rPr>
                <w:szCs w:val="22"/>
                <w:vertAlign w:val="superscript"/>
              </w:rPr>
              <w:t>d</w:t>
            </w:r>
          </w:p>
        </w:tc>
        <w:tc>
          <w:tcPr>
            <w:tcW w:w="1460" w:type="dxa"/>
            <w:tcBorders>
              <w:top w:val="nil"/>
              <w:left w:val="nil"/>
              <w:bottom w:val="nil"/>
              <w:right w:val="nil"/>
            </w:tcBorders>
            <w:shd w:val="clear" w:color="auto" w:fill="auto"/>
            <w:vAlign w:val="center"/>
          </w:tcPr>
          <w:p w:rsidR="00EF0B0C" w:rsidRPr="00D14502" w:rsidRDefault="00D26083" w:rsidP="00B653D2">
            <w:pPr>
              <w:keepNext/>
              <w:jc w:val="center"/>
              <w:rPr>
                <w:szCs w:val="22"/>
                <w:highlight w:val="yellow"/>
              </w:rPr>
            </w:pPr>
            <w:r>
              <w:rPr>
                <w:szCs w:val="22"/>
              </w:rPr>
              <w:t>0.18</w:t>
            </w:r>
            <w:r w:rsidR="00F91DB3">
              <w:rPr>
                <w:szCs w:val="22"/>
              </w:rPr>
              <w:t xml:space="preserve"> yr</w:t>
            </w:r>
            <w:r w:rsidR="00F91DB3" w:rsidRPr="00F91DB3">
              <w:rPr>
                <w:szCs w:val="22"/>
                <w:vertAlign w:val="superscript"/>
              </w:rPr>
              <w:t>-1</w:t>
            </w:r>
          </w:p>
        </w:tc>
        <w:tc>
          <w:tcPr>
            <w:tcW w:w="1460" w:type="dxa"/>
            <w:tcBorders>
              <w:top w:val="nil"/>
              <w:left w:val="nil"/>
              <w:bottom w:val="nil"/>
              <w:right w:val="nil"/>
            </w:tcBorders>
          </w:tcPr>
          <w:p w:rsidR="00EF0B0C" w:rsidRPr="00DC1C0D" w:rsidRDefault="00EF0B0C" w:rsidP="00B653D2">
            <w:pPr>
              <w:keepNext/>
              <w:jc w:val="center"/>
              <w:rPr>
                <w:szCs w:val="22"/>
              </w:rPr>
            </w:pPr>
            <w:r>
              <w:rPr>
                <w:szCs w:val="22"/>
              </w:rPr>
              <w:t>10%</w:t>
            </w:r>
          </w:p>
        </w:tc>
      </w:tr>
      <w:tr w:rsidR="00AB4C8E" w:rsidRPr="00D14502" w:rsidTr="00A200D2">
        <w:trPr>
          <w:trHeight w:val="291"/>
        </w:trPr>
        <w:tc>
          <w:tcPr>
            <w:tcW w:w="1013" w:type="dxa"/>
            <w:tcBorders>
              <w:top w:val="nil"/>
              <w:left w:val="nil"/>
              <w:bottom w:val="nil"/>
              <w:right w:val="nil"/>
            </w:tcBorders>
            <w:shd w:val="clear" w:color="auto" w:fill="auto"/>
            <w:vAlign w:val="center"/>
          </w:tcPr>
          <w:p w:rsidR="00AB4C8E" w:rsidRDefault="00AB4C8E" w:rsidP="00D14502">
            <w:pPr>
              <w:keepNext/>
              <w:jc w:val="center"/>
              <w:rPr>
                <w:szCs w:val="22"/>
              </w:rPr>
            </w:pPr>
            <w:r>
              <w:rPr>
                <w:szCs w:val="22"/>
              </w:rPr>
              <w:t>2013</w:t>
            </w:r>
          </w:p>
        </w:tc>
        <w:tc>
          <w:tcPr>
            <w:tcW w:w="1016" w:type="dxa"/>
            <w:tcBorders>
              <w:top w:val="nil"/>
              <w:left w:val="nil"/>
              <w:bottom w:val="nil"/>
              <w:right w:val="nil"/>
            </w:tcBorders>
            <w:shd w:val="clear" w:color="auto" w:fill="auto"/>
            <w:vAlign w:val="center"/>
          </w:tcPr>
          <w:p w:rsidR="00AB4C8E" w:rsidRDefault="00AB4C8E" w:rsidP="00B653D2">
            <w:pPr>
              <w:keepNext/>
              <w:jc w:val="center"/>
              <w:rPr>
                <w:szCs w:val="22"/>
              </w:rPr>
            </w:pPr>
            <w:r>
              <w:rPr>
                <w:szCs w:val="22"/>
              </w:rPr>
              <w:t>5</w:t>
            </w:r>
          </w:p>
        </w:tc>
        <w:tc>
          <w:tcPr>
            <w:tcW w:w="2880" w:type="dxa"/>
            <w:tcBorders>
              <w:top w:val="nil"/>
              <w:left w:val="nil"/>
              <w:bottom w:val="nil"/>
              <w:right w:val="nil"/>
            </w:tcBorders>
            <w:vAlign w:val="center"/>
          </w:tcPr>
          <w:p w:rsidR="00AB4C8E" w:rsidRPr="00D26083" w:rsidRDefault="00AB4C8E" w:rsidP="00F72A47">
            <w:pPr>
              <w:keepNext/>
              <w:jc w:val="center"/>
              <w:rPr>
                <w:szCs w:val="22"/>
              </w:rPr>
            </w:pPr>
            <w:r w:rsidRPr="00D26083">
              <w:rPr>
                <w:szCs w:val="22"/>
              </w:rPr>
              <w:t>1993–1998</w:t>
            </w:r>
            <w:r>
              <w:rPr>
                <w:szCs w:val="22"/>
                <w:vertAlign w:val="superscript"/>
              </w:rPr>
              <w:t>d</w:t>
            </w:r>
          </w:p>
        </w:tc>
        <w:tc>
          <w:tcPr>
            <w:tcW w:w="1460" w:type="dxa"/>
            <w:tcBorders>
              <w:top w:val="nil"/>
              <w:left w:val="nil"/>
              <w:bottom w:val="nil"/>
              <w:right w:val="nil"/>
            </w:tcBorders>
            <w:shd w:val="clear" w:color="auto" w:fill="auto"/>
            <w:vAlign w:val="center"/>
          </w:tcPr>
          <w:p w:rsidR="00AB4C8E" w:rsidRDefault="00AB4C8E" w:rsidP="00F91DB3">
            <w:pPr>
              <w:keepNext/>
              <w:jc w:val="center"/>
              <w:rPr>
                <w:szCs w:val="22"/>
              </w:rPr>
            </w:pPr>
            <w:r>
              <w:rPr>
                <w:szCs w:val="22"/>
              </w:rPr>
              <w:t>0.18</w:t>
            </w:r>
            <w:r w:rsidR="00F91DB3">
              <w:rPr>
                <w:szCs w:val="22"/>
              </w:rPr>
              <w:t xml:space="preserve"> yr</w:t>
            </w:r>
            <w:r w:rsidR="00F91DB3" w:rsidRPr="00F91DB3">
              <w:rPr>
                <w:szCs w:val="22"/>
                <w:vertAlign w:val="superscript"/>
              </w:rPr>
              <w:t>-1</w:t>
            </w:r>
          </w:p>
        </w:tc>
        <w:tc>
          <w:tcPr>
            <w:tcW w:w="1460" w:type="dxa"/>
            <w:tcBorders>
              <w:top w:val="nil"/>
              <w:left w:val="nil"/>
              <w:bottom w:val="nil"/>
              <w:right w:val="nil"/>
            </w:tcBorders>
          </w:tcPr>
          <w:p w:rsidR="00AB4C8E" w:rsidRDefault="00A200D2" w:rsidP="00B653D2">
            <w:pPr>
              <w:keepNext/>
              <w:jc w:val="center"/>
              <w:rPr>
                <w:szCs w:val="22"/>
              </w:rPr>
            </w:pPr>
            <w:r>
              <w:rPr>
                <w:szCs w:val="22"/>
              </w:rPr>
              <w:t>10%</w:t>
            </w:r>
          </w:p>
        </w:tc>
      </w:tr>
      <w:tr w:rsidR="00A200D2" w:rsidRPr="00D14502" w:rsidTr="0014487B">
        <w:trPr>
          <w:trHeight w:val="291"/>
        </w:trPr>
        <w:tc>
          <w:tcPr>
            <w:tcW w:w="1013" w:type="dxa"/>
            <w:tcBorders>
              <w:top w:val="nil"/>
              <w:left w:val="nil"/>
              <w:bottom w:val="single" w:sz="12" w:space="0" w:color="auto"/>
              <w:right w:val="nil"/>
            </w:tcBorders>
            <w:shd w:val="clear" w:color="auto" w:fill="auto"/>
            <w:vAlign w:val="center"/>
          </w:tcPr>
          <w:p w:rsidR="00A200D2" w:rsidRDefault="00A200D2" w:rsidP="00D14502">
            <w:pPr>
              <w:keepNext/>
              <w:jc w:val="center"/>
              <w:rPr>
                <w:szCs w:val="22"/>
              </w:rPr>
            </w:pPr>
            <w:r>
              <w:rPr>
                <w:szCs w:val="22"/>
              </w:rPr>
              <w:t>2014</w:t>
            </w:r>
          </w:p>
        </w:tc>
        <w:tc>
          <w:tcPr>
            <w:tcW w:w="1016" w:type="dxa"/>
            <w:tcBorders>
              <w:top w:val="nil"/>
              <w:left w:val="nil"/>
              <w:bottom w:val="single" w:sz="12" w:space="0" w:color="auto"/>
              <w:right w:val="nil"/>
            </w:tcBorders>
            <w:shd w:val="clear" w:color="auto" w:fill="auto"/>
            <w:vAlign w:val="center"/>
          </w:tcPr>
          <w:p w:rsidR="00A200D2" w:rsidRDefault="00A200D2" w:rsidP="00B653D2">
            <w:pPr>
              <w:keepNext/>
              <w:jc w:val="center"/>
              <w:rPr>
                <w:szCs w:val="22"/>
              </w:rPr>
            </w:pPr>
            <w:r>
              <w:rPr>
                <w:szCs w:val="22"/>
              </w:rPr>
              <w:t>5</w:t>
            </w:r>
          </w:p>
        </w:tc>
        <w:tc>
          <w:tcPr>
            <w:tcW w:w="2880" w:type="dxa"/>
            <w:tcBorders>
              <w:top w:val="nil"/>
              <w:left w:val="nil"/>
              <w:bottom w:val="single" w:sz="12" w:space="0" w:color="auto"/>
              <w:right w:val="nil"/>
            </w:tcBorders>
            <w:vAlign w:val="center"/>
          </w:tcPr>
          <w:p w:rsidR="00A200D2" w:rsidRDefault="00A200D2" w:rsidP="00F72A47">
            <w:pPr>
              <w:keepNext/>
              <w:jc w:val="center"/>
              <w:rPr>
                <w:szCs w:val="22"/>
              </w:rPr>
            </w:pPr>
            <w:r w:rsidRPr="00D26083">
              <w:rPr>
                <w:szCs w:val="22"/>
              </w:rPr>
              <w:t>1993–1998</w:t>
            </w:r>
            <w:r>
              <w:rPr>
                <w:szCs w:val="22"/>
                <w:vertAlign w:val="superscript"/>
              </w:rPr>
              <w:t>d</w:t>
            </w:r>
          </w:p>
        </w:tc>
        <w:tc>
          <w:tcPr>
            <w:tcW w:w="1460" w:type="dxa"/>
            <w:tcBorders>
              <w:top w:val="nil"/>
              <w:left w:val="nil"/>
              <w:bottom w:val="single" w:sz="12" w:space="0" w:color="auto"/>
              <w:right w:val="nil"/>
            </w:tcBorders>
            <w:shd w:val="clear" w:color="auto" w:fill="auto"/>
            <w:vAlign w:val="center"/>
          </w:tcPr>
          <w:p w:rsidR="00A200D2" w:rsidRDefault="00A200D2" w:rsidP="00F91DB3">
            <w:pPr>
              <w:keepNext/>
              <w:jc w:val="center"/>
              <w:rPr>
                <w:szCs w:val="22"/>
              </w:rPr>
            </w:pPr>
            <w:r>
              <w:rPr>
                <w:szCs w:val="22"/>
              </w:rPr>
              <w:t>0.18</w:t>
            </w:r>
            <w:r w:rsidR="00F91DB3">
              <w:rPr>
                <w:szCs w:val="22"/>
              </w:rPr>
              <w:t xml:space="preserve"> yr</w:t>
            </w:r>
            <w:r w:rsidR="00F91DB3" w:rsidRPr="00F91DB3">
              <w:rPr>
                <w:szCs w:val="22"/>
                <w:vertAlign w:val="superscript"/>
              </w:rPr>
              <w:t>-1</w:t>
            </w:r>
          </w:p>
        </w:tc>
        <w:tc>
          <w:tcPr>
            <w:tcW w:w="1460" w:type="dxa"/>
            <w:tcBorders>
              <w:top w:val="nil"/>
              <w:left w:val="nil"/>
              <w:bottom w:val="single" w:sz="12" w:space="0" w:color="auto"/>
              <w:right w:val="nil"/>
            </w:tcBorders>
          </w:tcPr>
          <w:p w:rsidR="00A200D2" w:rsidRDefault="00A200D2" w:rsidP="00B653D2">
            <w:pPr>
              <w:keepNext/>
              <w:jc w:val="center"/>
              <w:rPr>
                <w:szCs w:val="22"/>
              </w:rPr>
            </w:pPr>
            <w:r>
              <w:rPr>
                <w:szCs w:val="22"/>
              </w:rPr>
              <w:t>10%</w:t>
            </w:r>
          </w:p>
        </w:tc>
      </w:tr>
    </w:tbl>
    <w:p w:rsidR="00A36539" w:rsidRPr="00A200D2" w:rsidRDefault="001E51B1" w:rsidP="002F1A19">
      <w:pPr>
        <w:numPr>
          <w:ilvl w:val="0"/>
          <w:numId w:val="12"/>
        </w:numPr>
        <w:rPr>
          <w:sz w:val="18"/>
          <w:szCs w:val="20"/>
        </w:rPr>
      </w:pPr>
      <w:r w:rsidRPr="00A200D2">
        <w:rPr>
          <w:sz w:val="18"/>
          <w:szCs w:val="20"/>
        </w:rPr>
        <w:t>S</w:t>
      </w:r>
      <w:r w:rsidR="00A36539" w:rsidRPr="00A200D2">
        <w:rPr>
          <w:sz w:val="18"/>
          <w:szCs w:val="20"/>
        </w:rPr>
        <w:t>eason is based on a calendar year.</w:t>
      </w:r>
    </w:p>
    <w:p w:rsidR="00096428" w:rsidRPr="00A200D2" w:rsidRDefault="00096428" w:rsidP="002F1A19">
      <w:pPr>
        <w:numPr>
          <w:ilvl w:val="0"/>
          <w:numId w:val="12"/>
        </w:numPr>
        <w:jc w:val="both"/>
        <w:rPr>
          <w:sz w:val="18"/>
          <w:szCs w:val="20"/>
        </w:rPr>
      </w:pPr>
      <w:r w:rsidRPr="00A200D2">
        <w:rPr>
          <w:sz w:val="18"/>
          <w:szCs w:val="20"/>
        </w:rPr>
        <w:t>OFL was for retained catch and was determined by the average of the retained catch for these years.</w:t>
      </w:r>
    </w:p>
    <w:p w:rsidR="00B66F77" w:rsidRPr="00A200D2" w:rsidRDefault="00C36917" w:rsidP="002F1A19">
      <w:pPr>
        <w:numPr>
          <w:ilvl w:val="0"/>
          <w:numId w:val="12"/>
        </w:numPr>
        <w:jc w:val="both"/>
        <w:rPr>
          <w:sz w:val="18"/>
          <w:szCs w:val="20"/>
        </w:rPr>
      </w:pPr>
      <w:r w:rsidRPr="00A200D2">
        <w:rPr>
          <w:sz w:val="18"/>
          <w:szCs w:val="20"/>
        </w:rPr>
        <w:t xml:space="preserve">OFL was for total catch and was determined by the average of the </w:t>
      </w:r>
      <w:r w:rsidR="00D26083" w:rsidRPr="00A200D2">
        <w:rPr>
          <w:sz w:val="18"/>
          <w:szCs w:val="20"/>
        </w:rPr>
        <w:t xml:space="preserve">annual </w:t>
      </w:r>
      <w:r w:rsidRPr="00A200D2">
        <w:rPr>
          <w:sz w:val="18"/>
          <w:szCs w:val="20"/>
        </w:rPr>
        <w:t xml:space="preserve">retained catch for these years times a factor of 1.05 </w:t>
      </w:r>
      <w:r w:rsidR="00023589" w:rsidRPr="00A200D2">
        <w:rPr>
          <w:sz w:val="18"/>
          <w:szCs w:val="20"/>
        </w:rPr>
        <w:t>to account for the estimated bycatch mortality occurring in the directed fishery plus an estimate of the average annual bycatch mortality due to non-directed crab fisheries and groundfish fisheries for the period</w:t>
      </w:r>
      <w:r w:rsidRPr="00A200D2">
        <w:rPr>
          <w:sz w:val="18"/>
          <w:szCs w:val="20"/>
        </w:rPr>
        <w:t xml:space="preserve">. </w:t>
      </w:r>
    </w:p>
    <w:p w:rsidR="00B66F77" w:rsidRPr="00A200D2" w:rsidRDefault="00D26083" w:rsidP="002F1A19">
      <w:pPr>
        <w:numPr>
          <w:ilvl w:val="0"/>
          <w:numId w:val="12"/>
        </w:numPr>
        <w:jc w:val="both"/>
        <w:rPr>
          <w:sz w:val="18"/>
          <w:szCs w:val="20"/>
        </w:rPr>
      </w:pPr>
      <w:r w:rsidRPr="00A200D2">
        <w:rPr>
          <w:sz w:val="18"/>
          <w:szCs w:val="20"/>
        </w:rPr>
        <w:t>OFL was for total catch and was determined by the average of the annual retained catch for these years times a factor of 1.05</w:t>
      </w:r>
      <w:r w:rsidR="001B3A3A" w:rsidRPr="00A200D2">
        <w:rPr>
          <w:sz w:val="18"/>
          <w:szCs w:val="20"/>
        </w:rPr>
        <w:t>2</w:t>
      </w:r>
      <w:r w:rsidRPr="00A200D2">
        <w:rPr>
          <w:sz w:val="18"/>
          <w:szCs w:val="20"/>
        </w:rPr>
        <w:t xml:space="preserve"> to account for the estimated bycatch mortality occ</w:t>
      </w:r>
      <w:r w:rsidR="00023589" w:rsidRPr="00A200D2">
        <w:rPr>
          <w:sz w:val="18"/>
          <w:szCs w:val="20"/>
        </w:rPr>
        <w:t xml:space="preserve">urring in the directed fishery </w:t>
      </w:r>
      <w:r w:rsidRPr="00A200D2">
        <w:rPr>
          <w:sz w:val="18"/>
          <w:szCs w:val="20"/>
        </w:rPr>
        <w:t xml:space="preserve">plus an estimate of the average annual bycatch mortality due to non-directed crab fisheries and groundfish fisheries </w:t>
      </w:r>
      <w:r w:rsidR="00023589" w:rsidRPr="00A200D2">
        <w:rPr>
          <w:sz w:val="18"/>
          <w:szCs w:val="20"/>
        </w:rPr>
        <w:t>for the period</w:t>
      </w:r>
      <w:r w:rsidRPr="00A200D2">
        <w:rPr>
          <w:sz w:val="18"/>
          <w:szCs w:val="20"/>
        </w:rPr>
        <w:t>.</w:t>
      </w:r>
      <w:r w:rsidR="00B66F77" w:rsidRPr="00A200D2">
        <w:rPr>
          <w:sz w:val="18"/>
          <w:szCs w:val="20"/>
        </w:rPr>
        <w:t xml:space="preserve"> </w:t>
      </w:r>
    </w:p>
    <w:p w:rsidR="00C6197C" w:rsidRPr="00A200D2" w:rsidRDefault="00C6197C" w:rsidP="002F1A19">
      <w:pPr>
        <w:numPr>
          <w:ilvl w:val="0"/>
          <w:numId w:val="12"/>
        </w:numPr>
        <w:jc w:val="both"/>
        <w:rPr>
          <w:sz w:val="18"/>
          <w:szCs w:val="20"/>
        </w:rPr>
      </w:pPr>
      <w:r w:rsidRPr="00A200D2">
        <w:rPr>
          <w:sz w:val="18"/>
          <w:szCs w:val="20"/>
        </w:rPr>
        <w:t>Assumed value for FMP king crab in NPFMC (2007)</w:t>
      </w:r>
      <w:r w:rsidR="001869F3" w:rsidRPr="00A200D2">
        <w:rPr>
          <w:sz w:val="18"/>
          <w:szCs w:val="20"/>
        </w:rPr>
        <w:t>; does not enter into OFL estimation for Tier 5 stock</w:t>
      </w:r>
      <w:r w:rsidRPr="00A200D2">
        <w:rPr>
          <w:sz w:val="18"/>
          <w:szCs w:val="20"/>
        </w:rPr>
        <w:t>.</w:t>
      </w:r>
    </w:p>
    <w:p w:rsidR="00096428" w:rsidRPr="00AB12B9" w:rsidRDefault="00096428" w:rsidP="00096428">
      <w:pPr>
        <w:ind w:left="720"/>
        <w:jc w:val="both"/>
      </w:pPr>
    </w:p>
    <w:p w:rsidR="00DC08CD" w:rsidRDefault="00DC08CD" w:rsidP="000314A8">
      <w:pPr>
        <w:numPr>
          <w:ilvl w:val="0"/>
          <w:numId w:val="4"/>
        </w:numPr>
        <w:jc w:val="both"/>
      </w:pPr>
      <w:r>
        <w:rPr>
          <w:b/>
          <w:u w:val="single"/>
        </w:rPr>
        <w:t>PDF of the OFL:</w:t>
      </w:r>
      <w:r>
        <w:t xml:space="preserve">  </w:t>
      </w:r>
      <w:r w:rsidR="00585B14" w:rsidRPr="00D26B25">
        <w:t>Sampling</w:t>
      </w:r>
      <w:r w:rsidRPr="00D26B25">
        <w:t xml:space="preserve"> </w:t>
      </w:r>
      <w:r w:rsidR="00F36E58" w:rsidRPr="00D26B25">
        <w:t xml:space="preserve">distribution of the </w:t>
      </w:r>
      <w:r w:rsidR="00D26B25" w:rsidRPr="00D26B25">
        <w:t xml:space="preserve">two </w:t>
      </w:r>
      <w:r w:rsidR="00F36E58" w:rsidRPr="00D26B25">
        <w:t>alternative Tier 5 OFLs was estimated by bootstrapping.  The standard deviation of the estimated sampling distribution of the recommended OFL (Al</w:t>
      </w:r>
      <w:r w:rsidR="007D618F" w:rsidRPr="00D26B25">
        <w:t xml:space="preserve">ternative 1) is </w:t>
      </w:r>
      <w:r w:rsidR="007D618F" w:rsidRPr="00CA0361">
        <w:t>0</w:t>
      </w:r>
      <w:r w:rsidR="00CA0361" w:rsidRPr="00CA0361">
        <w:t>.51</w:t>
      </w:r>
      <w:r w:rsidR="001412C8">
        <w:t>0</w:t>
      </w:r>
      <w:r w:rsidR="00F36E58" w:rsidRPr="00CA0361">
        <w:t>-million pounds (CV = 0.</w:t>
      </w:r>
      <w:r w:rsidR="00CA0361" w:rsidRPr="00CA0361">
        <w:t>25</w:t>
      </w:r>
      <w:r w:rsidR="00F36E58" w:rsidRPr="00CA0361">
        <w:t>).</w:t>
      </w:r>
      <w:r w:rsidR="00F36E58">
        <w:t xml:space="preserve">  See section G.1.</w:t>
      </w:r>
    </w:p>
    <w:p w:rsidR="00DC08CD" w:rsidRPr="00DC08CD" w:rsidRDefault="00DC08CD" w:rsidP="00DC08CD">
      <w:pPr>
        <w:jc w:val="both"/>
      </w:pPr>
    </w:p>
    <w:p w:rsidR="00F36E58" w:rsidRDefault="00DC08CD" w:rsidP="000314A8">
      <w:pPr>
        <w:numPr>
          <w:ilvl w:val="0"/>
          <w:numId w:val="4"/>
        </w:numPr>
        <w:jc w:val="both"/>
      </w:pPr>
      <w:r>
        <w:rPr>
          <w:b/>
          <w:u w:val="single"/>
        </w:rPr>
        <w:t>Basis for the ABC recommendation:</w:t>
      </w:r>
      <w:r>
        <w:t xml:space="preserve">  A 10% buffer on the OFL</w:t>
      </w:r>
      <w:r w:rsidR="00D26B25">
        <w:t>, the default</w:t>
      </w:r>
      <w:r>
        <w:t xml:space="preserve">; i.e., </w:t>
      </w:r>
    </w:p>
    <w:p w:rsidR="00DC08CD" w:rsidRDefault="00DC08CD" w:rsidP="00F36E58">
      <w:pPr>
        <w:ind w:left="360"/>
        <w:jc w:val="both"/>
      </w:pPr>
      <w:r>
        <w:t>ABC = (1-0.1</w:t>
      </w:r>
      <w:proofErr w:type="gramStart"/>
      <w:r>
        <w:t>)</w:t>
      </w:r>
      <w:r w:rsidR="00F36E58">
        <w:t>·</w:t>
      </w:r>
      <w:proofErr w:type="gramEnd"/>
      <w:r>
        <w:t>OFL.</w:t>
      </w:r>
    </w:p>
    <w:p w:rsidR="00DC08CD" w:rsidRPr="00DC08CD" w:rsidRDefault="00DC08CD" w:rsidP="00DC08CD">
      <w:pPr>
        <w:jc w:val="both"/>
      </w:pPr>
    </w:p>
    <w:p w:rsidR="007B5B81" w:rsidRDefault="007B5B81" w:rsidP="000314A8">
      <w:pPr>
        <w:numPr>
          <w:ilvl w:val="0"/>
          <w:numId w:val="4"/>
        </w:numPr>
        <w:jc w:val="both"/>
      </w:pPr>
      <w:r w:rsidRPr="00F02729">
        <w:rPr>
          <w:b/>
          <w:u w:val="single"/>
        </w:rPr>
        <w:t>A summary of the results of any rebuilding analyses</w:t>
      </w:r>
      <w:r w:rsidRPr="00F02729">
        <w:rPr>
          <w:b/>
        </w:rPr>
        <w:t xml:space="preserve">: </w:t>
      </w:r>
      <w:r w:rsidR="00697E6F">
        <w:t>Not applicable; s</w:t>
      </w:r>
      <w:r w:rsidR="00096428">
        <w:t>tock is not under a rebuilding plan.</w:t>
      </w:r>
    </w:p>
    <w:p w:rsidR="000314A8" w:rsidRPr="00AB12B9" w:rsidRDefault="000314A8" w:rsidP="000314A8">
      <w:pPr>
        <w:jc w:val="both"/>
      </w:pPr>
    </w:p>
    <w:p w:rsidR="007B5B81" w:rsidRPr="00AB12B9" w:rsidRDefault="007B5B81" w:rsidP="007B5B81">
      <w:pPr>
        <w:pStyle w:val="Heading3"/>
        <w:jc w:val="both"/>
        <w:rPr>
          <w:sz w:val="24"/>
        </w:rPr>
      </w:pPr>
      <w:r w:rsidRPr="00AB12B9">
        <w:rPr>
          <w:sz w:val="24"/>
        </w:rPr>
        <w:t>A. Summary of Major Changes</w:t>
      </w:r>
    </w:p>
    <w:p w:rsidR="007B5B81" w:rsidRPr="008D62F2" w:rsidRDefault="007B5B81" w:rsidP="000314A8">
      <w:pPr>
        <w:numPr>
          <w:ilvl w:val="0"/>
          <w:numId w:val="5"/>
        </w:numPr>
        <w:jc w:val="both"/>
      </w:pPr>
      <w:r w:rsidRPr="00F02729">
        <w:rPr>
          <w:b/>
          <w:u w:val="single"/>
        </w:rPr>
        <w:t>Changes to the management of the fishery</w:t>
      </w:r>
      <w:r w:rsidR="000314A8" w:rsidRPr="00F02729">
        <w:rPr>
          <w:b/>
        </w:rPr>
        <w:t>:</w:t>
      </w:r>
      <w:r w:rsidR="00697E6F">
        <w:rPr>
          <w:b/>
        </w:rPr>
        <w:t xml:space="preserve">  </w:t>
      </w:r>
      <w:r w:rsidR="00096428">
        <w:t>None</w:t>
      </w:r>
      <w:r w:rsidRPr="00AB12B9">
        <w:t>.</w:t>
      </w:r>
      <w:r w:rsidR="006715E1">
        <w:t xml:space="preserve">  Fishery continues to be managed under authority of an ADF&amp;G commissioner’s permit and with a guideline harvest level (GHL) of </w:t>
      </w:r>
      <w:r w:rsidR="00D77646">
        <w:t>0.</w:t>
      </w:r>
      <w:r w:rsidR="006715E1">
        <w:t>150</w:t>
      </w:r>
      <w:r w:rsidR="00D77646">
        <w:t>-million</w:t>
      </w:r>
      <w:r w:rsidR="006715E1">
        <w:t xml:space="preserve"> pounds</w:t>
      </w:r>
      <w:r w:rsidR="005721FC">
        <w:t xml:space="preserve"> (68 t)</w:t>
      </w:r>
      <w:r w:rsidR="006715E1">
        <w:t xml:space="preserve">.  </w:t>
      </w:r>
      <w:r w:rsidR="00F24DC6">
        <w:t xml:space="preserve">As of this writing, </w:t>
      </w:r>
      <w:r w:rsidR="00CF4686">
        <w:t>one vessel has register</w:t>
      </w:r>
      <w:r w:rsidR="00363763">
        <w:t>ed</w:t>
      </w:r>
      <w:r w:rsidR="00CF4686">
        <w:t xml:space="preserve"> for the 201</w:t>
      </w:r>
      <w:r w:rsidR="00AE576E">
        <w:t>3</w:t>
      </w:r>
      <w:r w:rsidR="00CF4686">
        <w:t xml:space="preserve"> season, but has not yet begun fishing (</w:t>
      </w:r>
      <w:r w:rsidR="00AE576E">
        <w:t>W</w:t>
      </w:r>
      <w:r w:rsidR="00CF4686">
        <w:t xml:space="preserve">. </w:t>
      </w:r>
      <w:r w:rsidR="00AE576E">
        <w:t>Donaldson</w:t>
      </w:r>
      <w:r w:rsidR="00CF4686">
        <w:t xml:space="preserve">, ADF&amp;G, </w:t>
      </w:r>
      <w:proofErr w:type="gramStart"/>
      <w:r w:rsidR="00363763">
        <w:t>2</w:t>
      </w:r>
      <w:r w:rsidR="00AE576E">
        <w:t>8</w:t>
      </w:r>
      <w:proofErr w:type="gramEnd"/>
      <w:r w:rsidR="00363763">
        <w:t xml:space="preserve"> </w:t>
      </w:r>
      <w:r w:rsidR="00AE576E">
        <w:t>March</w:t>
      </w:r>
      <w:r w:rsidR="00CF4686">
        <w:t xml:space="preserve"> 201</w:t>
      </w:r>
      <w:r w:rsidR="00AE576E">
        <w:t>3</w:t>
      </w:r>
      <w:r w:rsidR="00CF4686">
        <w:t xml:space="preserve"> </w:t>
      </w:r>
      <w:r w:rsidR="00AE576E" w:rsidRPr="00AE576E">
        <w:rPr>
          <w:i/>
        </w:rPr>
        <w:t xml:space="preserve">pers. </w:t>
      </w:r>
      <w:proofErr w:type="spellStart"/>
      <w:r w:rsidR="00AE576E" w:rsidRPr="00AE576E">
        <w:rPr>
          <w:i/>
        </w:rPr>
        <w:t>comm</w:t>
      </w:r>
      <w:proofErr w:type="spellEnd"/>
      <w:r w:rsidR="00CF4686">
        <w:t>)</w:t>
      </w:r>
      <w:r w:rsidR="00811D8C" w:rsidRPr="008D62F2">
        <w:t>.</w:t>
      </w:r>
    </w:p>
    <w:p w:rsidR="000314A8" w:rsidRPr="008D62F2" w:rsidRDefault="000314A8" w:rsidP="000314A8">
      <w:pPr>
        <w:jc w:val="both"/>
      </w:pPr>
    </w:p>
    <w:p w:rsidR="008D62F2" w:rsidRDefault="007B5B81" w:rsidP="008D62F2">
      <w:pPr>
        <w:numPr>
          <w:ilvl w:val="0"/>
          <w:numId w:val="5"/>
        </w:numPr>
        <w:jc w:val="both"/>
        <w:rPr>
          <w:b/>
        </w:rPr>
      </w:pPr>
      <w:r w:rsidRPr="008D62F2">
        <w:rPr>
          <w:b/>
          <w:u w:val="single"/>
        </w:rPr>
        <w:t>Changes to the input data</w:t>
      </w:r>
      <w:r w:rsidR="00096428" w:rsidRPr="008D62F2">
        <w:rPr>
          <w:b/>
        </w:rPr>
        <w:t xml:space="preserve">: </w:t>
      </w:r>
      <w:r w:rsidR="00C219B9" w:rsidRPr="008D62F2">
        <w:rPr>
          <w:b/>
        </w:rPr>
        <w:t xml:space="preserve"> </w:t>
      </w:r>
    </w:p>
    <w:p w:rsidR="008D62F2" w:rsidRPr="008D1FB9" w:rsidRDefault="00C219B9" w:rsidP="002F1A19">
      <w:pPr>
        <w:numPr>
          <w:ilvl w:val="0"/>
          <w:numId w:val="39"/>
        </w:numPr>
        <w:jc w:val="both"/>
        <w:rPr>
          <w:b/>
        </w:rPr>
      </w:pPr>
      <w:r w:rsidRPr="008D1FB9">
        <w:t xml:space="preserve">Retained catch </w:t>
      </w:r>
      <w:r w:rsidR="007C6605" w:rsidRPr="008D1FB9">
        <w:t xml:space="preserve">and bycatch </w:t>
      </w:r>
      <w:r w:rsidRPr="008D1FB9">
        <w:t xml:space="preserve">data has been updated with the results </w:t>
      </w:r>
      <w:r w:rsidR="0011039D" w:rsidRPr="008D1FB9">
        <w:t>for</w:t>
      </w:r>
      <w:r w:rsidRPr="008D1FB9">
        <w:t xml:space="preserve"> </w:t>
      </w:r>
      <w:r w:rsidR="007C6605" w:rsidRPr="008D1FB9">
        <w:t xml:space="preserve">the </w:t>
      </w:r>
      <w:r w:rsidRPr="008D1FB9">
        <w:t>20</w:t>
      </w:r>
      <w:r w:rsidR="00811D8C" w:rsidRPr="008D1FB9">
        <w:t>1</w:t>
      </w:r>
      <w:r w:rsidR="001F69DA" w:rsidRPr="008D1FB9">
        <w:t>2</w:t>
      </w:r>
      <w:r w:rsidR="007C6605" w:rsidRPr="008D1FB9">
        <w:t xml:space="preserve"> directed fishery</w:t>
      </w:r>
      <w:r w:rsidR="0011039D" w:rsidRPr="008D1FB9">
        <w:t xml:space="preserve">, during which </w:t>
      </w:r>
      <w:r w:rsidR="00544227" w:rsidRPr="008D1FB9">
        <w:t xml:space="preserve">only </w:t>
      </w:r>
      <w:r w:rsidR="001F69DA" w:rsidRPr="008D1FB9">
        <w:t>one</w:t>
      </w:r>
      <w:r w:rsidR="00811D8C" w:rsidRPr="008D1FB9">
        <w:t xml:space="preserve"> vessel </w:t>
      </w:r>
      <w:r w:rsidR="0011039D" w:rsidRPr="008D1FB9">
        <w:t>participat</w:t>
      </w:r>
      <w:r w:rsidR="00811D8C" w:rsidRPr="008D1FB9">
        <w:t>ed</w:t>
      </w:r>
      <w:r w:rsidR="008A0A80" w:rsidRPr="008D1FB9">
        <w:t xml:space="preserve"> </w:t>
      </w:r>
      <w:r w:rsidR="00811D8C" w:rsidRPr="008D1FB9">
        <w:t xml:space="preserve">in the fishery, rendering the catch data confidential </w:t>
      </w:r>
      <w:r w:rsidR="00AC422C" w:rsidRPr="008D1FB9">
        <w:t>under the requirements of Sec. 16.05.815 (SOA statute)</w:t>
      </w:r>
      <w:r w:rsidRPr="008D1FB9">
        <w:t>.</w:t>
      </w:r>
    </w:p>
    <w:p w:rsidR="008D1FB9" w:rsidRPr="008D1FB9" w:rsidRDefault="008D1FB9" w:rsidP="002F1A19">
      <w:pPr>
        <w:numPr>
          <w:ilvl w:val="0"/>
          <w:numId w:val="39"/>
        </w:numPr>
        <w:jc w:val="both"/>
      </w:pPr>
      <w:r w:rsidRPr="008D1FB9">
        <w:t>Bycatch es</w:t>
      </w:r>
      <w:r>
        <w:t>timates from other non-directed crab fisheries have been updated with data from 2012.</w:t>
      </w:r>
    </w:p>
    <w:p w:rsidR="00C219B9" w:rsidRPr="008D1FB9" w:rsidRDefault="00AC422C" w:rsidP="002F1A19">
      <w:pPr>
        <w:numPr>
          <w:ilvl w:val="0"/>
          <w:numId w:val="39"/>
        </w:numPr>
        <w:jc w:val="both"/>
        <w:rPr>
          <w:b/>
        </w:rPr>
      </w:pPr>
      <w:r w:rsidRPr="008D1FB9">
        <w:t>Bycatch estimates</w:t>
      </w:r>
      <w:r w:rsidR="007C6605" w:rsidRPr="008D1FB9">
        <w:t xml:space="preserve"> ha</w:t>
      </w:r>
      <w:r w:rsidRPr="008D1FB9">
        <w:t>ve</w:t>
      </w:r>
      <w:r w:rsidR="007C6605" w:rsidRPr="008D1FB9">
        <w:t xml:space="preserve"> been updated </w:t>
      </w:r>
      <w:r w:rsidRPr="008D1FB9">
        <w:t xml:space="preserve">using the data collected from groundfish fisheries during </w:t>
      </w:r>
      <w:r w:rsidR="007C6605" w:rsidRPr="008D1FB9">
        <w:t>20</w:t>
      </w:r>
      <w:r w:rsidR="001F69DA" w:rsidRPr="008D1FB9">
        <w:t>11</w:t>
      </w:r>
      <w:r w:rsidR="007C6605" w:rsidRPr="008D1FB9">
        <w:t>/1</w:t>
      </w:r>
      <w:r w:rsidR="001F69DA" w:rsidRPr="008D1FB9">
        <w:t>2</w:t>
      </w:r>
      <w:r w:rsidR="008D1FB9">
        <w:t>.</w:t>
      </w:r>
    </w:p>
    <w:p w:rsidR="000314A8" w:rsidRDefault="000314A8" w:rsidP="000314A8">
      <w:pPr>
        <w:jc w:val="both"/>
      </w:pPr>
    </w:p>
    <w:p w:rsidR="000314A8" w:rsidRDefault="007B5B81" w:rsidP="000314A8">
      <w:pPr>
        <w:numPr>
          <w:ilvl w:val="0"/>
          <w:numId w:val="5"/>
        </w:numPr>
        <w:jc w:val="both"/>
      </w:pPr>
      <w:r w:rsidRPr="00195E12">
        <w:rPr>
          <w:b/>
          <w:u w:val="single"/>
        </w:rPr>
        <w:t>Changes to the assessment methodology</w:t>
      </w:r>
      <w:r w:rsidR="00096428" w:rsidRPr="00195E12">
        <w:rPr>
          <w:b/>
        </w:rPr>
        <w:t xml:space="preserve">: </w:t>
      </w:r>
      <w:r w:rsidR="00096428" w:rsidRPr="00720A8D">
        <w:t>None</w:t>
      </w:r>
      <w:r w:rsidR="00697E6F" w:rsidRPr="00720A8D">
        <w:t>.</w:t>
      </w:r>
      <w:r w:rsidR="00195E12">
        <w:t xml:space="preserve">  This assessment follows the methodology recommended by the CPT in May 201</w:t>
      </w:r>
      <w:r w:rsidR="00854E41">
        <w:t>2</w:t>
      </w:r>
      <w:r w:rsidR="00544227">
        <w:t xml:space="preserve"> and the SSC in June 201</w:t>
      </w:r>
      <w:r w:rsidR="00854E41">
        <w:t>2</w:t>
      </w:r>
      <w:r w:rsidR="00195E12">
        <w:t>.</w:t>
      </w:r>
    </w:p>
    <w:p w:rsidR="00195E12" w:rsidRPr="00720A8D" w:rsidRDefault="00195E12" w:rsidP="00195E12">
      <w:pPr>
        <w:jc w:val="both"/>
      </w:pPr>
    </w:p>
    <w:p w:rsidR="007B5B81" w:rsidRPr="00720A8D" w:rsidRDefault="007B5B81" w:rsidP="007B5B81">
      <w:pPr>
        <w:numPr>
          <w:ilvl w:val="0"/>
          <w:numId w:val="5"/>
        </w:numPr>
        <w:jc w:val="both"/>
        <w:rPr>
          <w:b/>
        </w:rPr>
      </w:pPr>
      <w:r w:rsidRPr="00720A8D">
        <w:rPr>
          <w:b/>
          <w:u w:val="single"/>
        </w:rPr>
        <w:lastRenderedPageBreak/>
        <w:t>Changes to the assessment results, including projected biomass, TAC/GHL, total catch (including discard mortality in all fisheries and retained catch), and OFL</w:t>
      </w:r>
      <w:r w:rsidR="000314A8" w:rsidRPr="00720A8D">
        <w:rPr>
          <w:b/>
        </w:rPr>
        <w:t>:</w:t>
      </w:r>
    </w:p>
    <w:p w:rsidR="00B66F77" w:rsidRDefault="00651EBC" w:rsidP="002F1A19">
      <w:pPr>
        <w:numPr>
          <w:ilvl w:val="0"/>
          <w:numId w:val="15"/>
        </w:numPr>
        <w:tabs>
          <w:tab w:val="num" w:pos="720"/>
        </w:tabs>
        <w:ind w:left="720"/>
        <w:jc w:val="both"/>
      </w:pPr>
      <w:r w:rsidRPr="00720A8D">
        <w:t>The OFL</w:t>
      </w:r>
      <w:r w:rsidR="00A95DF3">
        <w:t>s</w:t>
      </w:r>
      <w:r w:rsidRPr="00720A8D">
        <w:t xml:space="preserve"> for </w:t>
      </w:r>
      <w:r w:rsidR="00A95DF3">
        <w:t xml:space="preserve">2009 and </w:t>
      </w:r>
      <w:r w:rsidR="00A3584B">
        <w:t xml:space="preserve">2010 </w:t>
      </w:r>
      <w:r w:rsidR="00A95DF3">
        <w:t xml:space="preserve">were both </w:t>
      </w:r>
      <w:r w:rsidR="00F669C3">
        <w:t xml:space="preserve">established </w:t>
      </w:r>
      <w:r w:rsidR="00424955">
        <w:t xml:space="preserve">as </w:t>
      </w:r>
      <w:r w:rsidR="00F669C3">
        <w:t>retained-catch OFL</w:t>
      </w:r>
      <w:r w:rsidR="00A95DF3">
        <w:t>s</w:t>
      </w:r>
      <w:r w:rsidR="00F669C3">
        <w:t xml:space="preserve"> of </w:t>
      </w:r>
      <w:r w:rsidRPr="00720A8D">
        <w:t>0.</w:t>
      </w:r>
      <w:r w:rsidR="00E953CA" w:rsidRPr="00720A8D">
        <w:t>17</w:t>
      </w:r>
      <w:r w:rsidR="00721CF0">
        <w:t>-million pounds</w:t>
      </w:r>
      <w:r w:rsidR="00A95DF3">
        <w:t xml:space="preserve">. The 2009 OFL </w:t>
      </w:r>
      <w:r w:rsidRPr="00720A8D">
        <w:t xml:space="preserve">was estimated by the average annual retained catch for the period </w:t>
      </w:r>
      <w:r w:rsidR="00E953CA" w:rsidRPr="00720A8D">
        <w:t>1993–199</w:t>
      </w:r>
      <w:r w:rsidR="00A95DF3">
        <w:t>9, whereas the 20</w:t>
      </w:r>
      <w:r w:rsidR="00703C7C">
        <w:t>10</w:t>
      </w:r>
      <w:r w:rsidR="00A95DF3">
        <w:t xml:space="preserve"> OFL </w:t>
      </w:r>
      <w:r w:rsidR="00A95DF3" w:rsidRPr="00720A8D">
        <w:t xml:space="preserve">was estimated by the average annual retained catch for the period </w:t>
      </w:r>
      <w:r w:rsidR="00A95DF3">
        <w:t>1993–1998</w:t>
      </w:r>
      <w:r w:rsidR="003B6E82">
        <w:t xml:space="preserve">; in 2009 the CPT and </w:t>
      </w:r>
      <w:r w:rsidR="0060352A">
        <w:t xml:space="preserve">SSC recommended removing </w:t>
      </w:r>
      <w:r w:rsidR="003B6E82">
        <w:t>1999 from the period for computing retained catch because 1999 was the first year that a GHL was established for the fishery</w:t>
      </w:r>
      <w:r w:rsidRPr="00720A8D">
        <w:t xml:space="preserve">.  </w:t>
      </w:r>
    </w:p>
    <w:p w:rsidR="00F669C3" w:rsidRDefault="00651EBC" w:rsidP="002F1A19">
      <w:pPr>
        <w:numPr>
          <w:ilvl w:val="0"/>
          <w:numId w:val="15"/>
        </w:numPr>
        <w:tabs>
          <w:tab w:val="num" w:pos="720"/>
        </w:tabs>
        <w:ind w:left="720"/>
        <w:jc w:val="both"/>
      </w:pPr>
      <w:r w:rsidRPr="00720A8D">
        <w:t xml:space="preserve">The </w:t>
      </w:r>
      <w:r w:rsidR="00F669C3">
        <w:t xml:space="preserve">OFL </w:t>
      </w:r>
      <w:r w:rsidR="00E953CA" w:rsidRPr="00720A8D">
        <w:t>for 20</w:t>
      </w:r>
      <w:r w:rsidR="00A3584B">
        <w:t>11</w:t>
      </w:r>
      <w:r w:rsidRPr="00720A8D">
        <w:t xml:space="preserve"> </w:t>
      </w:r>
      <w:r w:rsidR="00F669C3">
        <w:t xml:space="preserve">was established as a total-catch OFL of 0.18-million pounds and was estimated as the </w:t>
      </w:r>
      <w:r w:rsidRPr="00720A8D">
        <w:t xml:space="preserve">average retained catch </w:t>
      </w:r>
      <w:r w:rsidR="00DB1A71">
        <w:t xml:space="preserve">(including </w:t>
      </w:r>
      <w:proofErr w:type="spellStart"/>
      <w:r w:rsidR="00DB1A71">
        <w:t>deadloss</w:t>
      </w:r>
      <w:proofErr w:type="spellEnd"/>
      <w:r w:rsidR="00DB1A71">
        <w:t xml:space="preserve">) </w:t>
      </w:r>
      <w:r w:rsidRPr="00720A8D">
        <w:t>for the period 19</w:t>
      </w:r>
      <w:r w:rsidR="00E953CA" w:rsidRPr="00720A8D">
        <w:t>93–1998</w:t>
      </w:r>
      <w:r w:rsidR="00F669C3">
        <w:t xml:space="preserve"> times 1.05 plus 0.006-million pounds; i.e.,</w:t>
      </w:r>
    </w:p>
    <w:p w:rsidR="00F669C3" w:rsidRDefault="00F669C3" w:rsidP="00F669C3">
      <w:pPr>
        <w:ind w:left="720"/>
        <w:jc w:val="both"/>
      </w:pPr>
    </w:p>
    <w:p w:rsidR="00F669C3" w:rsidRDefault="00F669C3" w:rsidP="00F669C3">
      <w:pPr>
        <w:ind w:left="360"/>
        <w:jc w:val="center"/>
      </w:pPr>
      <w:r>
        <w:t>OFL</w:t>
      </w:r>
      <w:r w:rsidRPr="00F669C3">
        <w:rPr>
          <w:vertAlign w:val="subscript"/>
        </w:rPr>
        <w:t>tot</w:t>
      </w:r>
      <w:proofErr w:type="gramStart"/>
      <w:r w:rsidRPr="00F669C3">
        <w:rPr>
          <w:vertAlign w:val="subscript"/>
        </w:rPr>
        <w:t>,2011</w:t>
      </w:r>
      <w:proofErr w:type="gramEnd"/>
      <w:r w:rsidRPr="00F669C3">
        <w:t>=</w:t>
      </w:r>
      <w:r>
        <w:t xml:space="preserve"> 1.05*OFL</w:t>
      </w:r>
      <w:r w:rsidRPr="00F669C3">
        <w:rPr>
          <w:vertAlign w:val="subscript"/>
        </w:rPr>
        <w:t>ret,1993-1998</w:t>
      </w:r>
      <w:r>
        <w:t xml:space="preserve"> + 0.006-million</w:t>
      </w:r>
      <w:r w:rsidR="00F8104A">
        <w:t xml:space="preserve"> pounds</w:t>
      </w:r>
      <w:r>
        <w:t>.</w:t>
      </w:r>
    </w:p>
    <w:p w:rsidR="00651EBC" w:rsidRDefault="00651EBC" w:rsidP="00F669C3">
      <w:pPr>
        <w:ind w:left="720"/>
        <w:jc w:val="both"/>
      </w:pPr>
    </w:p>
    <w:p w:rsidR="00F669C3" w:rsidRDefault="00BD17FF" w:rsidP="00F669C3">
      <w:pPr>
        <w:ind w:left="720"/>
        <w:jc w:val="both"/>
      </w:pPr>
      <w:r w:rsidRPr="00BD17FF">
        <w:t>OFL</w:t>
      </w:r>
      <w:r w:rsidRPr="00BD17FF">
        <w:rPr>
          <w:vertAlign w:val="subscript"/>
        </w:rPr>
        <w:t>ret</w:t>
      </w:r>
      <w:proofErr w:type="gramStart"/>
      <w:r w:rsidRPr="00BD17FF">
        <w:rPr>
          <w:vertAlign w:val="subscript"/>
        </w:rPr>
        <w:t>,1993</w:t>
      </w:r>
      <w:proofErr w:type="gramEnd"/>
      <w:r w:rsidRPr="00BD17FF">
        <w:rPr>
          <w:vertAlign w:val="subscript"/>
        </w:rPr>
        <w:t xml:space="preserve">-1998 </w:t>
      </w:r>
      <w:r w:rsidRPr="00BD17FF">
        <w:t>is the average annual retained catch in the directed fishery during 1993–1998.</w:t>
      </w:r>
      <w:r>
        <w:t xml:space="preserve"> </w:t>
      </w:r>
      <w:r w:rsidR="00F669C3">
        <w:t>The factor of 1.05 w</w:t>
      </w:r>
      <w:r w:rsidR="005A0B52">
        <w:t>a</w:t>
      </w:r>
      <w:r w:rsidR="00F669C3">
        <w:t>s used to account for the crab bycatch mortality in the</w:t>
      </w:r>
      <w:r w:rsidR="00955685">
        <w:t xml:space="preserve"> directed crab fishery and 0.00</w:t>
      </w:r>
      <w:r w:rsidR="00F669C3">
        <w:t>6-million pounds was used to account for the “background level” of bycatch mortality occurring in the groundfish and non-directed crab fisheries</w:t>
      </w:r>
      <w:r w:rsidR="00961912">
        <w:t>, estimated by the average annual bycatch mortality using data available</w:t>
      </w:r>
      <w:r w:rsidR="004B65AC">
        <w:t>; 2001–2005 for crab fisheries and 1991/92–2008/09 for groundfish fisheries</w:t>
      </w:r>
      <w:r w:rsidR="00961912">
        <w:t>.</w:t>
      </w:r>
    </w:p>
    <w:p w:rsidR="00D507CB" w:rsidRDefault="00B66F77" w:rsidP="002F1A19">
      <w:pPr>
        <w:numPr>
          <w:ilvl w:val="0"/>
          <w:numId w:val="33"/>
        </w:numPr>
        <w:jc w:val="both"/>
      </w:pPr>
      <w:r w:rsidRPr="00720A8D">
        <w:t xml:space="preserve">The </w:t>
      </w:r>
      <w:r w:rsidR="00544227">
        <w:t>OFL</w:t>
      </w:r>
      <w:r w:rsidR="0020111F">
        <w:t>s</w:t>
      </w:r>
      <w:r w:rsidR="00FA138E">
        <w:t xml:space="preserve"> </w:t>
      </w:r>
      <w:r w:rsidRPr="00720A8D">
        <w:t>for 20</w:t>
      </w:r>
      <w:r>
        <w:t>12</w:t>
      </w:r>
      <w:r w:rsidRPr="00720A8D">
        <w:t xml:space="preserve"> </w:t>
      </w:r>
      <w:r w:rsidR="0020111F">
        <w:t xml:space="preserve">and 2013 </w:t>
      </w:r>
      <w:r w:rsidR="00544227">
        <w:t>w</w:t>
      </w:r>
      <w:r w:rsidR="0020111F">
        <w:t>ere</w:t>
      </w:r>
      <w:r>
        <w:t xml:space="preserve"> </w:t>
      </w:r>
      <w:r w:rsidR="0020111F">
        <w:t xml:space="preserve">each </w:t>
      </w:r>
      <w:r>
        <w:t xml:space="preserve">a total-catch OFL of </w:t>
      </w:r>
      <w:r w:rsidR="00721CF0" w:rsidRPr="002E1309">
        <w:t>0.</w:t>
      </w:r>
      <w:r w:rsidR="002E1309" w:rsidRPr="002E1309">
        <w:t>20</w:t>
      </w:r>
      <w:r w:rsidR="00721CF0" w:rsidRPr="002E1309">
        <w:t>-million pounds</w:t>
      </w:r>
      <w:r>
        <w:t xml:space="preserve"> and w</w:t>
      </w:r>
      <w:r w:rsidR="0020111F">
        <w:t>ere</w:t>
      </w:r>
      <w:r>
        <w:t xml:space="preserve"> estimated </w:t>
      </w:r>
      <w:r w:rsidR="00D507CB">
        <w:t>using 1993–1998 to compute average annual retained catch, an estimate of pounds of bycatch mortality per pound of retained catch during the directed fishery, an estimate of the average annual bycatch mortality due to non-directed crab fisheries during 1994–1998 and an estimate of average annual bycatch mortality due to groundfish fisheries during 1992/93–1998/99; i.e.,</w:t>
      </w:r>
    </w:p>
    <w:p w:rsidR="00D507CB" w:rsidRDefault="00D507CB" w:rsidP="00D507CB">
      <w:pPr>
        <w:jc w:val="both"/>
      </w:pPr>
    </w:p>
    <w:p w:rsidR="00D507CB" w:rsidRDefault="00D507CB" w:rsidP="00D507CB">
      <w:pPr>
        <w:ind w:left="720"/>
        <w:jc w:val="both"/>
        <w:rPr>
          <w:vertAlign w:val="subscript"/>
        </w:rPr>
      </w:pPr>
      <w:proofErr w:type="gramStart"/>
      <w:r>
        <w:t>OFL</w:t>
      </w:r>
      <w:r w:rsidR="00FA138E">
        <w:rPr>
          <w:vertAlign w:val="subscript"/>
        </w:rPr>
        <w:t>TOT(</w:t>
      </w:r>
      <w:proofErr w:type="gramEnd"/>
      <w:r w:rsidR="00FA138E">
        <w:rPr>
          <w:vertAlign w:val="subscript"/>
        </w:rPr>
        <w:t>1)</w:t>
      </w:r>
      <w:r w:rsidRPr="00F669C3">
        <w:rPr>
          <w:vertAlign w:val="subscript"/>
        </w:rPr>
        <w:t>,201</w:t>
      </w:r>
      <w:r w:rsidR="0020111F">
        <w:rPr>
          <w:vertAlign w:val="subscript"/>
        </w:rPr>
        <w:t>3</w:t>
      </w:r>
      <w:r w:rsidRPr="00F669C3">
        <w:t>=</w:t>
      </w:r>
      <w:r>
        <w:t xml:space="preserve"> (1+R</w:t>
      </w:r>
      <w:r w:rsidRPr="002163C7">
        <w:rPr>
          <w:vertAlign w:val="subscript"/>
        </w:rPr>
        <w:t>2001–2010</w:t>
      </w:r>
      <w:r>
        <w:t>)*RET</w:t>
      </w:r>
      <w:r w:rsidRPr="003D1A03">
        <w:rPr>
          <w:vertAlign w:val="subscript"/>
        </w:rPr>
        <w:t>1993-1998</w:t>
      </w:r>
      <w:r>
        <w:t xml:space="preserve"> + BM</w:t>
      </w:r>
      <w:r w:rsidRPr="009072CA">
        <w:rPr>
          <w:vertAlign w:val="subscript"/>
        </w:rPr>
        <w:t>NC,1994-1998</w:t>
      </w:r>
      <w:r>
        <w:t xml:space="preserve"> + BM</w:t>
      </w:r>
      <w:r w:rsidRPr="009072CA">
        <w:rPr>
          <w:vertAlign w:val="subscript"/>
        </w:rPr>
        <w:t>GF,1992/93–1998/99</w:t>
      </w:r>
      <w:r>
        <w:rPr>
          <w:vertAlign w:val="subscript"/>
        </w:rPr>
        <w:t>,</w:t>
      </w:r>
    </w:p>
    <w:p w:rsidR="00D507CB" w:rsidRDefault="00D507CB" w:rsidP="00D507CB">
      <w:pPr>
        <w:jc w:val="both"/>
        <w:rPr>
          <w:vertAlign w:val="subscript"/>
        </w:rPr>
      </w:pPr>
    </w:p>
    <w:p w:rsidR="00D507CB" w:rsidRDefault="00D507CB" w:rsidP="00D507CB">
      <w:pPr>
        <w:ind w:left="720"/>
        <w:jc w:val="both"/>
      </w:pPr>
      <w:proofErr w:type="gramStart"/>
      <w:r>
        <w:t>w</w:t>
      </w:r>
      <w:r w:rsidRPr="009072CA">
        <w:t>here</w:t>
      </w:r>
      <w:proofErr w:type="gramEnd"/>
      <w:r>
        <w:t>,</w:t>
      </w:r>
      <w:r w:rsidRPr="009072CA">
        <w:t xml:space="preserve"> </w:t>
      </w:r>
    </w:p>
    <w:p w:rsidR="00D507CB" w:rsidRDefault="00D507CB" w:rsidP="002F1A19">
      <w:pPr>
        <w:numPr>
          <w:ilvl w:val="0"/>
          <w:numId w:val="32"/>
        </w:numPr>
        <w:ind w:left="1440"/>
        <w:jc w:val="both"/>
      </w:pPr>
      <w:r>
        <w:t>R</w:t>
      </w:r>
      <w:r w:rsidRPr="002163C7">
        <w:rPr>
          <w:vertAlign w:val="subscript"/>
        </w:rPr>
        <w:t>2001–2010</w:t>
      </w:r>
      <w:r>
        <w:t xml:space="preserve"> is the average of the estimated annual ratio of pounds of bycatch mortality to pounds of retained in the directed fishery during 2001–2010</w:t>
      </w:r>
    </w:p>
    <w:p w:rsidR="00D507CB" w:rsidRDefault="00D507CB" w:rsidP="002F1A19">
      <w:pPr>
        <w:numPr>
          <w:ilvl w:val="0"/>
          <w:numId w:val="32"/>
        </w:numPr>
        <w:ind w:left="1440"/>
        <w:jc w:val="both"/>
      </w:pPr>
      <w:r>
        <w:t>RET</w:t>
      </w:r>
      <w:r w:rsidRPr="003D1A03">
        <w:rPr>
          <w:vertAlign w:val="subscript"/>
        </w:rPr>
        <w:t>1993-1998</w:t>
      </w:r>
      <w:r>
        <w:rPr>
          <w:vertAlign w:val="subscript"/>
        </w:rPr>
        <w:t xml:space="preserve"> </w:t>
      </w:r>
      <w:r>
        <w:t>is the average annual retained catch in the directed crab fishery during 1993–1998</w:t>
      </w:r>
    </w:p>
    <w:p w:rsidR="00D507CB" w:rsidRDefault="00D507CB" w:rsidP="002F1A19">
      <w:pPr>
        <w:numPr>
          <w:ilvl w:val="0"/>
          <w:numId w:val="32"/>
        </w:numPr>
        <w:ind w:left="1440"/>
        <w:jc w:val="both"/>
      </w:pPr>
      <w:r>
        <w:t>BM</w:t>
      </w:r>
      <w:r w:rsidRPr="009072CA">
        <w:rPr>
          <w:vertAlign w:val="subscript"/>
        </w:rPr>
        <w:t>NC,1994-1998</w:t>
      </w:r>
      <w:r>
        <w:rPr>
          <w:vertAlign w:val="subscript"/>
        </w:rPr>
        <w:t xml:space="preserve"> </w:t>
      </w:r>
      <w:r>
        <w:t>is the estimated average annual bycatch mortality in non-directed crab fisheries during 1994–1998</w:t>
      </w:r>
    </w:p>
    <w:p w:rsidR="00B66F77" w:rsidRDefault="00D507CB" w:rsidP="002F1A19">
      <w:pPr>
        <w:numPr>
          <w:ilvl w:val="0"/>
          <w:numId w:val="15"/>
        </w:numPr>
        <w:tabs>
          <w:tab w:val="num" w:pos="1440"/>
        </w:tabs>
        <w:ind w:left="1440"/>
        <w:jc w:val="both"/>
      </w:pPr>
      <w:r>
        <w:t>BM</w:t>
      </w:r>
      <w:r w:rsidRPr="009072CA">
        <w:rPr>
          <w:vertAlign w:val="subscript"/>
        </w:rPr>
        <w:t>GF</w:t>
      </w:r>
      <w:proofErr w:type="gramStart"/>
      <w:r w:rsidRPr="009072CA">
        <w:rPr>
          <w:vertAlign w:val="subscript"/>
        </w:rPr>
        <w:t>,1992</w:t>
      </w:r>
      <w:proofErr w:type="gramEnd"/>
      <w:r w:rsidRPr="009072CA">
        <w:rPr>
          <w:vertAlign w:val="subscript"/>
        </w:rPr>
        <w:t>/93–1998/99</w:t>
      </w:r>
      <w:r>
        <w:rPr>
          <w:vertAlign w:val="subscript"/>
        </w:rPr>
        <w:t xml:space="preserve"> </w:t>
      </w:r>
      <w:r>
        <w:t>is the estimated average annual bycatch mortality in groundfish fisheries during 1992/93–1998/99.</w:t>
      </w:r>
    </w:p>
    <w:p w:rsidR="00013DA7" w:rsidRDefault="00013DA7" w:rsidP="00013DA7">
      <w:pPr>
        <w:jc w:val="both"/>
      </w:pPr>
    </w:p>
    <w:p w:rsidR="00013DA7" w:rsidRPr="00720A8D" w:rsidRDefault="00013DA7" w:rsidP="002215DB">
      <w:pPr>
        <w:numPr>
          <w:ilvl w:val="0"/>
          <w:numId w:val="15"/>
        </w:numPr>
        <w:tabs>
          <w:tab w:val="clear" w:pos="2880"/>
          <w:tab w:val="num" w:pos="720"/>
        </w:tabs>
        <w:ind w:left="720"/>
        <w:jc w:val="both"/>
      </w:pPr>
      <w:r w:rsidRPr="00720A8D">
        <w:t xml:space="preserve">The </w:t>
      </w:r>
      <w:r>
        <w:t xml:space="preserve">recommended </w:t>
      </w:r>
      <w:r w:rsidR="0020111F">
        <w:t xml:space="preserve">Tier 5 </w:t>
      </w:r>
      <w:r>
        <w:t xml:space="preserve">OFL </w:t>
      </w:r>
      <w:r w:rsidRPr="00720A8D">
        <w:t>for 20</w:t>
      </w:r>
      <w:r>
        <w:t>1</w:t>
      </w:r>
      <w:r w:rsidR="0020111F">
        <w:t>4</w:t>
      </w:r>
      <w:r w:rsidRPr="00720A8D">
        <w:t xml:space="preserve"> </w:t>
      </w:r>
      <w:r w:rsidRPr="00CF4686">
        <w:t>is a total-catch OFL of 0.20-million pounds</w:t>
      </w:r>
      <w:r w:rsidR="00CF4686">
        <w:t>, estimated by the calculations given for the 201</w:t>
      </w:r>
      <w:r w:rsidR="0020111F">
        <w:t>3</w:t>
      </w:r>
      <w:r w:rsidR="00CF4686">
        <w:t xml:space="preserve"> OFL.</w:t>
      </w:r>
    </w:p>
    <w:p w:rsidR="007B5B81" w:rsidRPr="00AB12B9" w:rsidRDefault="007B5B81" w:rsidP="007B5B81">
      <w:pPr>
        <w:pStyle w:val="Heading3"/>
        <w:jc w:val="both"/>
        <w:rPr>
          <w:sz w:val="24"/>
        </w:rPr>
      </w:pPr>
      <w:r w:rsidRPr="00AB12B9">
        <w:rPr>
          <w:sz w:val="24"/>
        </w:rPr>
        <w:t xml:space="preserve">B. </w:t>
      </w:r>
      <w:r w:rsidRPr="003822FE">
        <w:rPr>
          <w:sz w:val="24"/>
        </w:rPr>
        <w:t>Responses to SSC and CPT Comments</w:t>
      </w:r>
    </w:p>
    <w:p w:rsidR="008A7880" w:rsidRPr="00496D30" w:rsidRDefault="008A7880" w:rsidP="008A7880">
      <w:pPr>
        <w:numPr>
          <w:ilvl w:val="0"/>
          <w:numId w:val="6"/>
        </w:numPr>
        <w:jc w:val="both"/>
        <w:rPr>
          <w:b/>
        </w:rPr>
      </w:pPr>
      <w:r w:rsidRPr="00F02729">
        <w:rPr>
          <w:b/>
          <w:u w:val="single"/>
        </w:rPr>
        <w:t>Res</w:t>
      </w:r>
      <w:r w:rsidRPr="00496D30">
        <w:rPr>
          <w:b/>
          <w:u w:val="single"/>
        </w:rPr>
        <w:t>ponses to the most recent two sets of SSC and CPT comments on assessments in general</w:t>
      </w:r>
      <w:r>
        <w:rPr>
          <w:b/>
          <w:u w:val="single"/>
        </w:rPr>
        <w:t xml:space="preserve"> (and relevant to this assessment)</w:t>
      </w:r>
      <w:r w:rsidRPr="00496D30">
        <w:rPr>
          <w:b/>
        </w:rPr>
        <w:t>:</w:t>
      </w:r>
    </w:p>
    <w:p w:rsidR="008A7880" w:rsidRPr="00CE660D" w:rsidRDefault="008A7880" w:rsidP="002F1A19">
      <w:pPr>
        <w:numPr>
          <w:ilvl w:val="0"/>
          <w:numId w:val="35"/>
        </w:numPr>
        <w:autoSpaceDE w:val="0"/>
        <w:autoSpaceDN w:val="0"/>
        <w:adjustRightInd w:val="0"/>
        <w:ind w:left="1080"/>
        <w:jc w:val="both"/>
      </w:pPr>
      <w:proofErr w:type="gramStart"/>
      <w:r w:rsidRPr="00CE660D">
        <w:rPr>
          <w:u w:val="single"/>
        </w:rPr>
        <w:t>CPT,</w:t>
      </w:r>
      <w:proofErr w:type="gramEnd"/>
      <w:r w:rsidRPr="00CE660D">
        <w:rPr>
          <w:u w:val="single"/>
        </w:rPr>
        <w:t xml:space="preserve"> May 201</w:t>
      </w:r>
      <w:r w:rsidR="00A27D09">
        <w:rPr>
          <w:u w:val="single"/>
        </w:rPr>
        <w:t>2</w:t>
      </w:r>
      <w:r>
        <w:t>:  None.</w:t>
      </w:r>
    </w:p>
    <w:p w:rsidR="008A7880" w:rsidRPr="00CE660D" w:rsidRDefault="008A7880" w:rsidP="002F1A19">
      <w:pPr>
        <w:numPr>
          <w:ilvl w:val="0"/>
          <w:numId w:val="14"/>
        </w:numPr>
        <w:tabs>
          <w:tab w:val="clear" w:pos="720"/>
          <w:tab w:val="num" w:pos="1080"/>
        </w:tabs>
        <w:autoSpaceDE w:val="0"/>
        <w:autoSpaceDN w:val="0"/>
        <w:adjustRightInd w:val="0"/>
        <w:ind w:left="1080"/>
        <w:jc w:val="both"/>
      </w:pPr>
      <w:r w:rsidRPr="00CE660D">
        <w:rPr>
          <w:u w:val="single"/>
        </w:rPr>
        <w:t>SSC, June 201</w:t>
      </w:r>
      <w:r w:rsidR="00587E47">
        <w:rPr>
          <w:u w:val="single"/>
        </w:rPr>
        <w:t>2</w:t>
      </w:r>
      <w:r w:rsidRPr="00CE660D">
        <w:t>:</w:t>
      </w:r>
      <w:r>
        <w:t xml:space="preserve">  None.</w:t>
      </w:r>
    </w:p>
    <w:p w:rsidR="004C232F" w:rsidRPr="00FF47DE" w:rsidRDefault="008A7880" w:rsidP="004C232F">
      <w:pPr>
        <w:numPr>
          <w:ilvl w:val="0"/>
          <w:numId w:val="14"/>
        </w:numPr>
        <w:tabs>
          <w:tab w:val="clear" w:pos="720"/>
          <w:tab w:val="num" w:pos="1080"/>
          <w:tab w:val="num" w:pos="1800"/>
        </w:tabs>
        <w:autoSpaceDE w:val="0"/>
        <w:autoSpaceDN w:val="0"/>
        <w:adjustRightInd w:val="0"/>
        <w:ind w:left="1080"/>
        <w:jc w:val="both"/>
        <w:rPr>
          <w:sz w:val="22"/>
          <w:szCs w:val="22"/>
          <w:lang w:val="en-US" w:eastAsia="en-US"/>
        </w:rPr>
      </w:pPr>
      <w:r w:rsidRPr="00FF47DE">
        <w:rPr>
          <w:u w:val="single"/>
        </w:rPr>
        <w:t>CPT, September 201</w:t>
      </w:r>
      <w:r w:rsidR="00587E47" w:rsidRPr="00FF47DE">
        <w:rPr>
          <w:u w:val="single"/>
        </w:rPr>
        <w:t>2</w:t>
      </w:r>
      <w:r w:rsidRPr="00FF47DE">
        <w:rPr>
          <w:u w:val="single"/>
        </w:rPr>
        <w:t xml:space="preserve"> (via Sept 201</w:t>
      </w:r>
      <w:r w:rsidR="008D16B8" w:rsidRPr="00FF47DE">
        <w:rPr>
          <w:u w:val="single"/>
        </w:rPr>
        <w:t>2</w:t>
      </w:r>
      <w:r w:rsidRPr="00FF47DE">
        <w:rPr>
          <w:u w:val="single"/>
        </w:rPr>
        <w:t xml:space="preserve"> SAFE)</w:t>
      </w:r>
      <w:r w:rsidRPr="00FF47DE">
        <w:t xml:space="preserve">: </w:t>
      </w:r>
    </w:p>
    <w:p w:rsidR="008A7880" w:rsidRPr="007E789C" w:rsidRDefault="008A7880" w:rsidP="004C232F">
      <w:pPr>
        <w:numPr>
          <w:ilvl w:val="3"/>
          <w:numId w:val="14"/>
        </w:numPr>
        <w:autoSpaceDE w:val="0"/>
        <w:autoSpaceDN w:val="0"/>
        <w:adjustRightInd w:val="0"/>
        <w:jc w:val="both"/>
        <w:rPr>
          <w:i/>
          <w:sz w:val="22"/>
          <w:szCs w:val="22"/>
          <w:lang w:val="en-US" w:eastAsia="en-US"/>
        </w:rPr>
      </w:pPr>
      <w:r w:rsidRPr="00FF47DE">
        <w:rPr>
          <w:i/>
        </w:rPr>
        <w:t>“</w:t>
      </w:r>
      <w:r w:rsidR="004C232F" w:rsidRPr="00FF47DE">
        <w:rPr>
          <w:i/>
          <w:sz w:val="22"/>
          <w:szCs w:val="22"/>
          <w:lang w:val="en-US" w:eastAsia="en-US"/>
        </w:rPr>
        <w:t xml:space="preserve">The team recommends that all assessment authors document assumptions and simulate data under those assumptions to test the ability of the model to estimate key </w:t>
      </w:r>
      <w:r w:rsidR="004C232F" w:rsidRPr="00FF47DE">
        <w:rPr>
          <w:i/>
          <w:sz w:val="22"/>
          <w:szCs w:val="22"/>
          <w:lang w:val="en-US" w:eastAsia="en-US"/>
        </w:rPr>
        <w:lastRenderedPageBreak/>
        <w:t xml:space="preserve">parameters in an unbiased manner. These simulations would be used to demonstrate </w:t>
      </w:r>
      <w:r w:rsidR="004C232F" w:rsidRPr="007E789C">
        <w:rPr>
          <w:i/>
          <w:sz w:val="22"/>
          <w:szCs w:val="22"/>
          <w:lang w:val="en-US" w:eastAsia="en-US"/>
        </w:rPr>
        <w:t>precision and bias in estimated model parameters.</w:t>
      </w:r>
      <w:r w:rsidRPr="007E789C">
        <w:rPr>
          <w:i/>
        </w:rPr>
        <w:t>”</w:t>
      </w:r>
    </w:p>
    <w:p w:rsidR="008A7880" w:rsidRPr="007E789C" w:rsidRDefault="008A7880" w:rsidP="000F6C50">
      <w:pPr>
        <w:numPr>
          <w:ilvl w:val="4"/>
          <w:numId w:val="42"/>
        </w:numPr>
        <w:tabs>
          <w:tab w:val="clear" w:pos="3600"/>
        </w:tabs>
        <w:ind w:left="1800"/>
        <w:jc w:val="both"/>
      </w:pPr>
      <w:r w:rsidRPr="007E789C">
        <w:rPr>
          <w:u w:val="single"/>
        </w:rPr>
        <w:t>Response</w:t>
      </w:r>
      <w:r w:rsidRPr="007E789C">
        <w:t xml:space="preserve">:  </w:t>
      </w:r>
      <w:r w:rsidR="007E789C" w:rsidRPr="007E789C">
        <w:t>Not applicable for Tier 5 assessment.</w:t>
      </w:r>
    </w:p>
    <w:p w:rsidR="008A7880" w:rsidRPr="00FF47DE" w:rsidRDefault="008A7880" w:rsidP="004C232F">
      <w:pPr>
        <w:pStyle w:val="ListParagraph"/>
        <w:numPr>
          <w:ilvl w:val="2"/>
          <w:numId w:val="42"/>
        </w:numPr>
        <w:autoSpaceDE w:val="0"/>
        <w:autoSpaceDN w:val="0"/>
        <w:adjustRightInd w:val="0"/>
        <w:jc w:val="both"/>
        <w:rPr>
          <w:i/>
        </w:rPr>
      </w:pPr>
      <w:r w:rsidRPr="007E789C">
        <w:rPr>
          <w:i/>
        </w:rPr>
        <w:t>“</w:t>
      </w:r>
      <w:r w:rsidR="004C232F" w:rsidRPr="007E789C">
        <w:rPr>
          <w:i/>
          <w:sz w:val="22"/>
          <w:szCs w:val="22"/>
          <w:lang w:val="en-US" w:eastAsia="en-US"/>
        </w:rPr>
        <w:t>The</w:t>
      </w:r>
      <w:r w:rsidR="004C232F" w:rsidRPr="00FF47DE">
        <w:rPr>
          <w:i/>
          <w:sz w:val="22"/>
          <w:szCs w:val="22"/>
          <w:lang w:val="en-US" w:eastAsia="en-US"/>
        </w:rPr>
        <w:t xml:space="preserve"> CPT recommends the listing of </w:t>
      </w:r>
      <w:proofErr w:type="spellStart"/>
      <w:r w:rsidR="004C232F" w:rsidRPr="00FF47DE">
        <w:rPr>
          <w:i/>
          <w:sz w:val="22"/>
          <w:szCs w:val="22"/>
          <w:lang w:val="en-US" w:eastAsia="en-US"/>
        </w:rPr>
        <w:t>sigmas</w:t>
      </w:r>
      <w:proofErr w:type="spellEnd"/>
      <w:r w:rsidR="004C232F" w:rsidRPr="00FF47DE">
        <w:rPr>
          <w:i/>
          <w:sz w:val="22"/>
          <w:szCs w:val="22"/>
          <w:lang w:val="en-US" w:eastAsia="en-US"/>
        </w:rPr>
        <w:t xml:space="preserve"> instead of absolute weights as being more informative for factors such as L</w:t>
      </w:r>
      <w:r w:rsidR="004C232F" w:rsidRPr="00FF47DE">
        <w:rPr>
          <w:i/>
          <w:sz w:val="14"/>
          <w:szCs w:val="14"/>
          <w:lang w:val="en-US" w:eastAsia="en-US"/>
        </w:rPr>
        <w:t xml:space="preserve">50 </w:t>
      </w:r>
      <w:r w:rsidR="004C232F" w:rsidRPr="00FF47DE">
        <w:rPr>
          <w:i/>
          <w:sz w:val="22"/>
          <w:szCs w:val="22"/>
          <w:lang w:val="en-US" w:eastAsia="en-US"/>
        </w:rPr>
        <w:t>and β. Also, the team recommends specifying weights for the penalties on L</w:t>
      </w:r>
      <w:r w:rsidR="004C232F" w:rsidRPr="00FF47DE">
        <w:rPr>
          <w:i/>
          <w:sz w:val="14"/>
          <w:szCs w:val="14"/>
          <w:lang w:val="en-US" w:eastAsia="en-US"/>
        </w:rPr>
        <w:t xml:space="preserve">50 </w:t>
      </w:r>
      <w:r w:rsidR="004C232F" w:rsidRPr="00FF47DE">
        <w:rPr>
          <w:i/>
          <w:sz w:val="22"/>
          <w:szCs w:val="22"/>
          <w:lang w:val="en-US" w:eastAsia="en-US"/>
        </w:rPr>
        <w:t>and from the standard errors from the analysis on which the estimates for these parameters were based.”</w:t>
      </w:r>
    </w:p>
    <w:p w:rsidR="008A7880" w:rsidRPr="00FF47DE" w:rsidRDefault="008A7880" w:rsidP="000E077E">
      <w:pPr>
        <w:numPr>
          <w:ilvl w:val="3"/>
          <w:numId w:val="43"/>
        </w:numPr>
        <w:tabs>
          <w:tab w:val="clear" w:pos="1440"/>
          <w:tab w:val="num" w:pos="1800"/>
        </w:tabs>
        <w:ind w:left="1800"/>
        <w:jc w:val="both"/>
      </w:pPr>
      <w:r w:rsidRPr="00FF47DE">
        <w:rPr>
          <w:u w:val="single"/>
        </w:rPr>
        <w:t>Response</w:t>
      </w:r>
      <w:r w:rsidRPr="00FF47DE">
        <w:t xml:space="preserve">: </w:t>
      </w:r>
      <w:r w:rsidR="004C232F" w:rsidRPr="00FF47DE">
        <w:t>Not applicable for Tier 5 assessment</w:t>
      </w:r>
      <w:r w:rsidRPr="00FF47DE">
        <w:t>.</w:t>
      </w:r>
    </w:p>
    <w:p w:rsidR="000E077E" w:rsidRPr="00FF47DE" w:rsidRDefault="000E077E" w:rsidP="000E077E">
      <w:pPr>
        <w:pStyle w:val="ListParagraph"/>
        <w:numPr>
          <w:ilvl w:val="3"/>
          <w:numId w:val="43"/>
        </w:numPr>
        <w:autoSpaceDE w:val="0"/>
        <w:autoSpaceDN w:val="0"/>
        <w:adjustRightInd w:val="0"/>
        <w:jc w:val="both"/>
        <w:rPr>
          <w:i/>
        </w:rPr>
      </w:pPr>
      <w:r w:rsidRPr="00FF47DE">
        <w:rPr>
          <w:i/>
          <w:sz w:val="22"/>
          <w:szCs w:val="22"/>
          <w:lang w:val="en-US" w:eastAsia="en-US"/>
        </w:rPr>
        <w:t>“The team requests all authors to consult the Guidelines for SAFE preparation and to follow the Terms of Reference as listed therein as applicable by individual assessment for both content and diagnostics.”</w:t>
      </w:r>
    </w:p>
    <w:p w:rsidR="000E077E" w:rsidRPr="00FF47DE" w:rsidRDefault="000E077E" w:rsidP="000E077E">
      <w:pPr>
        <w:numPr>
          <w:ilvl w:val="3"/>
          <w:numId w:val="43"/>
        </w:numPr>
        <w:tabs>
          <w:tab w:val="clear" w:pos="1440"/>
          <w:tab w:val="num" w:pos="1800"/>
        </w:tabs>
        <w:ind w:left="1800"/>
        <w:jc w:val="both"/>
      </w:pPr>
      <w:r w:rsidRPr="00FF47DE">
        <w:rPr>
          <w:u w:val="single"/>
        </w:rPr>
        <w:t>Response</w:t>
      </w:r>
      <w:r w:rsidRPr="00FF47DE">
        <w:t>: Guidelines for SAFE preparation as supplied in 26 July 2012 email from the CPT chair were consulted and followed.</w:t>
      </w:r>
    </w:p>
    <w:p w:rsidR="000E077E" w:rsidRPr="00FF47DE" w:rsidRDefault="000E077E" w:rsidP="000E077E">
      <w:pPr>
        <w:pStyle w:val="ListParagraph"/>
        <w:numPr>
          <w:ilvl w:val="3"/>
          <w:numId w:val="43"/>
        </w:numPr>
        <w:autoSpaceDE w:val="0"/>
        <w:autoSpaceDN w:val="0"/>
        <w:adjustRightInd w:val="0"/>
        <w:rPr>
          <w:i/>
        </w:rPr>
      </w:pPr>
      <w:r w:rsidRPr="00FF47DE">
        <w:rPr>
          <w:i/>
          <w:sz w:val="22"/>
          <w:szCs w:val="22"/>
          <w:lang w:val="en-US" w:eastAsia="en-US"/>
        </w:rPr>
        <w:t>“The team requests that to the extent possible assessments include a listing of the tables and figures in the assessment (i.e., Table of Tables, Table of Figures).”</w:t>
      </w:r>
    </w:p>
    <w:p w:rsidR="000E077E" w:rsidRPr="00FF47DE" w:rsidRDefault="000E077E" w:rsidP="000E077E">
      <w:pPr>
        <w:pStyle w:val="ListParagraph"/>
        <w:numPr>
          <w:ilvl w:val="3"/>
          <w:numId w:val="43"/>
        </w:numPr>
        <w:tabs>
          <w:tab w:val="clear" w:pos="1440"/>
          <w:tab w:val="num" w:pos="1800"/>
        </w:tabs>
        <w:autoSpaceDE w:val="0"/>
        <w:autoSpaceDN w:val="0"/>
        <w:adjustRightInd w:val="0"/>
        <w:ind w:left="1800"/>
        <w:rPr>
          <w:i/>
        </w:rPr>
      </w:pPr>
      <w:r w:rsidRPr="00FF47DE">
        <w:rPr>
          <w:u w:val="single"/>
        </w:rPr>
        <w:t>Response</w:t>
      </w:r>
      <w:r w:rsidRPr="00FF47DE">
        <w:t>: Listing of tables and figures is included.</w:t>
      </w:r>
    </w:p>
    <w:p w:rsidR="008A7880" w:rsidRPr="00CD74DB" w:rsidRDefault="008A7880" w:rsidP="002F1A19">
      <w:pPr>
        <w:numPr>
          <w:ilvl w:val="0"/>
          <w:numId w:val="14"/>
        </w:numPr>
        <w:tabs>
          <w:tab w:val="clear" w:pos="720"/>
          <w:tab w:val="num" w:pos="1080"/>
        </w:tabs>
        <w:autoSpaceDE w:val="0"/>
        <w:autoSpaceDN w:val="0"/>
        <w:adjustRightInd w:val="0"/>
        <w:ind w:left="1080"/>
        <w:jc w:val="both"/>
      </w:pPr>
      <w:r w:rsidRPr="00CD74DB">
        <w:rPr>
          <w:u w:val="single"/>
        </w:rPr>
        <w:t>SSC, October 201</w:t>
      </w:r>
      <w:r w:rsidR="00FF47DE">
        <w:rPr>
          <w:u w:val="single"/>
        </w:rPr>
        <w:t>2</w:t>
      </w:r>
      <w:r w:rsidRPr="00CD74DB">
        <w:t xml:space="preserve">:  </w:t>
      </w:r>
      <w:r w:rsidRPr="00FF47DE">
        <w:rPr>
          <w:i/>
        </w:rPr>
        <w:t>None</w:t>
      </w:r>
      <w:r w:rsidRPr="00CD74DB">
        <w:t>.</w:t>
      </w:r>
    </w:p>
    <w:p w:rsidR="00961B4A" w:rsidRPr="00CD74DB" w:rsidRDefault="00961B4A" w:rsidP="000314A8">
      <w:pPr>
        <w:ind w:left="720"/>
        <w:jc w:val="both"/>
      </w:pPr>
    </w:p>
    <w:p w:rsidR="00096428" w:rsidRPr="00CD74DB" w:rsidRDefault="007B5B81" w:rsidP="000314A8">
      <w:pPr>
        <w:numPr>
          <w:ilvl w:val="0"/>
          <w:numId w:val="6"/>
        </w:numPr>
        <w:jc w:val="both"/>
        <w:rPr>
          <w:b/>
        </w:rPr>
      </w:pPr>
      <w:r w:rsidRPr="00CD74DB">
        <w:rPr>
          <w:b/>
          <w:u w:val="single"/>
        </w:rPr>
        <w:t>Responses to the most recent two sets of SSC and CPT comments specific to th</w:t>
      </w:r>
      <w:r w:rsidR="00AB12B9" w:rsidRPr="00CD74DB">
        <w:rPr>
          <w:b/>
          <w:u w:val="single"/>
        </w:rPr>
        <w:t>e</w:t>
      </w:r>
      <w:r w:rsidRPr="00CD74DB">
        <w:rPr>
          <w:b/>
          <w:u w:val="single"/>
        </w:rPr>
        <w:t xml:space="preserve"> assessment</w:t>
      </w:r>
      <w:r w:rsidR="00096428" w:rsidRPr="00CD74DB">
        <w:rPr>
          <w:b/>
        </w:rPr>
        <w:t>:</w:t>
      </w:r>
      <w:r w:rsidRPr="00CD74DB">
        <w:rPr>
          <w:b/>
        </w:rPr>
        <w:t xml:space="preserve"> </w:t>
      </w:r>
    </w:p>
    <w:p w:rsidR="00FB3646" w:rsidRPr="00FB3646" w:rsidRDefault="00721CF0" w:rsidP="00FB3646">
      <w:pPr>
        <w:numPr>
          <w:ilvl w:val="0"/>
          <w:numId w:val="35"/>
        </w:numPr>
        <w:autoSpaceDE w:val="0"/>
        <w:autoSpaceDN w:val="0"/>
        <w:adjustRightInd w:val="0"/>
        <w:jc w:val="both"/>
      </w:pPr>
      <w:proofErr w:type="gramStart"/>
      <w:r w:rsidRPr="00FB3646">
        <w:rPr>
          <w:u w:val="single"/>
        </w:rPr>
        <w:t>CPT,</w:t>
      </w:r>
      <w:proofErr w:type="gramEnd"/>
      <w:r w:rsidRPr="00FB3646">
        <w:rPr>
          <w:u w:val="single"/>
        </w:rPr>
        <w:t xml:space="preserve"> May 201</w:t>
      </w:r>
      <w:r w:rsidR="00FB3646">
        <w:rPr>
          <w:u w:val="single"/>
        </w:rPr>
        <w:t>2</w:t>
      </w:r>
      <w:r w:rsidRPr="00FB3646">
        <w:t xml:space="preserve">: </w:t>
      </w:r>
      <w:r w:rsidR="00FB3646">
        <w:rPr>
          <w:i/>
        </w:rPr>
        <w:t>None.</w:t>
      </w:r>
    </w:p>
    <w:p w:rsidR="003822FE" w:rsidRPr="003822FE" w:rsidRDefault="00FB3646" w:rsidP="00FB3646">
      <w:pPr>
        <w:numPr>
          <w:ilvl w:val="0"/>
          <w:numId w:val="35"/>
        </w:numPr>
        <w:autoSpaceDE w:val="0"/>
        <w:autoSpaceDN w:val="0"/>
        <w:adjustRightInd w:val="0"/>
        <w:jc w:val="both"/>
      </w:pPr>
      <w:r w:rsidRPr="00FB3646">
        <w:rPr>
          <w:u w:val="single"/>
        </w:rPr>
        <w:t xml:space="preserve"> </w:t>
      </w:r>
      <w:r w:rsidR="001170DB" w:rsidRPr="00FB3646">
        <w:rPr>
          <w:u w:val="single"/>
        </w:rPr>
        <w:t>SSC, June 201</w:t>
      </w:r>
      <w:r>
        <w:rPr>
          <w:u w:val="single"/>
        </w:rPr>
        <w:t>2</w:t>
      </w:r>
      <w:r w:rsidR="001170DB" w:rsidRPr="00FB3646">
        <w:t>:</w:t>
      </w:r>
      <w:r w:rsidR="001170DB" w:rsidRPr="00FB3646">
        <w:rPr>
          <w:lang w:val="en-US" w:eastAsia="en-US"/>
        </w:rPr>
        <w:t xml:space="preserve"> </w:t>
      </w:r>
    </w:p>
    <w:p w:rsidR="003822FE" w:rsidRPr="003822FE" w:rsidRDefault="0026244C" w:rsidP="003822FE">
      <w:pPr>
        <w:numPr>
          <w:ilvl w:val="1"/>
          <w:numId w:val="35"/>
        </w:numPr>
        <w:autoSpaceDE w:val="0"/>
        <w:autoSpaceDN w:val="0"/>
        <w:adjustRightInd w:val="0"/>
        <w:jc w:val="both"/>
      </w:pPr>
      <w:r w:rsidRPr="00FB3646">
        <w:rPr>
          <w:i/>
          <w:lang w:val="en-US" w:eastAsia="en-US"/>
        </w:rPr>
        <w:t>“</w:t>
      </w:r>
      <w:r w:rsidR="003822FE">
        <w:rPr>
          <w:i/>
          <w:lang w:val="en-US" w:eastAsia="en-US"/>
        </w:rPr>
        <w:t xml:space="preserve">Following the advice of the assessment author and CPT, the SSC recommends a total catch OFL of 0.09 </w:t>
      </w:r>
      <w:proofErr w:type="spellStart"/>
      <w:r w:rsidR="003822FE">
        <w:rPr>
          <w:i/>
          <w:lang w:val="en-US" w:eastAsia="en-US"/>
        </w:rPr>
        <w:t>kt</w:t>
      </w:r>
      <w:proofErr w:type="spellEnd"/>
      <w:r w:rsidR="003822FE">
        <w:rPr>
          <w:i/>
          <w:lang w:val="en-US" w:eastAsia="en-US"/>
        </w:rPr>
        <w:t xml:space="preserve"> (91 t) and ABC (using the 10% buffer for tier-5 stocks) of 0.08 </w:t>
      </w:r>
      <w:proofErr w:type="spellStart"/>
      <w:r w:rsidR="003822FE">
        <w:rPr>
          <w:i/>
          <w:lang w:val="en-US" w:eastAsia="en-US"/>
        </w:rPr>
        <w:t>kt</w:t>
      </w:r>
      <w:proofErr w:type="spellEnd"/>
      <w:r w:rsidR="003822FE">
        <w:rPr>
          <w:i/>
          <w:lang w:val="en-US" w:eastAsia="en-US"/>
        </w:rPr>
        <w:t xml:space="preserve"> (82 t) for 2012/13, based on Alternative 1 in the assessment, which uses bycatch data for the directed fishery through 2010 only.</w:t>
      </w:r>
      <w:r w:rsidRPr="00FB3646">
        <w:rPr>
          <w:i/>
          <w:lang w:val="en-US" w:eastAsia="en-US"/>
        </w:rPr>
        <w:t>”</w:t>
      </w:r>
    </w:p>
    <w:p w:rsidR="002A2F14" w:rsidRPr="002A2F14" w:rsidRDefault="003822FE" w:rsidP="003822FE">
      <w:pPr>
        <w:numPr>
          <w:ilvl w:val="1"/>
          <w:numId w:val="35"/>
        </w:numPr>
        <w:autoSpaceDE w:val="0"/>
        <w:autoSpaceDN w:val="0"/>
        <w:adjustRightInd w:val="0"/>
        <w:ind w:left="1800"/>
        <w:jc w:val="both"/>
      </w:pPr>
      <w:r w:rsidRPr="003822FE">
        <w:rPr>
          <w:u w:val="single"/>
          <w:lang w:val="en-US" w:eastAsia="en-US"/>
        </w:rPr>
        <w:t>Response</w:t>
      </w:r>
      <w:r>
        <w:rPr>
          <w:lang w:val="en-US" w:eastAsia="en-US"/>
        </w:rPr>
        <w:t>: The SSC meant “2013” and not “2012/13</w:t>
      </w:r>
      <w:r w:rsidR="002A2F14">
        <w:rPr>
          <w:lang w:val="en-US" w:eastAsia="en-US"/>
        </w:rPr>
        <w:t>.</w:t>
      </w:r>
      <w:r>
        <w:rPr>
          <w:lang w:val="en-US" w:eastAsia="en-US"/>
        </w:rPr>
        <w:t>”</w:t>
      </w:r>
      <w:r w:rsidR="002A2F14">
        <w:rPr>
          <w:lang w:val="en-US" w:eastAsia="en-US"/>
        </w:rPr>
        <w:t xml:space="preserve"> </w:t>
      </w:r>
      <w:r>
        <w:rPr>
          <w:lang w:val="en-US" w:eastAsia="en-US"/>
        </w:rPr>
        <w:t xml:space="preserve">This assessment presents the same Alternative </w:t>
      </w:r>
      <w:r w:rsidR="002A2F14">
        <w:rPr>
          <w:lang w:val="en-US" w:eastAsia="en-US"/>
        </w:rPr>
        <w:t>1 OFL with a 10% buffer for determination of the ABC for consideration of a Tier 5 OFL and ABC for 2014.</w:t>
      </w:r>
    </w:p>
    <w:p w:rsidR="002A2F14" w:rsidRDefault="002A2F14" w:rsidP="002A2F14">
      <w:pPr>
        <w:numPr>
          <w:ilvl w:val="1"/>
          <w:numId w:val="35"/>
        </w:numPr>
        <w:autoSpaceDE w:val="0"/>
        <w:autoSpaceDN w:val="0"/>
        <w:adjustRightInd w:val="0"/>
        <w:jc w:val="both"/>
        <w:rPr>
          <w:i/>
        </w:rPr>
      </w:pPr>
      <w:r w:rsidRPr="002A2F14">
        <w:rPr>
          <w:i/>
          <w:lang w:val="en-US" w:eastAsia="en-US"/>
        </w:rPr>
        <w:t>“</w:t>
      </w:r>
      <w:r w:rsidRPr="002A2F14">
        <w:rPr>
          <w:i/>
        </w:rPr>
        <w:t>For the next assessment cycle</w:t>
      </w:r>
      <w:r>
        <w:rPr>
          <w:i/>
        </w:rPr>
        <w:t>, the SSC requests that the slope survey data be used to bring forward Tier 4 calculations because estimates from the slope survey appear reasonable, cover the known depth range of golden king crab, and size composition data are available to calculate biomass of legal-sized males.”</w:t>
      </w:r>
    </w:p>
    <w:p w:rsidR="001170DB" w:rsidRPr="002A2F14" w:rsidRDefault="002A2F14" w:rsidP="002A2F14">
      <w:pPr>
        <w:numPr>
          <w:ilvl w:val="1"/>
          <w:numId w:val="35"/>
        </w:numPr>
        <w:autoSpaceDE w:val="0"/>
        <w:autoSpaceDN w:val="0"/>
        <w:adjustRightInd w:val="0"/>
        <w:ind w:left="1800"/>
        <w:jc w:val="both"/>
        <w:rPr>
          <w:i/>
        </w:rPr>
      </w:pPr>
      <w:r w:rsidRPr="002A2F14">
        <w:rPr>
          <w:u w:val="single"/>
        </w:rPr>
        <w:t>Response</w:t>
      </w:r>
      <w:r>
        <w:t>:</w:t>
      </w:r>
      <w:r w:rsidR="0026244C" w:rsidRPr="002A2F14">
        <w:rPr>
          <w:i/>
        </w:rPr>
        <w:t xml:space="preserve"> </w:t>
      </w:r>
      <w:r>
        <w:t>A report on the issues for consideration of a Tier 4 assessment using the slope survey data has been prepared by Gaeuman (2013) for consideration at the May 2013 CPT meeting.</w:t>
      </w:r>
    </w:p>
    <w:p w:rsidR="003B79B1" w:rsidRPr="003B79B1" w:rsidRDefault="003B79B1" w:rsidP="00CD74DB">
      <w:pPr>
        <w:numPr>
          <w:ilvl w:val="1"/>
          <w:numId w:val="30"/>
        </w:numPr>
        <w:autoSpaceDE w:val="0"/>
        <w:autoSpaceDN w:val="0"/>
        <w:adjustRightInd w:val="0"/>
        <w:jc w:val="both"/>
        <w:rPr>
          <w:i/>
        </w:rPr>
      </w:pPr>
      <w:r w:rsidRPr="003B79B1">
        <w:rPr>
          <w:i/>
        </w:rPr>
        <w:t xml:space="preserve">“The SSC also notes that the assessment uses calendar year for all calculations except for PSC in the groundfish fisheries, which are </w:t>
      </w:r>
      <w:proofErr w:type="gramStart"/>
      <w:r w:rsidRPr="003B79B1">
        <w:rPr>
          <w:i/>
        </w:rPr>
        <w:t>estimated</w:t>
      </w:r>
      <w:proofErr w:type="gramEnd"/>
      <w:r w:rsidRPr="003B79B1">
        <w:rPr>
          <w:i/>
        </w:rPr>
        <w:t xml:space="preserve"> based on “crab fishing years”. For consistency, the SSC suggests that calendar year be used throughout.”</w:t>
      </w:r>
    </w:p>
    <w:p w:rsidR="001170DB" w:rsidRPr="00FB3646" w:rsidRDefault="001170DB" w:rsidP="003B79B1">
      <w:pPr>
        <w:numPr>
          <w:ilvl w:val="1"/>
          <w:numId w:val="30"/>
        </w:numPr>
        <w:autoSpaceDE w:val="0"/>
        <w:autoSpaceDN w:val="0"/>
        <w:adjustRightInd w:val="0"/>
        <w:ind w:left="1800"/>
        <w:jc w:val="both"/>
      </w:pPr>
      <w:r w:rsidRPr="00FB3646">
        <w:rPr>
          <w:u w:val="single"/>
        </w:rPr>
        <w:t>Response</w:t>
      </w:r>
      <w:r w:rsidR="00EB1998" w:rsidRPr="00FB3646">
        <w:t xml:space="preserve">:  </w:t>
      </w:r>
      <w:r w:rsidR="00CD74DB" w:rsidRPr="00FB3646">
        <w:t xml:space="preserve">The </w:t>
      </w:r>
      <w:r w:rsidR="00C127AB">
        <w:t xml:space="preserve">author has noted this </w:t>
      </w:r>
      <w:r w:rsidR="001A7A83">
        <w:t xml:space="preserve">situation </w:t>
      </w:r>
      <w:r w:rsidR="00C127AB">
        <w:t xml:space="preserve">in </w:t>
      </w:r>
      <w:r w:rsidR="001A7A83">
        <w:t>the</w:t>
      </w:r>
      <w:r w:rsidR="00C127AB">
        <w:t xml:space="preserve"> past assessment</w:t>
      </w:r>
      <w:r w:rsidR="001A7A83">
        <w:t>s</w:t>
      </w:r>
      <w:r w:rsidR="000C21DF">
        <w:t xml:space="preserve">, but has not </w:t>
      </w:r>
      <w:r w:rsidR="001A7A83">
        <w:t xml:space="preserve">directly </w:t>
      </w:r>
      <w:r w:rsidR="000C21DF">
        <w:t xml:space="preserve">asked </w:t>
      </w:r>
      <w:r w:rsidR="001A7A83">
        <w:t xml:space="preserve">NMFS-AFSC </w:t>
      </w:r>
      <w:r w:rsidR="000C21DF">
        <w:t>for the bycatch data to be summarized by calendar year</w:t>
      </w:r>
      <w:r w:rsidR="00C127AB">
        <w:t xml:space="preserve">. The author suggests that the CPT explore the feasibility of NMFS-AFSC providing the data on bycatch of this stock for the most recent calendar year by 1 April. If that is feasible, the CPT should request that for the next NMFS-AFSC provide the data from the previous calendar year to the assessment author by 1 April </w:t>
      </w:r>
      <w:r w:rsidR="000C21DF">
        <w:t xml:space="preserve">2014 and subsequent years. If the author receives the bycatch data summary for the previous calendar year </w:t>
      </w:r>
      <w:r w:rsidR="000C21DF">
        <w:lastRenderedPageBreak/>
        <w:t xml:space="preserve">by 1 April, </w:t>
      </w:r>
      <w:r w:rsidR="00C127AB">
        <w:t>all fishery data will be summarized by calendar year in the 2014 and subsequent assessment</w:t>
      </w:r>
      <w:r w:rsidR="000C21DF">
        <w:t xml:space="preserve"> report</w:t>
      </w:r>
      <w:r w:rsidR="00C127AB">
        <w:t>s.</w:t>
      </w:r>
    </w:p>
    <w:p w:rsidR="00472D91" w:rsidRPr="00FB3646" w:rsidRDefault="00472D91" w:rsidP="002F1A19">
      <w:pPr>
        <w:numPr>
          <w:ilvl w:val="0"/>
          <w:numId w:val="30"/>
        </w:numPr>
        <w:jc w:val="both"/>
      </w:pPr>
      <w:r w:rsidRPr="00FB3646">
        <w:rPr>
          <w:u w:val="single"/>
        </w:rPr>
        <w:t>CPT, September 201</w:t>
      </w:r>
      <w:r w:rsidR="003D6DD1">
        <w:rPr>
          <w:u w:val="single"/>
        </w:rPr>
        <w:t xml:space="preserve">2 </w:t>
      </w:r>
      <w:r w:rsidR="003D6DD1" w:rsidRPr="00FF47DE">
        <w:rPr>
          <w:u w:val="single"/>
        </w:rPr>
        <w:t>(via Sept 2012 SAFE)</w:t>
      </w:r>
      <w:r w:rsidR="003D6DD1" w:rsidRPr="00FF47DE">
        <w:t xml:space="preserve">: </w:t>
      </w:r>
      <w:r w:rsidR="003D6DD1" w:rsidRPr="003D6DD1">
        <w:rPr>
          <w:i/>
        </w:rPr>
        <w:t>“The team concurs with the author’s recommendation for an OFL based on Alternative 1 for 2013 of 0.2 million lb and the maximum permissible ABC of 0.18 million lb. The ABC was derived by applying the Tier 5 control rule a 10% buffer of the OFL, ABC = 0.9*OFL.”</w:t>
      </w:r>
    </w:p>
    <w:p w:rsidR="003D6DD1" w:rsidRPr="002A2F14" w:rsidRDefault="003D6DD1" w:rsidP="003D6DD1">
      <w:pPr>
        <w:numPr>
          <w:ilvl w:val="1"/>
          <w:numId w:val="30"/>
        </w:numPr>
        <w:autoSpaceDE w:val="0"/>
        <w:autoSpaceDN w:val="0"/>
        <w:adjustRightInd w:val="0"/>
        <w:jc w:val="both"/>
      </w:pPr>
      <w:r w:rsidRPr="003822FE">
        <w:rPr>
          <w:u w:val="single"/>
          <w:lang w:val="en-US" w:eastAsia="en-US"/>
        </w:rPr>
        <w:t>Response</w:t>
      </w:r>
      <w:r>
        <w:rPr>
          <w:lang w:val="en-US" w:eastAsia="en-US"/>
        </w:rPr>
        <w:t>: This assessment presents the same Alternative 1 OFL with a 10% buffer for determination of the ABC for consideration of a Tier 5 OFL and ABC for 2014.</w:t>
      </w:r>
    </w:p>
    <w:p w:rsidR="00803E37" w:rsidRPr="00FB3646" w:rsidRDefault="00472D91" w:rsidP="002F1A19">
      <w:pPr>
        <w:numPr>
          <w:ilvl w:val="0"/>
          <w:numId w:val="30"/>
        </w:numPr>
        <w:autoSpaceDE w:val="0"/>
        <w:autoSpaceDN w:val="0"/>
        <w:adjustRightInd w:val="0"/>
        <w:jc w:val="both"/>
      </w:pPr>
      <w:r w:rsidRPr="00FB3646">
        <w:rPr>
          <w:u w:val="single"/>
        </w:rPr>
        <w:t>SSC, October 201</w:t>
      </w:r>
      <w:r w:rsidR="003D6DD1">
        <w:rPr>
          <w:u w:val="single"/>
        </w:rPr>
        <w:t>2</w:t>
      </w:r>
      <w:r w:rsidRPr="00FB3646">
        <w:t xml:space="preserve">:  </w:t>
      </w:r>
      <w:r w:rsidRPr="003D6DD1">
        <w:rPr>
          <w:i/>
        </w:rPr>
        <w:t>None</w:t>
      </w:r>
      <w:r w:rsidRPr="00FB3646">
        <w:t>.</w:t>
      </w:r>
    </w:p>
    <w:p w:rsidR="00472D91" w:rsidRPr="00472D91" w:rsidRDefault="00472D91" w:rsidP="00472D91">
      <w:pPr>
        <w:autoSpaceDE w:val="0"/>
        <w:autoSpaceDN w:val="0"/>
        <w:adjustRightInd w:val="0"/>
        <w:ind w:left="360"/>
        <w:jc w:val="both"/>
      </w:pPr>
    </w:p>
    <w:p w:rsidR="007B5B81" w:rsidRPr="00AB12B9" w:rsidRDefault="007B5B81" w:rsidP="007B5B81">
      <w:pPr>
        <w:pStyle w:val="Heading2"/>
        <w:jc w:val="both"/>
        <w:rPr>
          <w:sz w:val="24"/>
        </w:rPr>
      </w:pPr>
      <w:r w:rsidRPr="00AB12B9">
        <w:rPr>
          <w:sz w:val="24"/>
        </w:rPr>
        <w:t xml:space="preserve">C. Introduction </w:t>
      </w:r>
    </w:p>
    <w:p w:rsidR="00FE4234" w:rsidRDefault="00A81BE2" w:rsidP="00206D13">
      <w:pPr>
        <w:numPr>
          <w:ilvl w:val="0"/>
          <w:numId w:val="7"/>
        </w:numPr>
        <w:jc w:val="both"/>
      </w:pPr>
      <w:r w:rsidRPr="00F02729">
        <w:rPr>
          <w:b/>
          <w:u w:val="single"/>
        </w:rPr>
        <w:t>Scientific name</w:t>
      </w:r>
      <w:r w:rsidRPr="00F02729">
        <w:rPr>
          <w:b/>
        </w:rPr>
        <w:t xml:space="preserve">: </w:t>
      </w:r>
      <w:proofErr w:type="spellStart"/>
      <w:r w:rsidR="00B07E68" w:rsidRPr="0031778E">
        <w:rPr>
          <w:i/>
        </w:rPr>
        <w:t>Lithodes</w:t>
      </w:r>
      <w:proofErr w:type="spellEnd"/>
      <w:r w:rsidR="00B07E68" w:rsidRPr="0031778E">
        <w:rPr>
          <w:i/>
        </w:rPr>
        <w:t xml:space="preserve"> </w:t>
      </w:r>
      <w:proofErr w:type="spellStart"/>
      <w:r w:rsidR="00B07E68" w:rsidRPr="0031778E">
        <w:rPr>
          <w:i/>
        </w:rPr>
        <w:t>aequispinus</w:t>
      </w:r>
      <w:proofErr w:type="spellEnd"/>
      <w:r w:rsidR="00B07E68">
        <w:t xml:space="preserve"> J. E. Benedict, 1895</w:t>
      </w:r>
    </w:p>
    <w:p w:rsidR="006A24FF" w:rsidRPr="00F02729" w:rsidRDefault="006A24FF" w:rsidP="00206D13">
      <w:pPr>
        <w:jc w:val="both"/>
        <w:rPr>
          <w:b/>
        </w:rPr>
      </w:pPr>
    </w:p>
    <w:p w:rsidR="001373F2" w:rsidRDefault="007B5B81" w:rsidP="002F1A19">
      <w:pPr>
        <w:numPr>
          <w:ilvl w:val="0"/>
          <w:numId w:val="21"/>
        </w:numPr>
        <w:jc w:val="both"/>
      </w:pPr>
      <w:r w:rsidRPr="00D73A17">
        <w:rPr>
          <w:b/>
          <w:u w:val="single"/>
        </w:rPr>
        <w:t>Description of general distribution</w:t>
      </w:r>
      <w:r w:rsidR="00FE4234" w:rsidRPr="00D73A17">
        <w:rPr>
          <w:b/>
        </w:rPr>
        <w:t>:</w:t>
      </w:r>
      <w:r w:rsidR="007A67A9" w:rsidRPr="00D73A17">
        <w:rPr>
          <w:b/>
        </w:rPr>
        <w:t xml:space="preserve"> </w:t>
      </w:r>
      <w:r w:rsidR="001373F2">
        <w:t xml:space="preserve">General distribution of golden king </w:t>
      </w:r>
      <w:r w:rsidR="008E47B6">
        <w:t>crab</w:t>
      </w:r>
      <w:r w:rsidR="001373F2">
        <w:t xml:space="preserve"> is summarized by NMFS (2004):</w:t>
      </w:r>
    </w:p>
    <w:p w:rsidR="001373F2" w:rsidRDefault="001373F2" w:rsidP="001373F2">
      <w:pPr>
        <w:autoSpaceDE w:val="0"/>
        <w:autoSpaceDN w:val="0"/>
        <w:adjustRightInd w:val="0"/>
        <w:ind w:left="360" w:right="720"/>
        <w:jc w:val="both"/>
        <w:rPr>
          <w:rFonts w:ascii="TimesNewRoman" w:hAnsi="TimesNewRoman" w:cs="TimesNewRoman"/>
          <w:szCs w:val="22"/>
        </w:rPr>
      </w:pPr>
    </w:p>
    <w:p w:rsidR="001373F2" w:rsidRDefault="001373F2" w:rsidP="001373F2">
      <w:pPr>
        <w:autoSpaceDE w:val="0"/>
        <w:autoSpaceDN w:val="0"/>
        <w:adjustRightInd w:val="0"/>
        <w:ind w:left="360" w:right="720"/>
        <w:jc w:val="both"/>
        <w:rPr>
          <w:rFonts w:ascii="TimesNewRoman" w:hAnsi="TimesNewRoman" w:cs="TimesNewRoman"/>
          <w:szCs w:val="22"/>
        </w:rPr>
      </w:pPr>
      <w:r>
        <w:rPr>
          <w:rFonts w:ascii="TimesNewRoman" w:hAnsi="TimesNewRoman" w:cs="TimesNewRoman"/>
          <w:szCs w:val="22"/>
        </w:rPr>
        <w:t xml:space="preserve">Golden king crab, also called brown king crab, range from </w:t>
      </w:r>
      <w:smartTag w:uri="urn:schemas-microsoft-com:office:smarttags" w:element="country-region">
        <w:r>
          <w:rPr>
            <w:rFonts w:ascii="TimesNewRoman" w:hAnsi="TimesNewRoman" w:cs="TimesNewRoman"/>
            <w:szCs w:val="22"/>
          </w:rPr>
          <w:t>Japan</w:t>
        </w:r>
      </w:smartTag>
      <w:r>
        <w:rPr>
          <w:rFonts w:ascii="TimesNewRoman" w:hAnsi="TimesNewRoman" w:cs="TimesNewRoman"/>
          <w:szCs w:val="22"/>
        </w:rPr>
        <w:t xml:space="preserve"> to </w:t>
      </w:r>
      <w:smartTag w:uri="urn:schemas-microsoft-com:office:smarttags" w:element="place">
        <w:smartTag w:uri="urn:schemas-microsoft-com:office:smarttags" w:element="State">
          <w:r>
            <w:rPr>
              <w:rFonts w:ascii="TimesNewRoman" w:hAnsi="TimesNewRoman" w:cs="TimesNewRoman"/>
              <w:szCs w:val="22"/>
            </w:rPr>
            <w:t>British Columbia</w:t>
          </w:r>
        </w:smartTag>
      </w:smartTag>
      <w:r>
        <w:rPr>
          <w:rFonts w:ascii="TimesNewRoman" w:hAnsi="TimesNewRoman" w:cs="TimesNewRoman"/>
          <w:szCs w:val="22"/>
        </w:rPr>
        <w:t>. In the BSAI, golden king crab are found at depths from 200 m to 1,000 m, generally in high-relief habitat such as inter-island passes (page</w:t>
      </w:r>
      <w:r w:rsidR="00806EA8">
        <w:rPr>
          <w:rFonts w:ascii="TimesNewRoman" w:hAnsi="TimesNewRoman" w:cs="TimesNewRoman"/>
          <w:szCs w:val="22"/>
        </w:rPr>
        <w:t>s</w:t>
      </w:r>
      <w:r>
        <w:rPr>
          <w:rFonts w:ascii="TimesNewRoman" w:hAnsi="TimesNewRoman" w:cs="TimesNewRoman"/>
          <w:szCs w:val="22"/>
        </w:rPr>
        <w:t xml:space="preserve"> 3</w:t>
      </w:r>
      <w:r w:rsidR="00806EA8">
        <w:rPr>
          <w:rFonts w:ascii="TimesNewRoman" w:hAnsi="TimesNewRoman" w:cs="TimesNewRoman"/>
          <w:szCs w:val="22"/>
        </w:rPr>
        <w:t>–</w:t>
      </w:r>
      <w:r>
        <w:rPr>
          <w:rFonts w:ascii="TimesNewRoman" w:hAnsi="TimesNewRoman" w:cs="TimesNewRoman"/>
          <w:szCs w:val="22"/>
        </w:rPr>
        <w:t>34).</w:t>
      </w:r>
    </w:p>
    <w:p w:rsidR="001373F2" w:rsidRDefault="001373F2" w:rsidP="001373F2">
      <w:pPr>
        <w:autoSpaceDE w:val="0"/>
        <w:autoSpaceDN w:val="0"/>
        <w:adjustRightInd w:val="0"/>
        <w:ind w:left="360" w:right="720"/>
        <w:jc w:val="both"/>
        <w:rPr>
          <w:rFonts w:ascii="TimesNewRoman" w:hAnsi="TimesNewRoman" w:cs="TimesNewRoman"/>
          <w:szCs w:val="22"/>
        </w:rPr>
      </w:pPr>
    </w:p>
    <w:p w:rsidR="001373F2" w:rsidRDefault="001373F2" w:rsidP="001373F2">
      <w:pPr>
        <w:autoSpaceDE w:val="0"/>
        <w:autoSpaceDN w:val="0"/>
        <w:adjustRightInd w:val="0"/>
        <w:ind w:left="360" w:right="720"/>
        <w:jc w:val="both"/>
        <w:rPr>
          <w:rFonts w:ascii="TimesNewRoman" w:hAnsi="TimesNewRoman" w:cs="TimesNewRoman"/>
          <w:szCs w:val="22"/>
        </w:rPr>
      </w:pPr>
      <w:r>
        <w:rPr>
          <w:rFonts w:ascii="TimesNewRoman" w:hAnsi="TimesNewRoman" w:cs="TimesNewRoman"/>
          <w:szCs w:val="22"/>
        </w:rPr>
        <w:t>Golden, or brown, king crab occur from the Japan Sea to the northern Bering Sea (ca. 61° N latitude), around the Aleutian Islands, on various sea mounts, and as far south as northern British Columbia (Alice Arm) (Jewett et al. 1985). They are typically found on the con</w:t>
      </w:r>
      <w:r w:rsidR="00806EA8">
        <w:rPr>
          <w:rFonts w:ascii="TimesNewRoman" w:hAnsi="TimesNewRoman" w:cs="TimesNewRoman"/>
          <w:szCs w:val="22"/>
        </w:rPr>
        <w:t>tinental slope at depths of 300–</w:t>
      </w:r>
      <w:r>
        <w:rPr>
          <w:rFonts w:ascii="TimesNewRoman" w:hAnsi="TimesNewRoman" w:cs="TimesNewRoman"/>
          <w:szCs w:val="22"/>
        </w:rPr>
        <w:t>1,000 m on extremely rough bottom. They are frequently found on coral bottom (page</w:t>
      </w:r>
      <w:r w:rsidR="00806EA8">
        <w:rPr>
          <w:rFonts w:ascii="TimesNewRoman" w:hAnsi="TimesNewRoman" w:cs="TimesNewRoman"/>
          <w:szCs w:val="22"/>
        </w:rPr>
        <w:t>s</w:t>
      </w:r>
      <w:r>
        <w:rPr>
          <w:rFonts w:ascii="TimesNewRoman" w:hAnsi="TimesNewRoman" w:cs="TimesNewRoman"/>
          <w:szCs w:val="22"/>
        </w:rPr>
        <w:t xml:space="preserve"> 3</w:t>
      </w:r>
      <w:r w:rsidR="00806EA8">
        <w:rPr>
          <w:rFonts w:ascii="TimesNewRoman" w:hAnsi="TimesNewRoman" w:cs="TimesNewRoman"/>
          <w:szCs w:val="22"/>
        </w:rPr>
        <w:t>–</w:t>
      </w:r>
      <w:r>
        <w:rPr>
          <w:rFonts w:ascii="TimesNewRoman" w:hAnsi="TimesNewRoman" w:cs="TimesNewRoman"/>
          <w:szCs w:val="22"/>
        </w:rPr>
        <w:t>43).</w:t>
      </w:r>
    </w:p>
    <w:p w:rsidR="001373F2" w:rsidRDefault="001373F2" w:rsidP="001373F2">
      <w:pPr>
        <w:autoSpaceDE w:val="0"/>
        <w:autoSpaceDN w:val="0"/>
        <w:adjustRightInd w:val="0"/>
      </w:pPr>
    </w:p>
    <w:p w:rsidR="008B6D16" w:rsidRDefault="008B6D16" w:rsidP="008B6D16">
      <w:pPr>
        <w:jc w:val="both"/>
      </w:pPr>
      <w:r>
        <w:t xml:space="preserve">The Pribilof </w:t>
      </w:r>
      <w:r w:rsidR="00042D11">
        <w:t>District</w:t>
      </w:r>
      <w:r>
        <w:t xml:space="preserve"> is </w:t>
      </w:r>
      <w:r w:rsidR="00042D11">
        <w:t>part of king crab</w:t>
      </w:r>
      <w:r>
        <w:t xml:space="preserve"> Registration Area Q (Figure 1).  </w:t>
      </w:r>
      <w:r w:rsidR="002E1325">
        <w:t>Fitch</w:t>
      </w:r>
      <w:r>
        <w:t xml:space="preserve"> et al. (20</w:t>
      </w:r>
      <w:r w:rsidR="005E28FC">
        <w:t>1</w:t>
      </w:r>
      <w:r w:rsidR="002E1325">
        <w:t>2</w:t>
      </w:r>
      <w:r>
        <w:t xml:space="preserve">, page </w:t>
      </w:r>
      <w:r w:rsidR="002E1325">
        <w:t>85</w:t>
      </w:r>
      <w:r>
        <w:t>) define those boundaries:</w:t>
      </w:r>
    </w:p>
    <w:p w:rsidR="008B6D16" w:rsidRDefault="008B6D16" w:rsidP="008B6D16">
      <w:pPr>
        <w:jc w:val="both"/>
      </w:pPr>
    </w:p>
    <w:p w:rsidR="008B6D16" w:rsidRDefault="008B6D16" w:rsidP="008B6D16">
      <w:pPr>
        <w:ind w:left="720" w:right="720"/>
        <w:jc w:val="both"/>
      </w:pPr>
      <w:r>
        <w:rPr>
          <w:spacing w:val="-3"/>
        </w:rPr>
        <w:t>The Bering Sea king crab Registration Area Q has as its southern boundary a line from 54</w:t>
      </w:r>
      <w:r>
        <w:rPr>
          <w:spacing w:val="-3"/>
        </w:rPr>
        <w:sym w:font="Symbol" w:char="F0B0"/>
      </w:r>
      <w:r>
        <w:rPr>
          <w:spacing w:val="-3"/>
        </w:rPr>
        <w:t xml:space="preserve"> 36’ N lat., 168</w:t>
      </w:r>
      <w:r>
        <w:rPr>
          <w:spacing w:val="-3"/>
        </w:rPr>
        <w:sym w:font="Symbol" w:char="F0B0"/>
      </w:r>
      <w:r>
        <w:rPr>
          <w:spacing w:val="-3"/>
        </w:rPr>
        <w:t xml:space="preserve"> W long., to 54</w:t>
      </w:r>
      <w:r>
        <w:rPr>
          <w:spacing w:val="-3"/>
        </w:rPr>
        <w:sym w:font="Symbol" w:char="F0B0"/>
      </w:r>
      <w:r>
        <w:rPr>
          <w:spacing w:val="-3"/>
        </w:rPr>
        <w:t xml:space="preserve"> 36’ N lat., 171</w:t>
      </w:r>
      <w:r>
        <w:rPr>
          <w:spacing w:val="-3"/>
        </w:rPr>
        <w:sym w:font="Symbol" w:char="F0B0"/>
      </w:r>
      <w:r>
        <w:rPr>
          <w:spacing w:val="-3"/>
        </w:rPr>
        <w:t xml:space="preserve"> W long., to 55</w:t>
      </w:r>
      <w:r>
        <w:rPr>
          <w:spacing w:val="-3"/>
        </w:rPr>
        <w:sym w:font="Symbol" w:char="F0B0"/>
      </w:r>
      <w:r>
        <w:rPr>
          <w:spacing w:val="-3"/>
        </w:rPr>
        <w:t xml:space="preserve"> 30’ N lat., 171</w:t>
      </w:r>
      <w:r>
        <w:rPr>
          <w:spacing w:val="-3"/>
        </w:rPr>
        <w:sym w:font="Symbol" w:char="F0B0"/>
      </w:r>
      <w:r>
        <w:rPr>
          <w:spacing w:val="-3"/>
        </w:rPr>
        <w:t xml:space="preserve"> W. long., to 55</w:t>
      </w:r>
      <w:r>
        <w:rPr>
          <w:spacing w:val="-3"/>
        </w:rPr>
        <w:sym w:font="Symbol" w:char="F0B0"/>
      </w:r>
      <w:r>
        <w:rPr>
          <w:spacing w:val="-3"/>
        </w:rPr>
        <w:t xml:space="preserve"> 30’ N lat., 173</w:t>
      </w:r>
      <w:r>
        <w:rPr>
          <w:spacing w:val="-3"/>
        </w:rPr>
        <w:sym w:font="Symbol" w:char="F0B0"/>
      </w:r>
      <w:r>
        <w:rPr>
          <w:spacing w:val="-3"/>
        </w:rPr>
        <w:t xml:space="preserve"> 30’ E long., as its northern boundary the latitude of Point Hope (68</w:t>
      </w:r>
      <w:r>
        <w:rPr>
          <w:spacing w:val="-3"/>
        </w:rPr>
        <w:sym w:font="Symbol" w:char="F0B0"/>
      </w:r>
      <w:r>
        <w:rPr>
          <w:spacing w:val="-3"/>
        </w:rPr>
        <w:t xml:space="preserve"> 21’ N lat.), as its eastern boundary a line from 54</w:t>
      </w:r>
      <w:r>
        <w:rPr>
          <w:spacing w:val="-3"/>
        </w:rPr>
        <w:sym w:font="Symbol" w:char="F0B0"/>
      </w:r>
      <w:r>
        <w:rPr>
          <w:spacing w:val="-3"/>
        </w:rPr>
        <w:t xml:space="preserve"> 36’ N lat., 168</w:t>
      </w:r>
      <w:r>
        <w:rPr>
          <w:spacing w:val="-3"/>
        </w:rPr>
        <w:sym w:font="Symbol" w:char="F0B0"/>
      </w:r>
      <w:r>
        <w:rPr>
          <w:spacing w:val="-3"/>
        </w:rPr>
        <w:t xml:space="preserve"> W long., to 58</w:t>
      </w:r>
      <w:r>
        <w:rPr>
          <w:spacing w:val="-3"/>
        </w:rPr>
        <w:sym w:font="Symbol" w:char="F0B0"/>
      </w:r>
      <w:r>
        <w:rPr>
          <w:spacing w:val="-3"/>
        </w:rPr>
        <w:t xml:space="preserve"> 39’ N lat., 168</w:t>
      </w:r>
      <w:r>
        <w:rPr>
          <w:spacing w:val="-3"/>
        </w:rPr>
        <w:sym w:font="Symbol" w:char="F0B0"/>
      </w:r>
      <w:r>
        <w:rPr>
          <w:spacing w:val="-3"/>
        </w:rPr>
        <w:t xml:space="preserve"> W long., to Cape Newenham (58</w:t>
      </w:r>
      <w:r>
        <w:rPr>
          <w:spacing w:val="-3"/>
        </w:rPr>
        <w:sym w:font="Symbol" w:char="F0B0"/>
      </w:r>
      <w:r>
        <w:rPr>
          <w:spacing w:val="-3"/>
        </w:rPr>
        <w:t xml:space="preserve"> 39’ N lat.), and as its western boundary the United States-Russia Maritime Boundary Line of 1991. Area Q is divided into the Pribilof District, which includes waters south of </w:t>
      </w:r>
      <w:smartTag w:uri="urn:schemas-microsoft-com:office:smarttags" w:element="PlaceType">
        <w:r>
          <w:rPr>
            <w:spacing w:val="-3"/>
          </w:rPr>
          <w:t>Cape</w:t>
        </w:r>
      </w:smartTag>
      <w:r>
        <w:rPr>
          <w:spacing w:val="-3"/>
        </w:rPr>
        <w:t xml:space="preserve"> </w:t>
      </w:r>
      <w:smartTag w:uri="urn:schemas-microsoft-com:office:smarttags" w:element="PlaceName">
        <w:r>
          <w:rPr>
            <w:spacing w:val="-3"/>
          </w:rPr>
          <w:t>Newenham</w:t>
        </w:r>
      </w:smartTag>
      <w:r>
        <w:rPr>
          <w:spacing w:val="-3"/>
        </w:rPr>
        <w:t xml:space="preserve">, and the Northern District, which incorporates all waters north of </w:t>
      </w:r>
      <w:smartTag w:uri="urn:schemas-microsoft-com:office:smarttags" w:element="place">
        <w:smartTag w:uri="urn:schemas-microsoft-com:office:smarttags" w:element="PlaceType">
          <w:r>
            <w:rPr>
              <w:spacing w:val="-3"/>
            </w:rPr>
            <w:t>Cape</w:t>
          </w:r>
        </w:smartTag>
        <w:r>
          <w:rPr>
            <w:spacing w:val="-3"/>
          </w:rPr>
          <w:t xml:space="preserve"> </w:t>
        </w:r>
        <w:smartTag w:uri="urn:schemas-microsoft-com:office:smarttags" w:element="PlaceName">
          <w:r>
            <w:rPr>
              <w:spacing w:val="-3"/>
            </w:rPr>
            <w:t>Newenham</w:t>
          </w:r>
        </w:smartTag>
      </w:smartTag>
      <w:r>
        <w:rPr>
          <w:spacing w:val="-3"/>
        </w:rPr>
        <w:t>.</w:t>
      </w:r>
      <w:r w:rsidRPr="004015F1">
        <w:t xml:space="preserve"> </w:t>
      </w:r>
      <w:r>
        <w:t xml:space="preserve">     </w:t>
      </w:r>
    </w:p>
    <w:p w:rsidR="00340130" w:rsidRDefault="00340130" w:rsidP="008B6D16">
      <w:pPr>
        <w:ind w:left="720" w:right="720"/>
        <w:jc w:val="both"/>
      </w:pPr>
    </w:p>
    <w:p w:rsidR="00340130" w:rsidRDefault="00A814C4" w:rsidP="00A814C4">
      <w:pPr>
        <w:ind w:right="26"/>
        <w:jc w:val="both"/>
      </w:pPr>
      <w:r>
        <w:t>Results of the 2002, 2004, 2008</w:t>
      </w:r>
      <w:r w:rsidR="007F63B9">
        <w:t xml:space="preserve">, </w:t>
      </w:r>
      <w:r w:rsidR="00540A2B">
        <w:t>2010</w:t>
      </w:r>
      <w:r w:rsidR="0011536D">
        <w:t>, and 2012</w:t>
      </w:r>
      <w:r w:rsidR="00540A2B">
        <w:t xml:space="preserve"> </w:t>
      </w:r>
      <w:r>
        <w:t>NMFS-AFSC eastern Bering Sea continental slope trawl surveys presented by Haaga et al. (2009)</w:t>
      </w:r>
      <w:r w:rsidR="0011536D">
        <w:t>,</w:t>
      </w:r>
      <w:r>
        <w:t xml:space="preserve"> Hoff and Britt (</w:t>
      </w:r>
      <w:r w:rsidR="007F63B9">
        <w:t xml:space="preserve">2003, </w:t>
      </w:r>
      <w:r>
        <w:t>2005</w:t>
      </w:r>
      <w:r w:rsidR="007F63B9">
        <w:t>, 2009, 2011</w:t>
      </w:r>
      <w:r>
        <w:t>)</w:t>
      </w:r>
      <w:r w:rsidR="0011536D">
        <w:t>, and Gaeuman (2013)</w:t>
      </w:r>
      <w:r>
        <w:t xml:space="preserve"> show that the biomass, number, and density (</w:t>
      </w:r>
      <w:r w:rsidR="00806EA8">
        <w:t>in number per area and in weight per area</w:t>
      </w:r>
      <w:r>
        <w:t xml:space="preserve">) of golden king </w:t>
      </w:r>
      <w:r w:rsidR="008E47B6">
        <w:t>crab</w:t>
      </w:r>
      <w:r>
        <w:t xml:space="preserve"> on the eastern Bering Sea continental slope are higher in the southern areas than in the northern areas.  </w:t>
      </w:r>
      <w:r w:rsidR="0035653D">
        <w:t xml:space="preserve">Highest densities, biomass, and abundance of golden king </w:t>
      </w:r>
      <w:r w:rsidR="008E47B6">
        <w:t>crab</w:t>
      </w:r>
      <w:r w:rsidR="0035653D">
        <w:t xml:space="preserve"> in the Bering Sea occur in the Pribilof Canyon</w:t>
      </w:r>
      <w:r w:rsidR="00AE1745">
        <w:t>,</w:t>
      </w:r>
      <w:r w:rsidR="0035653D">
        <w:t xml:space="preserve"> as does m</w:t>
      </w:r>
      <w:r w:rsidR="00340130">
        <w:t xml:space="preserve">ost of the </w:t>
      </w:r>
      <w:r w:rsidR="003B5C2C">
        <w:t xml:space="preserve">commercial </w:t>
      </w:r>
      <w:r w:rsidR="00340130">
        <w:t xml:space="preserve">catch of golden king </w:t>
      </w:r>
      <w:r w:rsidR="008E47B6">
        <w:t>crab</w:t>
      </w:r>
      <w:r w:rsidR="00340130">
        <w:t xml:space="preserve"> (</w:t>
      </w:r>
      <w:r w:rsidR="0011536D">
        <w:t>Fitch</w:t>
      </w:r>
      <w:r w:rsidR="00340130">
        <w:t xml:space="preserve"> et al. 20</w:t>
      </w:r>
      <w:r w:rsidR="008F3CC7">
        <w:t>1</w:t>
      </w:r>
      <w:r w:rsidR="0011536D">
        <w:t>2</w:t>
      </w:r>
      <w:r w:rsidR="006C1693">
        <w:t>;</w:t>
      </w:r>
      <w:r w:rsidR="0035653D" w:rsidRPr="00EF76A0">
        <w:t xml:space="preserve"> </w:t>
      </w:r>
      <w:r w:rsidR="00340130" w:rsidRPr="00EF76A0">
        <w:t xml:space="preserve">Neufeld and </w:t>
      </w:r>
      <w:r w:rsidR="00340130">
        <w:t xml:space="preserve">Barnard </w:t>
      </w:r>
      <w:r w:rsidR="00340130" w:rsidRPr="00340130">
        <w:t>2003; Barnard and Burt 2004, 2006; Burt and Barnard 2005, 2006)</w:t>
      </w:r>
      <w:r w:rsidR="0035653D">
        <w:t xml:space="preserve">.  </w:t>
      </w:r>
      <w:r w:rsidR="00340130">
        <w:t xml:space="preserve"> </w:t>
      </w:r>
    </w:p>
    <w:p w:rsidR="007B5B81" w:rsidRDefault="007B5B81" w:rsidP="006A24FF">
      <w:pPr>
        <w:jc w:val="both"/>
      </w:pPr>
    </w:p>
    <w:p w:rsidR="00A814C4" w:rsidRDefault="00C62815" w:rsidP="00A814C4">
      <w:pPr>
        <w:autoSpaceDE w:val="0"/>
        <w:autoSpaceDN w:val="0"/>
        <w:adjustRightInd w:val="0"/>
        <w:jc w:val="both"/>
      </w:pPr>
      <w:r>
        <w:lastRenderedPageBreak/>
        <w:t xml:space="preserve">Results of the 2002, 2004, </w:t>
      </w:r>
      <w:r w:rsidR="00A814C4">
        <w:t>2008</w:t>
      </w:r>
      <w:r>
        <w:t xml:space="preserve">, and 2010 </w:t>
      </w:r>
      <w:r w:rsidR="00A814C4">
        <w:t xml:space="preserve">NMFS-AFSC eastern Bering Sea continental slope trawl surveys presented by Haaga et al. (2009) and </w:t>
      </w:r>
      <w:r>
        <w:t xml:space="preserve">Hoff and Britt (2003, 2005, 2009, and 2011) </w:t>
      </w:r>
      <w:r w:rsidR="00A814C4">
        <w:t xml:space="preserve">show that majority of golden king </w:t>
      </w:r>
      <w:r w:rsidR="008E47B6">
        <w:t>crab</w:t>
      </w:r>
      <w:r w:rsidR="00A814C4">
        <w:t xml:space="preserve"> on the eastern Bering Sea continental slope occurred in the 200–400 m and 400–600 m depth ranges.  </w:t>
      </w:r>
      <w:r w:rsidR="00A814C4" w:rsidRPr="00EF76A0">
        <w:t xml:space="preserve">Commercial fishing for golden king </w:t>
      </w:r>
      <w:r w:rsidR="008E47B6">
        <w:t>crab</w:t>
      </w:r>
      <w:r w:rsidR="00A814C4" w:rsidRPr="00EF76A0">
        <w:t xml:space="preserve"> in the Bering Sea typically occurs at depths of 100–300 fathoms (183–549 m; Neufeld and </w:t>
      </w:r>
      <w:r w:rsidR="00A814C4">
        <w:t>Barnard 2003;</w:t>
      </w:r>
      <w:r w:rsidR="00A814C4" w:rsidRPr="00EF76A0">
        <w:t xml:space="preserve"> Barnard and Burt 2004, </w:t>
      </w:r>
      <w:r w:rsidR="00A814C4">
        <w:t xml:space="preserve">2006; </w:t>
      </w:r>
      <w:r w:rsidR="00A814C4" w:rsidRPr="00EF76A0">
        <w:t>Burt and Barnard 2005, 2006</w:t>
      </w:r>
      <w:r w:rsidR="004838CA">
        <w:t xml:space="preserve">; </w:t>
      </w:r>
      <w:r w:rsidR="004838CA" w:rsidRPr="00AC7D12">
        <w:t>Gaeuman 2011</w:t>
      </w:r>
      <w:r w:rsidR="0017786B">
        <w:t xml:space="preserve">, </w:t>
      </w:r>
      <w:r w:rsidR="0017786B" w:rsidRPr="0017786B">
        <w:rPr>
          <w:i/>
        </w:rPr>
        <w:t>in press</w:t>
      </w:r>
      <w:r w:rsidR="004838CA" w:rsidRPr="00AC7D12">
        <w:t>)</w:t>
      </w:r>
      <w:r w:rsidR="00A814C4" w:rsidRPr="00AC7D12">
        <w:t>; average</w:t>
      </w:r>
      <w:r w:rsidR="00A814C4" w:rsidRPr="005761C3">
        <w:t xml:space="preserve"> depth of pots fished in the Pribilof golden king crab fishery during the 200</w:t>
      </w:r>
      <w:r w:rsidR="00B8661D" w:rsidRPr="005761C3">
        <w:t>2</w:t>
      </w:r>
      <w:r w:rsidR="00A814C4" w:rsidRPr="005761C3">
        <w:t xml:space="preserve"> fishery (the most recently prosecuted fishery for which fishery </w:t>
      </w:r>
      <w:r w:rsidR="003D2D44" w:rsidRPr="005761C3">
        <w:t xml:space="preserve">observer </w:t>
      </w:r>
      <w:r w:rsidR="00A814C4" w:rsidRPr="005761C3">
        <w:t>data are not confidential) was 214 fathoms (391 m).</w:t>
      </w:r>
    </w:p>
    <w:p w:rsidR="00A814C4" w:rsidRPr="00AB12B9" w:rsidRDefault="00A814C4" w:rsidP="006A24FF">
      <w:pPr>
        <w:jc w:val="both"/>
      </w:pPr>
    </w:p>
    <w:p w:rsidR="006A24FF" w:rsidRDefault="007B5B81" w:rsidP="002F1A19">
      <w:pPr>
        <w:numPr>
          <w:ilvl w:val="0"/>
          <w:numId w:val="21"/>
        </w:numPr>
        <w:jc w:val="both"/>
      </w:pPr>
      <w:r w:rsidRPr="00697E6F">
        <w:rPr>
          <w:b/>
          <w:u w:val="single"/>
        </w:rPr>
        <w:t>Evidence of stock structure</w:t>
      </w:r>
      <w:r w:rsidR="006A24FF" w:rsidRPr="00697E6F">
        <w:rPr>
          <w:b/>
        </w:rPr>
        <w:t>:</w:t>
      </w:r>
      <w:r w:rsidR="006A24FF" w:rsidRPr="007715EE">
        <w:t xml:space="preserve">  </w:t>
      </w:r>
      <w:r w:rsidR="00254D23">
        <w:t xml:space="preserve">Although highest densities of golden king crab are found in the deep canyons of the eastern Bering Sea continental slope, golden king crab occur sporadically </w:t>
      </w:r>
      <w:r w:rsidR="00975615">
        <w:t xml:space="preserve">on </w:t>
      </w:r>
      <w:r w:rsidR="00254D23">
        <w:t xml:space="preserve">the surveyed slope </w:t>
      </w:r>
      <w:r w:rsidR="00975615">
        <w:t xml:space="preserve">at locations </w:t>
      </w:r>
      <w:r w:rsidR="00254D23">
        <w:t xml:space="preserve">between those canyons in the eastern Bering Sea (Hoff and Britt 2003, 2005, 2009, 2011, Gaeuman 2013).  Stock </w:t>
      </w:r>
      <w:proofErr w:type="gramStart"/>
      <w:r w:rsidR="00254D23">
        <w:t>structure within the Pribilof District and the stock relationship of the golden king crab within the Pribilof District with the golden king crab outside of the Pribilof District have</w:t>
      </w:r>
      <w:proofErr w:type="gramEnd"/>
      <w:r w:rsidR="00254D23">
        <w:t xml:space="preserve"> not been </w:t>
      </w:r>
      <w:r w:rsidR="001D735B">
        <w:t>evaluat</w:t>
      </w:r>
      <w:r w:rsidR="00254D23">
        <w:t>ed</w:t>
      </w:r>
      <w:r w:rsidR="001D735B">
        <w:t>.</w:t>
      </w:r>
    </w:p>
    <w:p w:rsidR="006A24FF" w:rsidRPr="00AB12B9" w:rsidRDefault="006A24FF" w:rsidP="006A24FF">
      <w:pPr>
        <w:jc w:val="both"/>
      </w:pPr>
    </w:p>
    <w:p w:rsidR="001D735B" w:rsidRPr="00D73A17" w:rsidRDefault="007B5B81" w:rsidP="002F1A19">
      <w:pPr>
        <w:numPr>
          <w:ilvl w:val="0"/>
          <w:numId w:val="21"/>
        </w:numPr>
        <w:jc w:val="both"/>
      </w:pPr>
      <w:r w:rsidRPr="00D73A17">
        <w:rPr>
          <w:b/>
          <w:u w:val="single"/>
        </w:rPr>
        <w:t>Description of life history characteristics relevant to stock assessments (e.g., special features of reproductive biology)</w:t>
      </w:r>
      <w:r w:rsidR="006A24FF" w:rsidRPr="00D73A17">
        <w:rPr>
          <w:b/>
        </w:rPr>
        <w:t>:</w:t>
      </w:r>
      <w:r w:rsidR="00D73A17" w:rsidRPr="00D73A17">
        <w:rPr>
          <w:b/>
        </w:rPr>
        <w:t xml:space="preserve"> </w:t>
      </w:r>
      <w:r w:rsidR="001D735B" w:rsidRPr="00D73A17">
        <w:t xml:space="preserve">The following review of </w:t>
      </w:r>
      <w:proofErr w:type="spellStart"/>
      <w:r w:rsidR="001D735B" w:rsidRPr="00D73A17">
        <w:t>molt</w:t>
      </w:r>
      <w:proofErr w:type="spellEnd"/>
      <w:r w:rsidR="001D735B" w:rsidRPr="00D73A17">
        <w:t xml:space="preserve"> timing and reproductive cycle of golden king </w:t>
      </w:r>
      <w:r w:rsidR="008E47B6">
        <w:t>crab</w:t>
      </w:r>
      <w:r w:rsidR="001D735B" w:rsidRPr="00D73A17">
        <w:t xml:space="preserve"> is adapted from Watson et al. (2002):</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pStyle w:val="BodyTextIndent3"/>
        <w:spacing w:after="0"/>
        <w:ind w:left="720" w:right="720"/>
        <w:jc w:val="both"/>
        <w:rPr>
          <w:sz w:val="24"/>
          <w:szCs w:val="24"/>
        </w:rPr>
      </w:pPr>
      <w:r w:rsidRPr="009D271F">
        <w:rPr>
          <w:sz w:val="24"/>
          <w:szCs w:val="24"/>
        </w:rPr>
        <w:t xml:space="preserve">Unlike red king </w:t>
      </w:r>
      <w:r w:rsidR="008E47B6">
        <w:rPr>
          <w:sz w:val="24"/>
          <w:szCs w:val="24"/>
        </w:rPr>
        <w:t>crab</w:t>
      </w:r>
      <w:r w:rsidRPr="009D271F">
        <w:rPr>
          <w:sz w:val="24"/>
          <w:szCs w:val="24"/>
        </w:rPr>
        <w:t xml:space="preserve">, golden king </w:t>
      </w:r>
      <w:r w:rsidR="008E47B6">
        <w:rPr>
          <w:sz w:val="24"/>
          <w:szCs w:val="24"/>
        </w:rPr>
        <w:t>crab</w:t>
      </w:r>
      <w:r w:rsidRPr="009D271F">
        <w:rPr>
          <w:sz w:val="24"/>
          <w:szCs w:val="24"/>
        </w:rPr>
        <w:t xml:space="preserve"> may have an asynchronous molting cycle (McBride et al. 1982, Otto and </w:t>
      </w:r>
      <w:proofErr w:type="spellStart"/>
      <w:r w:rsidRPr="009D271F">
        <w:rPr>
          <w:sz w:val="24"/>
          <w:szCs w:val="24"/>
        </w:rPr>
        <w:t>Cummiskey</w:t>
      </w:r>
      <w:proofErr w:type="spellEnd"/>
      <w:r w:rsidRPr="009D271F">
        <w:rPr>
          <w:sz w:val="24"/>
          <w:szCs w:val="24"/>
        </w:rPr>
        <w:t xml:space="preserve"> 1985, Sloan 1985, Blau and Pengilly 1994).  In a sample of male golden king </w:t>
      </w:r>
      <w:r w:rsidR="008E47B6">
        <w:rPr>
          <w:sz w:val="24"/>
          <w:szCs w:val="24"/>
        </w:rPr>
        <w:t>crab</w:t>
      </w:r>
      <w:r w:rsidRPr="009D271F">
        <w:rPr>
          <w:sz w:val="24"/>
          <w:szCs w:val="24"/>
        </w:rPr>
        <w:t xml:space="preserve"> 95–155-mm CL and female golden king </w:t>
      </w:r>
      <w:r w:rsidR="008E47B6">
        <w:rPr>
          <w:sz w:val="24"/>
          <w:szCs w:val="24"/>
        </w:rPr>
        <w:t>crab</w:t>
      </w:r>
      <w:r w:rsidRPr="009D271F">
        <w:rPr>
          <w:sz w:val="24"/>
          <w:szCs w:val="24"/>
        </w:rPr>
        <w:t xml:space="preserve"> 104–157-mm CL collected from </w:t>
      </w:r>
      <w:smartTag w:uri="urn:schemas-microsoft-com:office:smarttags" w:element="place">
        <w:r w:rsidRPr="009D271F">
          <w:rPr>
            <w:sz w:val="24"/>
            <w:szCs w:val="24"/>
          </w:rPr>
          <w:t>Prince William Sound</w:t>
        </w:r>
      </w:smartTag>
      <w:r w:rsidRPr="009D271F">
        <w:rPr>
          <w:sz w:val="24"/>
          <w:szCs w:val="24"/>
        </w:rPr>
        <w:t xml:space="preserve"> and held in seawater tanks, Paul and Paul (2000) observed molting in every month of the year, although the highest frequency of molting occurred during May–October.  Watson et al. (2002) estimated that only 50% of 139-mm CL male golden king </w:t>
      </w:r>
      <w:r w:rsidR="008E47B6">
        <w:rPr>
          <w:sz w:val="24"/>
          <w:szCs w:val="24"/>
        </w:rPr>
        <w:t>crab</w:t>
      </w:r>
      <w:r w:rsidRPr="009D271F">
        <w:rPr>
          <w:sz w:val="24"/>
          <w:szCs w:val="24"/>
        </w:rPr>
        <w:t xml:space="preserve"> in the eastern Aleutian Islands molt annually and that the </w:t>
      </w:r>
      <w:proofErr w:type="spellStart"/>
      <w:r w:rsidRPr="009D271F">
        <w:rPr>
          <w:sz w:val="24"/>
          <w:szCs w:val="24"/>
        </w:rPr>
        <w:t>intermolt</w:t>
      </w:r>
      <w:proofErr w:type="spellEnd"/>
      <w:r w:rsidRPr="009D271F">
        <w:rPr>
          <w:sz w:val="24"/>
          <w:szCs w:val="24"/>
        </w:rPr>
        <w:t xml:space="preserve"> period for males ≥150-mm CL averages &gt;1 year.</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pStyle w:val="BodyTextIndent3"/>
        <w:spacing w:after="0"/>
        <w:ind w:left="720" w:right="720"/>
        <w:jc w:val="both"/>
        <w:rPr>
          <w:sz w:val="24"/>
          <w:szCs w:val="24"/>
        </w:rPr>
      </w:pPr>
      <w:r w:rsidRPr="009D271F">
        <w:rPr>
          <w:sz w:val="24"/>
          <w:szCs w:val="24"/>
        </w:rPr>
        <w:t xml:space="preserve">Female </w:t>
      </w:r>
      <w:proofErr w:type="spellStart"/>
      <w:r w:rsidRPr="009D271F">
        <w:rPr>
          <w:sz w:val="24"/>
          <w:szCs w:val="24"/>
        </w:rPr>
        <w:t>lithodids</w:t>
      </w:r>
      <w:proofErr w:type="spellEnd"/>
      <w:r w:rsidRPr="009D271F">
        <w:rPr>
          <w:sz w:val="24"/>
          <w:szCs w:val="24"/>
        </w:rPr>
        <w:t xml:space="preserve"> molt before copulation and egg extrusion (</w:t>
      </w:r>
      <w:proofErr w:type="spellStart"/>
      <w:r w:rsidRPr="009D271F">
        <w:rPr>
          <w:sz w:val="24"/>
          <w:szCs w:val="24"/>
        </w:rPr>
        <w:t>Nyblade</w:t>
      </w:r>
      <w:proofErr w:type="spellEnd"/>
      <w:r w:rsidRPr="009D271F">
        <w:rPr>
          <w:sz w:val="24"/>
          <w:szCs w:val="24"/>
        </w:rPr>
        <w:t xml:space="preserve"> 1987).  From their observations on embryo development in golden king </w:t>
      </w:r>
      <w:r w:rsidR="008E47B6">
        <w:rPr>
          <w:sz w:val="24"/>
          <w:szCs w:val="24"/>
        </w:rPr>
        <w:t>crab</w:t>
      </w:r>
      <w:r w:rsidRPr="009D271F">
        <w:rPr>
          <w:sz w:val="24"/>
          <w:szCs w:val="24"/>
        </w:rPr>
        <w:t xml:space="preserve">, Otto and </w:t>
      </w:r>
      <w:proofErr w:type="spellStart"/>
      <w:r w:rsidRPr="009D271F">
        <w:rPr>
          <w:sz w:val="24"/>
          <w:szCs w:val="24"/>
        </w:rPr>
        <w:t>Cummiskey’s</w:t>
      </w:r>
      <w:proofErr w:type="spellEnd"/>
      <w:r w:rsidRPr="009D271F">
        <w:rPr>
          <w:sz w:val="24"/>
          <w:szCs w:val="24"/>
        </w:rPr>
        <w:t xml:space="preserve"> (1985) suggested that time between successive </w:t>
      </w:r>
      <w:proofErr w:type="spellStart"/>
      <w:r w:rsidRPr="009D271F">
        <w:rPr>
          <w:sz w:val="24"/>
          <w:szCs w:val="24"/>
        </w:rPr>
        <w:t>ovipositions</w:t>
      </w:r>
      <w:proofErr w:type="spellEnd"/>
      <w:r w:rsidRPr="009D271F">
        <w:rPr>
          <w:sz w:val="24"/>
          <w:szCs w:val="24"/>
        </w:rPr>
        <w:t xml:space="preserve"> was roughly twice that of embryo development and that spawning and molting of mature females occurs approximately every two years. Sloan (1985) also suggested a reproductive cycle &gt;1 year with a protracted barren phase for female golden king </w:t>
      </w:r>
      <w:r w:rsidR="008E47B6">
        <w:rPr>
          <w:sz w:val="24"/>
          <w:szCs w:val="24"/>
        </w:rPr>
        <w:t>crab</w:t>
      </w:r>
      <w:r w:rsidRPr="009D271F">
        <w:rPr>
          <w:sz w:val="24"/>
          <w:szCs w:val="24"/>
        </w:rPr>
        <w:t xml:space="preserve">.  Data from tagging studies on female golden king </w:t>
      </w:r>
      <w:r w:rsidR="008E47B6">
        <w:rPr>
          <w:sz w:val="24"/>
          <w:szCs w:val="24"/>
        </w:rPr>
        <w:t>crab</w:t>
      </w:r>
      <w:r w:rsidRPr="009D271F">
        <w:rPr>
          <w:sz w:val="24"/>
          <w:szCs w:val="24"/>
        </w:rPr>
        <w:t xml:space="preserve"> in the </w:t>
      </w:r>
      <w:smartTag w:uri="urn:schemas-microsoft-com:office:smarttags" w:element="place">
        <w:r w:rsidRPr="009D271F">
          <w:rPr>
            <w:sz w:val="24"/>
            <w:szCs w:val="24"/>
          </w:rPr>
          <w:t>Aleutian Islands</w:t>
        </w:r>
      </w:smartTag>
      <w:r w:rsidRPr="009D271F">
        <w:rPr>
          <w:sz w:val="24"/>
          <w:szCs w:val="24"/>
        </w:rPr>
        <w:t xml:space="preserve"> are generally consistent with a molt period for mature females of 2 years </w:t>
      </w:r>
      <w:r w:rsidR="004D6A78">
        <w:rPr>
          <w:sz w:val="24"/>
          <w:szCs w:val="24"/>
        </w:rPr>
        <w:t xml:space="preserve">or less </w:t>
      </w:r>
      <w:r w:rsidRPr="009D271F">
        <w:rPr>
          <w:sz w:val="24"/>
          <w:szCs w:val="24"/>
        </w:rPr>
        <w:t xml:space="preserve">and that females carry embryos for less than two years with a prolonged period in which they remain in barren condition (Watson et al 2002).   From laboratory studies of golden king </w:t>
      </w:r>
      <w:r w:rsidR="008E47B6">
        <w:rPr>
          <w:sz w:val="24"/>
          <w:szCs w:val="24"/>
        </w:rPr>
        <w:t>crab</w:t>
      </w:r>
      <w:r w:rsidRPr="009D271F">
        <w:rPr>
          <w:sz w:val="24"/>
          <w:szCs w:val="24"/>
        </w:rPr>
        <w:t xml:space="preserve"> collected from Prince William Sound</w:t>
      </w:r>
      <w:r w:rsidR="0099436A">
        <w:rPr>
          <w:sz w:val="24"/>
          <w:szCs w:val="24"/>
        </w:rPr>
        <w:t>, Paul and Paul (2001b</w:t>
      </w:r>
      <w:r w:rsidRPr="009D271F">
        <w:rPr>
          <w:sz w:val="24"/>
          <w:szCs w:val="24"/>
        </w:rPr>
        <w:t>) estimated a 20-month reproductive cycle with a 12-month clutch brooding period.</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ind w:left="720" w:right="720"/>
        <w:jc w:val="both"/>
      </w:pPr>
      <w:r w:rsidRPr="009D271F">
        <w:t xml:space="preserve">Numerous observations on clutch and embryo condition of mature female golden king </w:t>
      </w:r>
      <w:r w:rsidR="008E47B6">
        <w:t>crab</w:t>
      </w:r>
      <w:r w:rsidRPr="009D271F">
        <w:t xml:space="preserve"> captured during surveys have been consistent with asynchronous, </w:t>
      </w:r>
      <w:proofErr w:type="spellStart"/>
      <w:r w:rsidRPr="009D271F">
        <w:t>aseasonal</w:t>
      </w:r>
      <w:proofErr w:type="spellEnd"/>
      <w:r w:rsidRPr="009D271F">
        <w:t xml:space="preserve"> reproduction (Otto and </w:t>
      </w:r>
      <w:proofErr w:type="spellStart"/>
      <w:r w:rsidRPr="009D271F">
        <w:t>Cummiskey</w:t>
      </w:r>
      <w:proofErr w:type="spellEnd"/>
      <w:r w:rsidRPr="009D271F">
        <w:t xml:space="preserve"> 1985, </w:t>
      </w:r>
      <w:proofErr w:type="spellStart"/>
      <w:r w:rsidRPr="009D271F">
        <w:t>Hiramoto</w:t>
      </w:r>
      <w:proofErr w:type="spellEnd"/>
      <w:r w:rsidRPr="009D271F">
        <w:t xml:space="preserve"> 1985, Sloan 1985, Somerton and Otto 1986, Blau and Pengilly 1994, Blau et al. 1998, Watson et al. 2002). Based on data from </w:t>
      </w:r>
      <w:smartTag w:uri="urn:schemas-microsoft-com:office:smarttags" w:element="country-region">
        <w:r w:rsidRPr="009D271F">
          <w:t>Japan</w:t>
        </w:r>
      </w:smartTag>
      <w:r w:rsidRPr="009D271F">
        <w:t xml:space="preserve"> (</w:t>
      </w:r>
      <w:proofErr w:type="spellStart"/>
      <w:r w:rsidRPr="009D271F">
        <w:t>Hiramoto</w:t>
      </w:r>
      <w:proofErr w:type="spellEnd"/>
      <w:r w:rsidRPr="009D271F">
        <w:t xml:space="preserve"> and Sato </w:t>
      </w:r>
      <w:r w:rsidRPr="009D271F">
        <w:lastRenderedPageBreak/>
        <w:t xml:space="preserve">1970), McBride et al. (1982) suggested that spawning of golden king crab in the Bering Sea and </w:t>
      </w:r>
      <w:smartTag w:uri="urn:schemas-microsoft-com:office:smarttags" w:element="place">
        <w:r w:rsidRPr="009D271F">
          <w:t>Aleutian Islands</w:t>
        </w:r>
      </w:smartTag>
      <w:r w:rsidRPr="009D271F">
        <w:t xml:space="preserve"> occurs predominately during the summer and fall. </w:t>
      </w:r>
    </w:p>
    <w:p w:rsidR="001D735B" w:rsidRPr="009D271F" w:rsidRDefault="001D735B" w:rsidP="001D735B"/>
    <w:p w:rsidR="001D735B" w:rsidRPr="009D271F" w:rsidRDefault="001D735B" w:rsidP="001D735B">
      <w:pPr>
        <w:jc w:val="both"/>
      </w:pPr>
      <w:r w:rsidRPr="009D271F">
        <w:t xml:space="preserve">The success of asynchronous and </w:t>
      </w:r>
      <w:proofErr w:type="spellStart"/>
      <w:r w:rsidRPr="009D271F">
        <w:t>aseasonal</w:t>
      </w:r>
      <w:proofErr w:type="spellEnd"/>
      <w:r w:rsidRPr="009D271F">
        <w:t xml:space="preserve"> spawning of golden king </w:t>
      </w:r>
      <w:r w:rsidR="008E47B6">
        <w:t>crab</w:t>
      </w:r>
      <w:r w:rsidRPr="009D271F">
        <w:t xml:space="preserve"> may be facilitated by fully </w:t>
      </w:r>
      <w:proofErr w:type="spellStart"/>
      <w:r w:rsidRPr="009D271F">
        <w:t>lecithotrophic</w:t>
      </w:r>
      <w:proofErr w:type="spellEnd"/>
      <w:r w:rsidRPr="009D271F">
        <w:t xml:space="preserve"> larval development (i.e., the larvae can develop successfully to juvenile </w:t>
      </w:r>
      <w:r w:rsidR="008E47B6">
        <w:t>crab</w:t>
      </w:r>
      <w:r w:rsidRPr="009D271F">
        <w:t xml:space="preserve"> without eating; Shirley and Zhou 1997).</w:t>
      </w:r>
    </w:p>
    <w:p w:rsidR="001D735B" w:rsidRPr="009D271F" w:rsidRDefault="001D735B" w:rsidP="001D735B">
      <w:pPr>
        <w:jc w:val="both"/>
      </w:pPr>
    </w:p>
    <w:p w:rsidR="006A24FF" w:rsidRPr="009D271F" w:rsidRDefault="001D735B" w:rsidP="001D735B">
      <w:pPr>
        <w:jc w:val="both"/>
      </w:pPr>
      <w:r w:rsidRPr="009D271F">
        <w:t xml:space="preserve">Note that asynchronous, </w:t>
      </w:r>
      <w:proofErr w:type="spellStart"/>
      <w:r w:rsidRPr="009D271F">
        <w:t>aseasonal</w:t>
      </w:r>
      <w:proofErr w:type="spellEnd"/>
      <w:r w:rsidRPr="009D271F">
        <w:t xml:space="preserve"> </w:t>
      </w:r>
      <w:proofErr w:type="spellStart"/>
      <w:r w:rsidRPr="009D271F">
        <w:t>molting</w:t>
      </w:r>
      <w:proofErr w:type="spellEnd"/>
      <w:r w:rsidRPr="009D271F">
        <w:t xml:space="preserve"> and the prolonged </w:t>
      </w:r>
      <w:proofErr w:type="spellStart"/>
      <w:r w:rsidRPr="009D271F">
        <w:t>intermolt</w:t>
      </w:r>
      <w:proofErr w:type="spellEnd"/>
      <w:r w:rsidRPr="009D271F">
        <w:t xml:space="preserve"> period (&gt;1 year) of mature female and the larger male golden king </w:t>
      </w:r>
      <w:r w:rsidR="008E47B6">
        <w:t>crab</w:t>
      </w:r>
      <w:r w:rsidRPr="009D271F">
        <w:t xml:space="preserve"> likely makes scoring shell conditions very difficult and especially difficult to relate to “time post-</w:t>
      </w:r>
      <w:proofErr w:type="spellStart"/>
      <w:r w:rsidRPr="009D271F">
        <w:t>molt</w:t>
      </w:r>
      <w:proofErr w:type="spellEnd"/>
      <w:r w:rsidRPr="009D271F">
        <w:t>,” posing problems for inclusion of shell condition data into assessment models.</w:t>
      </w:r>
    </w:p>
    <w:p w:rsidR="006A24FF" w:rsidRPr="00AB12B9" w:rsidRDefault="006A24FF" w:rsidP="006A24FF">
      <w:pPr>
        <w:jc w:val="both"/>
      </w:pPr>
    </w:p>
    <w:p w:rsidR="006B71F3" w:rsidRPr="00711714" w:rsidRDefault="007B5B81" w:rsidP="002F1A19">
      <w:pPr>
        <w:numPr>
          <w:ilvl w:val="0"/>
          <w:numId w:val="26"/>
        </w:numPr>
        <w:jc w:val="both"/>
        <w:rPr>
          <w:b/>
        </w:rPr>
      </w:pPr>
      <w:r w:rsidRPr="00711714">
        <w:rPr>
          <w:b/>
          <w:u w:val="single"/>
        </w:rPr>
        <w:t>Brief summary of management history</w:t>
      </w:r>
      <w:r w:rsidR="006B71F3" w:rsidRPr="00711714">
        <w:rPr>
          <w:b/>
        </w:rPr>
        <w:t>:</w:t>
      </w:r>
      <w:r w:rsidR="00D73A17">
        <w:rPr>
          <w:b/>
        </w:rPr>
        <w:t xml:space="preserve"> </w:t>
      </w:r>
      <w:r w:rsidR="00D73A17">
        <w:t xml:space="preserve">A </w:t>
      </w:r>
      <w:r w:rsidR="00D73A17" w:rsidRPr="00F70183">
        <w:t xml:space="preserve">complete summary of the management history </w:t>
      </w:r>
      <w:r w:rsidR="00D73A17">
        <w:t>through 20</w:t>
      </w:r>
      <w:r w:rsidR="00FB5217">
        <w:t>10</w:t>
      </w:r>
      <w:r w:rsidR="00D73A17">
        <w:t xml:space="preserve"> </w:t>
      </w:r>
      <w:r w:rsidR="00D73A17" w:rsidRPr="00F70183">
        <w:t xml:space="preserve">is provided in </w:t>
      </w:r>
      <w:r w:rsidR="00FB5217">
        <w:t>Fitch</w:t>
      </w:r>
      <w:r w:rsidR="00D73A17" w:rsidRPr="00F70183">
        <w:t xml:space="preserve"> et al. (20</w:t>
      </w:r>
      <w:r w:rsidR="00D73A17">
        <w:t>1</w:t>
      </w:r>
      <w:r w:rsidR="00FB5217">
        <w:t>2</w:t>
      </w:r>
      <w:r w:rsidR="00D73A17" w:rsidRPr="00F70183">
        <w:t xml:space="preserve">, pages </w:t>
      </w:r>
      <w:r w:rsidR="00FB5217">
        <w:t>89</w:t>
      </w:r>
      <w:r w:rsidR="00D73A17">
        <w:t>–9</w:t>
      </w:r>
      <w:r w:rsidR="00FB5217">
        <w:t>1</w:t>
      </w:r>
      <w:r w:rsidR="00D73A17" w:rsidRPr="00C10E66">
        <w:t>).</w:t>
      </w:r>
    </w:p>
    <w:p w:rsidR="00D73A17" w:rsidRDefault="00D73A17" w:rsidP="00B02CC8">
      <w:pPr>
        <w:jc w:val="both"/>
      </w:pPr>
    </w:p>
    <w:p w:rsidR="00F713D4" w:rsidRPr="00DB58AF" w:rsidRDefault="0013115F" w:rsidP="00B02CC8">
      <w:pPr>
        <w:jc w:val="both"/>
        <w:rPr>
          <w:highlight w:val="yellow"/>
          <w:lang w:val="en-US" w:eastAsia="en-US"/>
        </w:rPr>
      </w:pPr>
      <w:r w:rsidRPr="00C10E66">
        <w:rPr>
          <w:lang w:val="en-US" w:eastAsia="en-US"/>
        </w:rPr>
        <w:t xml:space="preserve">The </w:t>
      </w:r>
      <w:r w:rsidR="00C10E66">
        <w:rPr>
          <w:lang w:val="en-US" w:eastAsia="en-US"/>
        </w:rPr>
        <w:t xml:space="preserve">first </w:t>
      </w:r>
      <w:r w:rsidRPr="00C10E66">
        <w:rPr>
          <w:lang w:val="en-US" w:eastAsia="en-US"/>
        </w:rPr>
        <w:t xml:space="preserve">domestic </w:t>
      </w:r>
      <w:r w:rsidR="00C10E66">
        <w:rPr>
          <w:lang w:val="en-US" w:eastAsia="en-US"/>
        </w:rPr>
        <w:t>harvest of</w:t>
      </w:r>
      <w:r w:rsidRPr="00C10E66">
        <w:rPr>
          <w:lang w:val="en-US" w:eastAsia="en-US"/>
        </w:rPr>
        <w:t xml:space="preserve"> </w:t>
      </w:r>
      <w:r w:rsidR="00C10E66" w:rsidRPr="00C10E66">
        <w:rPr>
          <w:lang w:val="en-US" w:eastAsia="en-US"/>
        </w:rPr>
        <w:t xml:space="preserve">golden king </w:t>
      </w:r>
      <w:r w:rsidR="008E47B6">
        <w:rPr>
          <w:lang w:val="en-US" w:eastAsia="en-US"/>
        </w:rPr>
        <w:t>crab</w:t>
      </w:r>
      <w:r w:rsidR="00C10E66" w:rsidRPr="00C10E66">
        <w:rPr>
          <w:lang w:val="en-US" w:eastAsia="en-US"/>
        </w:rPr>
        <w:t xml:space="preserve"> in the Pribilof District</w:t>
      </w:r>
      <w:r w:rsidRPr="00C10E66">
        <w:rPr>
          <w:lang w:val="en-US" w:eastAsia="en-US"/>
        </w:rPr>
        <w:t xml:space="preserve"> </w:t>
      </w:r>
      <w:r w:rsidR="00C10E66">
        <w:rPr>
          <w:lang w:val="en-US" w:eastAsia="en-US"/>
        </w:rPr>
        <w:t>was in 1982 when two vessels fished</w:t>
      </w:r>
      <w:r w:rsidRPr="00C10E66">
        <w:rPr>
          <w:lang w:val="en-US" w:eastAsia="en-US"/>
        </w:rPr>
        <w:t xml:space="preserve">.  </w:t>
      </w:r>
      <w:r w:rsidR="00C10E66">
        <w:rPr>
          <w:lang w:val="en-US" w:eastAsia="en-US"/>
        </w:rPr>
        <w:t>Peak harvest and participation occurred in the 1983/84 season with a retained catch of 0.</w:t>
      </w:r>
      <w:r w:rsidR="00D73A17">
        <w:rPr>
          <w:lang w:val="en-US" w:eastAsia="en-US"/>
        </w:rPr>
        <w:t>856</w:t>
      </w:r>
      <w:r w:rsidR="00C10E66">
        <w:rPr>
          <w:lang w:val="en-US" w:eastAsia="en-US"/>
        </w:rPr>
        <w:t>-m</w:t>
      </w:r>
      <w:r w:rsidR="00C16CFC">
        <w:rPr>
          <w:lang w:val="en-US" w:eastAsia="en-US"/>
        </w:rPr>
        <w:t xml:space="preserve">illion pounds </w:t>
      </w:r>
      <w:r w:rsidR="00D73A17">
        <w:rPr>
          <w:lang w:val="en-US" w:eastAsia="en-US"/>
        </w:rPr>
        <w:t>l</w:t>
      </w:r>
      <w:r w:rsidR="001379CD">
        <w:rPr>
          <w:lang w:val="en-US" w:eastAsia="en-US"/>
        </w:rPr>
        <w:t>and</w:t>
      </w:r>
      <w:r w:rsidR="00D73A17">
        <w:rPr>
          <w:lang w:val="en-US" w:eastAsia="en-US"/>
        </w:rPr>
        <w:t>ed</w:t>
      </w:r>
      <w:r w:rsidR="001379CD">
        <w:rPr>
          <w:lang w:val="en-US" w:eastAsia="en-US"/>
        </w:rPr>
        <w:t xml:space="preserve"> by </w:t>
      </w:r>
      <w:r w:rsidR="00C10E66">
        <w:rPr>
          <w:lang w:val="en-US" w:eastAsia="en-US"/>
        </w:rPr>
        <w:t xml:space="preserve">50 vessels.  Since 1984 the fishery has been managed </w:t>
      </w:r>
      <w:r w:rsidR="007B3140">
        <w:rPr>
          <w:lang w:val="en-US" w:eastAsia="en-US"/>
        </w:rPr>
        <w:t>with</w:t>
      </w:r>
      <w:r w:rsidR="00C10E66">
        <w:rPr>
          <w:lang w:val="en-US" w:eastAsia="en-US"/>
        </w:rPr>
        <w:t xml:space="preserve"> a calendar-year season </w:t>
      </w:r>
      <w:r w:rsidR="007B3140">
        <w:rPr>
          <w:lang w:val="en-US" w:eastAsia="en-US"/>
        </w:rPr>
        <w:t>under authority of a commissioner’s permit and landings and participation has been low and sporadic. Retained catch during 1984–200</w:t>
      </w:r>
      <w:r w:rsidR="00CB416D">
        <w:rPr>
          <w:lang w:val="en-US" w:eastAsia="en-US"/>
        </w:rPr>
        <w:t>9</w:t>
      </w:r>
      <w:r w:rsidR="007B3140">
        <w:rPr>
          <w:lang w:val="en-US" w:eastAsia="en-US"/>
        </w:rPr>
        <w:t xml:space="preserve"> has ranged from 0 pounds to 0.3</w:t>
      </w:r>
      <w:r w:rsidR="00783772">
        <w:rPr>
          <w:lang w:val="en-US" w:eastAsia="en-US"/>
        </w:rPr>
        <w:t>4</w:t>
      </w:r>
      <w:r w:rsidR="00D73A17">
        <w:rPr>
          <w:lang w:val="en-US" w:eastAsia="en-US"/>
        </w:rPr>
        <w:t>2</w:t>
      </w:r>
      <w:r w:rsidR="007B3140">
        <w:rPr>
          <w:lang w:val="en-US" w:eastAsia="en-US"/>
        </w:rPr>
        <w:t xml:space="preserve">-million pounds and the number of vessels participating annually has ranged from 0 to 8; </w:t>
      </w:r>
      <w:r w:rsidR="004D1C05">
        <w:rPr>
          <w:lang w:val="en-US" w:eastAsia="en-US"/>
        </w:rPr>
        <w:t xml:space="preserve">no vessels registered for the fishery and </w:t>
      </w:r>
      <w:r w:rsidR="007B3140">
        <w:rPr>
          <w:lang w:val="en-US" w:eastAsia="en-US"/>
        </w:rPr>
        <w:t>there was no retained catch in 2006–200</w:t>
      </w:r>
      <w:r w:rsidR="00CB416D">
        <w:rPr>
          <w:lang w:val="en-US" w:eastAsia="en-US"/>
        </w:rPr>
        <w:t>9</w:t>
      </w:r>
      <w:r w:rsidR="007B3140">
        <w:rPr>
          <w:lang w:val="en-US" w:eastAsia="en-US"/>
        </w:rPr>
        <w:t xml:space="preserve">.  </w:t>
      </w:r>
      <w:r w:rsidR="00CB416D">
        <w:rPr>
          <w:lang w:val="en-US" w:eastAsia="en-US"/>
        </w:rPr>
        <w:t>One v</w:t>
      </w:r>
      <w:r w:rsidR="00D73475">
        <w:rPr>
          <w:lang w:val="en-US" w:eastAsia="en-US"/>
        </w:rPr>
        <w:t xml:space="preserve">essel fished in the </w:t>
      </w:r>
      <w:r w:rsidR="00CB416D">
        <w:rPr>
          <w:lang w:val="en-US" w:eastAsia="en-US"/>
        </w:rPr>
        <w:t>2010 season</w:t>
      </w:r>
      <w:r w:rsidR="00726756">
        <w:rPr>
          <w:lang w:val="en-US" w:eastAsia="en-US"/>
        </w:rPr>
        <w:t xml:space="preserve"> and two vessels fished in the 2011 season</w:t>
      </w:r>
      <w:r w:rsidR="00D73475">
        <w:rPr>
          <w:lang w:val="en-US" w:eastAsia="en-US"/>
        </w:rPr>
        <w:t>; catch statistics</w:t>
      </w:r>
      <w:r w:rsidR="00726756">
        <w:rPr>
          <w:lang w:val="en-US" w:eastAsia="en-US"/>
        </w:rPr>
        <w:t xml:space="preserve"> for those two seasons </w:t>
      </w:r>
      <w:r w:rsidR="00D73475">
        <w:rPr>
          <w:lang w:val="en-US" w:eastAsia="en-US"/>
        </w:rPr>
        <w:t>are confidential</w:t>
      </w:r>
      <w:r w:rsidR="00601906">
        <w:rPr>
          <w:lang w:val="en-US" w:eastAsia="en-US"/>
        </w:rPr>
        <w:t xml:space="preserve"> under Sec. 16.05.815 of SOA statutes</w:t>
      </w:r>
      <w:r w:rsidR="00CB416D">
        <w:rPr>
          <w:lang w:val="en-US" w:eastAsia="en-US"/>
        </w:rPr>
        <w:t xml:space="preserve">.  </w:t>
      </w:r>
      <w:r w:rsidR="007B3140">
        <w:rPr>
          <w:lang w:val="en-US" w:eastAsia="en-US"/>
        </w:rPr>
        <w:t xml:space="preserve">The fishery is not rationalized and has been managed inseason to </w:t>
      </w:r>
      <w:r w:rsidR="00A01E72">
        <w:rPr>
          <w:lang w:val="en-US" w:eastAsia="en-US"/>
        </w:rPr>
        <w:t xml:space="preserve">a </w:t>
      </w:r>
      <w:r w:rsidR="007B3140">
        <w:rPr>
          <w:lang w:val="en-US" w:eastAsia="en-US"/>
        </w:rPr>
        <w:t>guideline harvest level (GHL) since 1999. The GHL for 1999 was 0.20</w:t>
      </w:r>
      <w:r w:rsidR="007348CB">
        <w:rPr>
          <w:lang w:val="en-US" w:eastAsia="en-US"/>
        </w:rPr>
        <w:t>0</w:t>
      </w:r>
      <w:r w:rsidR="007B3140">
        <w:rPr>
          <w:lang w:val="en-US" w:eastAsia="en-US"/>
        </w:rPr>
        <w:t>-million pounds, whereas the GHL</w:t>
      </w:r>
      <w:r w:rsidR="00E82071">
        <w:rPr>
          <w:lang w:val="en-US" w:eastAsia="en-US"/>
        </w:rPr>
        <w:t xml:space="preserve"> for 2000-201</w:t>
      </w:r>
      <w:r w:rsidR="00726756">
        <w:rPr>
          <w:lang w:val="en-US" w:eastAsia="en-US"/>
        </w:rPr>
        <w:t>2</w:t>
      </w:r>
      <w:r w:rsidR="007B3140">
        <w:rPr>
          <w:lang w:val="en-US" w:eastAsia="en-US"/>
        </w:rPr>
        <w:t xml:space="preserve"> has been 0.15</w:t>
      </w:r>
      <w:r w:rsidR="00F002C7">
        <w:rPr>
          <w:lang w:val="en-US" w:eastAsia="en-US"/>
        </w:rPr>
        <w:t>0</w:t>
      </w:r>
      <w:r w:rsidR="007B3140">
        <w:rPr>
          <w:lang w:val="en-US" w:eastAsia="en-US"/>
        </w:rPr>
        <w:t xml:space="preserve">-million pounds. </w:t>
      </w:r>
    </w:p>
    <w:p w:rsidR="00B02CC8" w:rsidRPr="00630A29" w:rsidRDefault="00B02CC8" w:rsidP="00B02CC8">
      <w:pPr>
        <w:jc w:val="both"/>
      </w:pPr>
    </w:p>
    <w:p w:rsidR="0070538D" w:rsidRPr="00630A29" w:rsidRDefault="0070538D" w:rsidP="0070538D">
      <w:pPr>
        <w:spacing w:after="160"/>
        <w:jc w:val="both"/>
      </w:pPr>
      <w:r w:rsidRPr="00630A29">
        <w:t xml:space="preserve">A summary of </w:t>
      </w:r>
      <w:r w:rsidR="0052446F" w:rsidRPr="00630A29">
        <w:t xml:space="preserve">relevant </w:t>
      </w:r>
      <w:r w:rsidRPr="00630A29">
        <w:t xml:space="preserve">fishery regulations </w:t>
      </w:r>
      <w:r w:rsidR="0052446F" w:rsidRPr="00630A29">
        <w:t xml:space="preserve">and management actions </w:t>
      </w:r>
      <w:r w:rsidRPr="00630A29">
        <w:t xml:space="preserve">pertaining to the </w:t>
      </w:r>
      <w:r w:rsidR="00630A29" w:rsidRPr="00630A29">
        <w:t xml:space="preserve">Pribilof District golden </w:t>
      </w:r>
      <w:r w:rsidRPr="00630A29">
        <w:t>king crab fishery is provided below.</w:t>
      </w:r>
    </w:p>
    <w:p w:rsidR="00630A29" w:rsidRPr="00630A29" w:rsidRDefault="00630A29" w:rsidP="00630A29">
      <w:pPr>
        <w:pStyle w:val="bull"/>
        <w:numPr>
          <w:ilvl w:val="0"/>
          <w:numId w:val="0"/>
        </w:numPr>
        <w:spacing w:after="0"/>
        <w:jc w:val="both"/>
        <w:rPr>
          <w:sz w:val="24"/>
          <w:szCs w:val="24"/>
          <w:u w:val="single"/>
        </w:rPr>
      </w:pPr>
      <w:r w:rsidRPr="00630A29">
        <w:rPr>
          <w:sz w:val="24"/>
          <w:szCs w:val="24"/>
        </w:rPr>
        <w:t>Only males of a minimum legal size may be retained. By State of Alaska regulation (</w:t>
      </w:r>
      <w:r w:rsidRPr="00D26B25">
        <w:rPr>
          <w:b/>
          <w:sz w:val="24"/>
          <w:szCs w:val="24"/>
        </w:rPr>
        <w:t>5 AAC 34.920 (a)</w:t>
      </w:r>
      <w:r w:rsidRPr="00630A29">
        <w:rPr>
          <w:sz w:val="24"/>
          <w:szCs w:val="24"/>
        </w:rPr>
        <w:t xml:space="preserve">), the minimum legal size limit </w:t>
      </w:r>
      <w:r w:rsidR="00502D96">
        <w:rPr>
          <w:sz w:val="24"/>
          <w:szCs w:val="24"/>
        </w:rPr>
        <w:t xml:space="preserve">for Pribilof District golden king crab </w:t>
      </w:r>
      <w:r w:rsidRPr="00630A29">
        <w:rPr>
          <w:sz w:val="24"/>
          <w:szCs w:val="24"/>
        </w:rPr>
        <w:t xml:space="preserve">is 5.5-inches (140 mm) carapace width (CW), including spines.    A carapace length (CL) ≥124 mm is used to identify legal-size males when CW measurements are not available (Table 3-5 in NPFMC 2007). </w:t>
      </w:r>
    </w:p>
    <w:p w:rsidR="00630A29" w:rsidRPr="00630A29" w:rsidRDefault="00630A29" w:rsidP="00630A29">
      <w:pPr>
        <w:pStyle w:val="Heading3"/>
        <w:spacing w:before="0" w:after="0"/>
        <w:jc w:val="both"/>
        <w:rPr>
          <w:rFonts w:ascii="Times New Roman" w:hAnsi="Times New Roman"/>
          <w:b w:val="0"/>
          <w:i w:val="0"/>
          <w:sz w:val="24"/>
          <w:szCs w:val="24"/>
        </w:rPr>
      </w:pPr>
    </w:p>
    <w:p w:rsidR="00630A29" w:rsidRDefault="00630A29" w:rsidP="00630A29">
      <w:pPr>
        <w:pStyle w:val="Heading3"/>
        <w:spacing w:before="0" w:after="0"/>
        <w:jc w:val="both"/>
        <w:rPr>
          <w:rFonts w:ascii="Times New Roman" w:hAnsi="Times New Roman"/>
          <w:b w:val="0"/>
          <w:i w:val="0"/>
          <w:sz w:val="24"/>
          <w:szCs w:val="24"/>
        </w:rPr>
      </w:pPr>
      <w:r w:rsidRPr="00630A29">
        <w:rPr>
          <w:rFonts w:ascii="Times New Roman" w:hAnsi="Times New Roman"/>
          <w:b w:val="0"/>
          <w:i w:val="0"/>
          <w:sz w:val="24"/>
          <w:szCs w:val="24"/>
        </w:rPr>
        <w:t xml:space="preserve">Golden king </w:t>
      </w:r>
      <w:r w:rsidR="008E47B6">
        <w:rPr>
          <w:rFonts w:ascii="Times New Roman" w:hAnsi="Times New Roman"/>
          <w:b w:val="0"/>
          <w:i w:val="0"/>
          <w:sz w:val="24"/>
          <w:szCs w:val="24"/>
        </w:rPr>
        <w:t>crab</w:t>
      </w:r>
      <w:r w:rsidRPr="00630A29">
        <w:rPr>
          <w:rFonts w:ascii="Times New Roman" w:hAnsi="Times New Roman"/>
          <w:b w:val="0"/>
          <w:i w:val="0"/>
          <w:sz w:val="24"/>
          <w:szCs w:val="24"/>
        </w:rPr>
        <w:t xml:space="preserve"> may be commercially fished only with king crab pots (as defined in </w:t>
      </w:r>
      <w:r w:rsidRPr="00D26B25">
        <w:rPr>
          <w:rFonts w:ascii="Times New Roman" w:hAnsi="Times New Roman"/>
          <w:i w:val="0"/>
          <w:sz w:val="24"/>
          <w:szCs w:val="24"/>
        </w:rPr>
        <w:t>5 AAC 34.050</w:t>
      </w:r>
      <w:r w:rsidRPr="00630A29">
        <w:rPr>
          <w:rFonts w:ascii="Times New Roman" w:hAnsi="Times New Roman"/>
          <w:b w:val="0"/>
          <w:i w:val="0"/>
          <w:sz w:val="24"/>
          <w:szCs w:val="24"/>
        </w:rPr>
        <w:t xml:space="preserve">).  Pots used to fish for golden king </w:t>
      </w:r>
      <w:r w:rsidR="008E47B6">
        <w:rPr>
          <w:rFonts w:ascii="Times New Roman" w:hAnsi="Times New Roman"/>
          <w:b w:val="0"/>
          <w:i w:val="0"/>
          <w:sz w:val="24"/>
          <w:szCs w:val="24"/>
        </w:rPr>
        <w:t>crab</w:t>
      </w:r>
      <w:r w:rsidRPr="00630A29">
        <w:rPr>
          <w:rFonts w:ascii="Times New Roman" w:hAnsi="Times New Roman"/>
          <w:b w:val="0"/>
          <w:i w:val="0"/>
          <w:sz w:val="24"/>
          <w:szCs w:val="24"/>
        </w:rPr>
        <w:t xml:space="preserve"> in the Pribilof Islands must have at least four escape rings of no less than five and one-half inches inside diameter installed on the vertical plane or at least one-third of one vertical surface of the pot composed of not less than nine-inch stretch</w:t>
      </w:r>
      <w:r w:rsidRPr="000E4490">
        <w:rPr>
          <w:rFonts w:ascii="Times New Roman" w:hAnsi="Times New Roman"/>
          <w:b w:val="0"/>
          <w:i w:val="0"/>
          <w:sz w:val="24"/>
          <w:szCs w:val="24"/>
        </w:rPr>
        <w:t xml:space="preserve">ed mesh webbing to permit escapement of undersized golden king </w:t>
      </w:r>
      <w:r w:rsidR="008E47B6" w:rsidRPr="000E4490">
        <w:rPr>
          <w:rFonts w:ascii="Times New Roman" w:hAnsi="Times New Roman"/>
          <w:b w:val="0"/>
          <w:i w:val="0"/>
          <w:sz w:val="24"/>
          <w:szCs w:val="24"/>
        </w:rPr>
        <w:t>crab</w:t>
      </w:r>
      <w:r w:rsidRPr="000E4490">
        <w:rPr>
          <w:rFonts w:ascii="Times New Roman" w:hAnsi="Times New Roman"/>
          <w:b w:val="0"/>
          <w:i w:val="0"/>
          <w:sz w:val="24"/>
          <w:szCs w:val="24"/>
        </w:rPr>
        <w:t xml:space="preserve"> (</w:t>
      </w:r>
      <w:r w:rsidRPr="00D26B25">
        <w:rPr>
          <w:rFonts w:ascii="Times New Roman" w:hAnsi="Times New Roman"/>
          <w:i w:val="0"/>
          <w:sz w:val="24"/>
          <w:szCs w:val="24"/>
        </w:rPr>
        <w:t>5 AAC 34.925 (c)</w:t>
      </w:r>
      <w:r w:rsidRPr="000E4490">
        <w:rPr>
          <w:rFonts w:ascii="Times New Roman" w:hAnsi="Times New Roman"/>
          <w:b w:val="0"/>
          <w:i w:val="0"/>
          <w:sz w:val="24"/>
          <w:szCs w:val="24"/>
        </w:rPr>
        <w:t>)</w:t>
      </w:r>
      <w:r w:rsidR="000E4490" w:rsidRPr="000E4490">
        <w:rPr>
          <w:rFonts w:ascii="Times New Roman" w:hAnsi="Times New Roman"/>
          <w:b w:val="0"/>
          <w:i w:val="0"/>
          <w:sz w:val="24"/>
          <w:szCs w:val="24"/>
        </w:rPr>
        <w:t xml:space="preserve"> and the sidewall “…must contain an opening equal to or exceeding 18 inches in length...  The opening must be laced, sewn, or secured together by a single length of untreated, 100 percent cotton twine, no larger than 30 </w:t>
      </w:r>
      <w:proofErr w:type="gramStart"/>
      <w:r w:rsidR="000E4490" w:rsidRPr="000E4490">
        <w:rPr>
          <w:rFonts w:ascii="Times New Roman" w:hAnsi="Times New Roman"/>
          <w:b w:val="0"/>
          <w:i w:val="0"/>
          <w:sz w:val="24"/>
          <w:szCs w:val="24"/>
        </w:rPr>
        <w:t>thread</w:t>
      </w:r>
      <w:proofErr w:type="gramEnd"/>
      <w:r w:rsidR="000E4490" w:rsidRPr="000E4490">
        <w:rPr>
          <w:rFonts w:ascii="Times New Roman" w:hAnsi="Times New Roman"/>
          <w:b w:val="0"/>
          <w:i w:val="0"/>
          <w:sz w:val="24"/>
          <w:szCs w:val="24"/>
        </w:rPr>
        <w:t xml:space="preserve">.” </w:t>
      </w:r>
      <w:proofErr w:type="gramStart"/>
      <w:r w:rsidR="000E4490" w:rsidRPr="000E4490">
        <w:rPr>
          <w:rFonts w:ascii="Times New Roman" w:hAnsi="Times New Roman"/>
          <w:b w:val="0"/>
          <w:i w:val="0"/>
          <w:sz w:val="24"/>
          <w:szCs w:val="24"/>
        </w:rPr>
        <w:t>(</w:t>
      </w:r>
      <w:r w:rsidR="000E4490" w:rsidRPr="000E4490">
        <w:rPr>
          <w:rFonts w:ascii="Times New Roman" w:hAnsi="Times New Roman"/>
          <w:i w:val="0"/>
          <w:sz w:val="24"/>
          <w:szCs w:val="24"/>
        </w:rPr>
        <w:t>5 AAC 39.145(1)</w:t>
      </w:r>
      <w:r w:rsidR="000E4490" w:rsidRPr="000E4490">
        <w:rPr>
          <w:rFonts w:ascii="Times New Roman" w:hAnsi="Times New Roman"/>
          <w:b w:val="0"/>
          <w:i w:val="0"/>
          <w:sz w:val="24"/>
          <w:szCs w:val="24"/>
        </w:rPr>
        <w:t>)</w:t>
      </w:r>
      <w:r w:rsidRPr="000E4490">
        <w:rPr>
          <w:rFonts w:ascii="Times New Roman" w:hAnsi="Times New Roman"/>
          <w:b w:val="0"/>
          <w:i w:val="0"/>
          <w:sz w:val="24"/>
          <w:szCs w:val="24"/>
        </w:rPr>
        <w:t>.</w:t>
      </w:r>
      <w:proofErr w:type="gramEnd"/>
      <w:r w:rsidRPr="000E4490">
        <w:rPr>
          <w:rFonts w:ascii="Times New Roman" w:hAnsi="Times New Roman"/>
          <w:b w:val="0"/>
          <w:i w:val="0"/>
          <w:sz w:val="24"/>
          <w:szCs w:val="24"/>
        </w:rPr>
        <w:t xml:space="preserve">  There is a pot limit of 40 pots for vessels ≤125-feet LOA and of 50 pots for vessels &gt;12</w:t>
      </w:r>
      <w:r>
        <w:rPr>
          <w:rFonts w:ascii="Times New Roman" w:hAnsi="Times New Roman"/>
          <w:b w:val="0"/>
          <w:i w:val="0"/>
          <w:sz w:val="24"/>
          <w:szCs w:val="24"/>
        </w:rPr>
        <w:t>5-feet LOA (</w:t>
      </w:r>
      <w:r w:rsidR="00D26B25" w:rsidRPr="00D26B25">
        <w:rPr>
          <w:rFonts w:ascii="Times New Roman" w:hAnsi="Times New Roman"/>
          <w:i w:val="0"/>
          <w:sz w:val="24"/>
          <w:szCs w:val="24"/>
        </w:rPr>
        <w:t>5</w:t>
      </w:r>
      <w:r w:rsidR="00D26B25">
        <w:rPr>
          <w:rFonts w:ascii="Times New Roman" w:hAnsi="Times New Roman"/>
          <w:b w:val="0"/>
          <w:i w:val="0"/>
          <w:sz w:val="24"/>
          <w:szCs w:val="24"/>
        </w:rPr>
        <w:t xml:space="preserve"> </w:t>
      </w:r>
      <w:r w:rsidRPr="00D26B25">
        <w:rPr>
          <w:rFonts w:ascii="Times New Roman" w:hAnsi="Times New Roman"/>
          <w:i w:val="0"/>
          <w:sz w:val="24"/>
          <w:szCs w:val="24"/>
        </w:rPr>
        <w:t>AAC 34.925 (e</w:t>
      </w:r>
      <w:proofErr w:type="gramStart"/>
      <w:r w:rsidRPr="00D26B25">
        <w:rPr>
          <w:rFonts w:ascii="Times New Roman" w:hAnsi="Times New Roman"/>
          <w:i w:val="0"/>
          <w:sz w:val="24"/>
          <w:szCs w:val="24"/>
        </w:rPr>
        <w:t>)(</w:t>
      </w:r>
      <w:proofErr w:type="gramEnd"/>
      <w:r w:rsidRPr="00D26B25">
        <w:rPr>
          <w:rFonts w:ascii="Times New Roman" w:hAnsi="Times New Roman"/>
          <w:i w:val="0"/>
          <w:sz w:val="24"/>
          <w:szCs w:val="24"/>
        </w:rPr>
        <w:t>1)(B)</w:t>
      </w:r>
      <w:r w:rsidRPr="00630A29">
        <w:rPr>
          <w:rFonts w:ascii="Times New Roman" w:hAnsi="Times New Roman"/>
          <w:b w:val="0"/>
          <w:i w:val="0"/>
          <w:sz w:val="24"/>
          <w:szCs w:val="24"/>
        </w:rPr>
        <w:t>).</w:t>
      </w:r>
      <w:r w:rsidR="00540A2B">
        <w:rPr>
          <w:rFonts w:ascii="Times New Roman" w:hAnsi="Times New Roman"/>
          <w:b w:val="0"/>
          <w:i w:val="0"/>
          <w:sz w:val="24"/>
          <w:szCs w:val="24"/>
        </w:rPr>
        <w:t xml:space="preserve"> </w:t>
      </w:r>
    </w:p>
    <w:p w:rsidR="00EA6D53" w:rsidRDefault="00EA6D53" w:rsidP="00EA6D53">
      <w:pPr>
        <w:rPr>
          <w:lang w:val="en-US" w:eastAsia="en-US"/>
        </w:rPr>
      </w:pPr>
    </w:p>
    <w:p w:rsidR="00EA6D53" w:rsidRPr="00EA6D53" w:rsidRDefault="00EA6D53" w:rsidP="00EA6D53">
      <w:pPr>
        <w:jc w:val="both"/>
        <w:rPr>
          <w:lang w:val="en-US" w:eastAsia="en-US"/>
        </w:rPr>
      </w:pPr>
      <w:r>
        <w:rPr>
          <w:lang w:val="en-US" w:eastAsia="en-US"/>
        </w:rPr>
        <w:lastRenderedPageBreak/>
        <w:t>Golden king crab can be harvested from 1 January through 31 December only under conditions of a permit issued by the commissioner of ADF&amp;G (</w:t>
      </w:r>
      <w:r w:rsidRPr="00D26B25">
        <w:rPr>
          <w:b/>
          <w:lang w:val="en-US" w:eastAsia="en-US"/>
        </w:rPr>
        <w:t>5 AAC 34.910 (b</w:t>
      </w:r>
      <w:proofErr w:type="gramStart"/>
      <w:r w:rsidRPr="00D26B25">
        <w:rPr>
          <w:b/>
          <w:lang w:val="en-US" w:eastAsia="en-US"/>
        </w:rPr>
        <w:t>)(</w:t>
      </w:r>
      <w:proofErr w:type="gramEnd"/>
      <w:r w:rsidRPr="00D26B25">
        <w:rPr>
          <w:b/>
          <w:lang w:val="en-US" w:eastAsia="en-US"/>
        </w:rPr>
        <w:t>3)</w:t>
      </w:r>
      <w:r>
        <w:rPr>
          <w:lang w:val="en-US" w:eastAsia="en-US"/>
        </w:rPr>
        <w:t>).</w:t>
      </w:r>
      <w:r w:rsidR="00EA7AC8">
        <w:rPr>
          <w:lang w:val="en-US" w:eastAsia="en-US"/>
        </w:rPr>
        <w:t xml:space="preserve">  Since 2001 </w:t>
      </w:r>
      <w:r w:rsidR="009F7A40">
        <w:rPr>
          <w:lang w:val="en-US" w:eastAsia="en-US"/>
        </w:rPr>
        <w:t>those conditions have included the carrying of a fisheries observer.</w:t>
      </w:r>
    </w:p>
    <w:p w:rsidR="006565E3" w:rsidRPr="00630A29" w:rsidRDefault="006565E3" w:rsidP="006565E3">
      <w:pPr>
        <w:jc w:val="both"/>
      </w:pPr>
    </w:p>
    <w:p w:rsidR="007B5B81" w:rsidRPr="00AB12B9" w:rsidRDefault="0087363F" w:rsidP="007B5B81">
      <w:pPr>
        <w:pStyle w:val="Heading3"/>
        <w:jc w:val="both"/>
        <w:rPr>
          <w:sz w:val="24"/>
        </w:rPr>
      </w:pPr>
      <w:r>
        <w:rPr>
          <w:sz w:val="24"/>
        </w:rPr>
        <w:t>D. Data</w:t>
      </w:r>
    </w:p>
    <w:p w:rsidR="00EC60B9" w:rsidRPr="000756B1" w:rsidRDefault="007B5B81" w:rsidP="00E76718">
      <w:pPr>
        <w:numPr>
          <w:ilvl w:val="0"/>
          <w:numId w:val="8"/>
        </w:numPr>
        <w:tabs>
          <w:tab w:val="clear" w:pos="720"/>
          <w:tab w:val="num" w:pos="360"/>
        </w:tabs>
        <w:ind w:left="360"/>
        <w:jc w:val="both"/>
        <w:rPr>
          <w:b/>
        </w:rPr>
      </w:pPr>
      <w:r w:rsidRPr="000756B1">
        <w:rPr>
          <w:b/>
          <w:u w:val="single"/>
        </w:rPr>
        <w:t>Summary of new information</w:t>
      </w:r>
      <w:r w:rsidR="00EC60B9" w:rsidRPr="000756B1">
        <w:rPr>
          <w:b/>
        </w:rPr>
        <w:t>:</w:t>
      </w:r>
    </w:p>
    <w:p w:rsidR="000E47FC" w:rsidRPr="00DB05AF" w:rsidRDefault="00EC60B9" w:rsidP="002F1A19">
      <w:pPr>
        <w:numPr>
          <w:ilvl w:val="0"/>
          <w:numId w:val="16"/>
        </w:numPr>
        <w:tabs>
          <w:tab w:val="clear" w:pos="1080"/>
          <w:tab w:val="num" w:pos="720"/>
        </w:tabs>
        <w:ind w:left="720"/>
        <w:jc w:val="both"/>
      </w:pPr>
      <w:r>
        <w:t xml:space="preserve">Retained catch </w:t>
      </w:r>
      <w:r w:rsidR="00AB6647">
        <w:t>and estimated bycatch during the 201</w:t>
      </w:r>
      <w:r w:rsidR="008611C0">
        <w:t>2</w:t>
      </w:r>
      <w:r w:rsidR="00AB6647">
        <w:t xml:space="preserve"> directed fishery </w:t>
      </w:r>
      <w:r>
        <w:t>(</w:t>
      </w:r>
      <w:r w:rsidR="00AB6647">
        <w:t>both of which are confidential</w:t>
      </w:r>
      <w:r>
        <w:t>)</w:t>
      </w:r>
      <w:r w:rsidR="00AB6647">
        <w:t>, estimated bycatch in non-directed crab fisheries during 201</w:t>
      </w:r>
      <w:r w:rsidR="008611C0">
        <w:t>2</w:t>
      </w:r>
      <w:r w:rsidR="00AB6647">
        <w:t>, and estimated bycatch in groundfish fisheries during the 20</w:t>
      </w:r>
      <w:r w:rsidR="00540A2B">
        <w:t>10</w:t>
      </w:r>
      <w:r w:rsidR="00AB6647">
        <w:t>/1</w:t>
      </w:r>
      <w:r w:rsidR="00540A2B">
        <w:t>1</w:t>
      </w:r>
      <w:r w:rsidR="00AB6647">
        <w:t xml:space="preserve"> crab fishery year have been added</w:t>
      </w:r>
      <w:r>
        <w:t>.</w:t>
      </w:r>
      <w:r w:rsidR="00297429">
        <w:t xml:space="preserve"> </w:t>
      </w:r>
      <w:r w:rsidR="008611C0">
        <w:t>Results for golden king crab from the 2012 eastern Bering Sea upper continental slope survey are presented in Gaeuman (2013).</w:t>
      </w:r>
    </w:p>
    <w:p w:rsidR="00206D13" w:rsidRPr="0087363F" w:rsidRDefault="00206D13" w:rsidP="00644AD0">
      <w:pPr>
        <w:jc w:val="both"/>
      </w:pPr>
    </w:p>
    <w:p w:rsidR="00206D13" w:rsidRPr="000756B1" w:rsidRDefault="007B5B81" w:rsidP="00E76718">
      <w:pPr>
        <w:numPr>
          <w:ilvl w:val="0"/>
          <w:numId w:val="8"/>
        </w:numPr>
        <w:tabs>
          <w:tab w:val="clear" w:pos="720"/>
          <w:tab w:val="num" w:pos="360"/>
        </w:tabs>
        <w:ind w:left="360"/>
        <w:jc w:val="both"/>
        <w:rPr>
          <w:b/>
        </w:rPr>
      </w:pPr>
      <w:r w:rsidRPr="000756B1">
        <w:rPr>
          <w:b/>
          <w:u w:val="single"/>
        </w:rPr>
        <w:t>Data presented as time series</w:t>
      </w:r>
      <w:r w:rsidR="00FC1F47" w:rsidRPr="000756B1">
        <w:rPr>
          <w:b/>
        </w:rPr>
        <w:t>:</w:t>
      </w:r>
    </w:p>
    <w:p w:rsidR="001B0874" w:rsidRPr="000756B1" w:rsidRDefault="001B0874" w:rsidP="002F1A19">
      <w:pPr>
        <w:numPr>
          <w:ilvl w:val="0"/>
          <w:numId w:val="18"/>
        </w:numPr>
        <w:tabs>
          <w:tab w:val="clear" w:pos="720"/>
          <w:tab w:val="num" w:pos="360"/>
          <w:tab w:val="num" w:pos="1440"/>
        </w:tabs>
        <w:ind w:left="360"/>
        <w:jc w:val="both"/>
        <w:rPr>
          <w:b/>
          <w:i/>
          <w:u w:val="single"/>
        </w:rPr>
      </w:pPr>
      <w:r w:rsidRPr="000756B1">
        <w:rPr>
          <w:b/>
          <w:i/>
          <w:u w:val="single"/>
        </w:rPr>
        <w:t>Total catch</w:t>
      </w:r>
      <w:r w:rsidRPr="000756B1">
        <w:rPr>
          <w:b/>
          <w:i/>
        </w:rPr>
        <w:t xml:space="preserve"> and b.  </w:t>
      </w:r>
      <w:r w:rsidRPr="000756B1">
        <w:rPr>
          <w:b/>
          <w:i/>
          <w:u w:val="single"/>
        </w:rPr>
        <w:t>Information on bycatch and discards</w:t>
      </w:r>
      <w:r w:rsidRPr="000756B1">
        <w:rPr>
          <w:b/>
          <w:i/>
        </w:rPr>
        <w:t>:</w:t>
      </w:r>
    </w:p>
    <w:p w:rsidR="00FC1F47" w:rsidRPr="009C1951" w:rsidRDefault="00FC1F47" w:rsidP="002F1A19">
      <w:pPr>
        <w:numPr>
          <w:ilvl w:val="0"/>
          <w:numId w:val="17"/>
        </w:numPr>
        <w:tabs>
          <w:tab w:val="clear" w:pos="1080"/>
          <w:tab w:val="num" w:pos="720"/>
        </w:tabs>
        <w:ind w:left="720"/>
        <w:jc w:val="both"/>
      </w:pPr>
      <w:r w:rsidRPr="009C1951">
        <w:t>The 19</w:t>
      </w:r>
      <w:r w:rsidR="004170C0" w:rsidRPr="009C1951">
        <w:t>81</w:t>
      </w:r>
      <w:r w:rsidRPr="009C1951">
        <w:t>/</w:t>
      </w:r>
      <w:r w:rsidR="004170C0" w:rsidRPr="009C1951">
        <w:t>82</w:t>
      </w:r>
      <w:r w:rsidRPr="009C1951">
        <w:t>–</w:t>
      </w:r>
      <w:r w:rsidR="00CB416D">
        <w:t>1983/84, 1984–20</w:t>
      </w:r>
      <w:r w:rsidR="00686460">
        <w:t>1</w:t>
      </w:r>
      <w:r w:rsidR="00D34EC4">
        <w:t>2 t</w:t>
      </w:r>
      <w:r w:rsidRPr="009C1951">
        <w:t xml:space="preserve">ime series of retained catch (number and pounds of </w:t>
      </w:r>
      <w:r w:rsidR="008E47B6">
        <w:t>crab</w:t>
      </w:r>
      <w:r w:rsidRPr="009C1951">
        <w:t xml:space="preserve"> harvested, including </w:t>
      </w:r>
      <w:proofErr w:type="spellStart"/>
      <w:r w:rsidRPr="009C1951">
        <w:t>deadloss</w:t>
      </w:r>
      <w:proofErr w:type="spellEnd"/>
      <w:r w:rsidRPr="009C1951">
        <w:t xml:space="preserve">), effort (vessels, landings, and pot lifts), </w:t>
      </w:r>
      <w:r w:rsidR="000749E1" w:rsidRPr="009C1951">
        <w:t xml:space="preserve">average weight of landed </w:t>
      </w:r>
      <w:r w:rsidR="008E47B6">
        <w:t>crab</w:t>
      </w:r>
      <w:r w:rsidR="000749E1" w:rsidRPr="009C1951">
        <w:t xml:space="preserve">, average carapace length of landed </w:t>
      </w:r>
      <w:r w:rsidR="008E47B6">
        <w:t>crab</w:t>
      </w:r>
      <w:r w:rsidR="000749E1" w:rsidRPr="009C1951">
        <w:t xml:space="preserve">, and CPUE (number of landed </w:t>
      </w:r>
      <w:r w:rsidR="008E47B6">
        <w:t>crab</w:t>
      </w:r>
      <w:r w:rsidR="000749E1" w:rsidRPr="009C1951">
        <w:t xml:space="preserve"> captured per pot lift</w:t>
      </w:r>
      <w:r w:rsidR="00375550">
        <w:t>) are</w:t>
      </w:r>
      <w:r w:rsidR="000749E1" w:rsidRPr="009C1951">
        <w:t xml:space="preserve"> presented in Table 1.</w:t>
      </w:r>
      <w:r w:rsidR="007C5E10" w:rsidRPr="009C1951">
        <w:t xml:space="preserve">  </w:t>
      </w:r>
    </w:p>
    <w:p w:rsidR="002B4856" w:rsidRDefault="009107CD" w:rsidP="002F1A19">
      <w:pPr>
        <w:numPr>
          <w:ilvl w:val="1"/>
          <w:numId w:val="17"/>
        </w:numPr>
        <w:tabs>
          <w:tab w:val="clear" w:pos="1080"/>
          <w:tab w:val="num" w:pos="720"/>
        </w:tabs>
        <w:ind w:left="720"/>
        <w:jc w:val="both"/>
      </w:pPr>
      <w:r w:rsidRPr="009C1951">
        <w:t xml:space="preserve">The </w:t>
      </w:r>
      <w:r w:rsidR="007D6D49">
        <w:t>1993</w:t>
      </w:r>
      <w:r w:rsidR="0094270C" w:rsidRPr="009C1951">
        <w:t>–20</w:t>
      </w:r>
      <w:r w:rsidR="00686460">
        <w:t>1</w:t>
      </w:r>
      <w:r w:rsidR="00D34EC4">
        <w:t>2</w:t>
      </w:r>
      <w:r w:rsidR="0094270C" w:rsidRPr="009C1951">
        <w:t xml:space="preserve"> </w:t>
      </w:r>
      <w:r w:rsidRPr="009C1951">
        <w:t xml:space="preserve">time series of </w:t>
      </w:r>
      <w:r w:rsidR="009C1951" w:rsidRPr="009C1951">
        <w:t xml:space="preserve">weight of retained catch, </w:t>
      </w:r>
      <w:r w:rsidR="0094270C" w:rsidRPr="009C1951">
        <w:t xml:space="preserve">estimated bycatch </w:t>
      </w:r>
      <w:r w:rsidR="009C1951" w:rsidRPr="009C1951">
        <w:t xml:space="preserve">and </w:t>
      </w:r>
      <w:r w:rsidR="00E01EE8">
        <w:t>estimated weight of</w:t>
      </w:r>
      <w:r w:rsidR="00E01EE8" w:rsidRPr="009C1951">
        <w:t xml:space="preserve"> </w:t>
      </w:r>
      <w:r w:rsidR="009C1951" w:rsidRPr="009C1951">
        <w:t xml:space="preserve">fishery mortality </w:t>
      </w:r>
      <w:r w:rsidR="0094270C" w:rsidRPr="009C1951">
        <w:t xml:space="preserve">of </w:t>
      </w:r>
      <w:r w:rsidR="00140C26" w:rsidRPr="009C1951">
        <w:t xml:space="preserve">Pribilof </w:t>
      </w:r>
      <w:r w:rsidR="0094270C" w:rsidRPr="009C1951">
        <w:t xml:space="preserve">golden king </w:t>
      </w:r>
      <w:r w:rsidR="008E47B6">
        <w:t>crab</w:t>
      </w:r>
      <w:r w:rsidR="0094270C" w:rsidRPr="009C1951">
        <w:t xml:space="preserve"> during </w:t>
      </w:r>
      <w:r w:rsidR="00140C26" w:rsidRPr="009C1951">
        <w:t xml:space="preserve">commercial </w:t>
      </w:r>
      <w:r w:rsidR="0094270C" w:rsidRPr="009C1951">
        <w:t>crab fisheries</w:t>
      </w:r>
      <w:r w:rsidR="00904879">
        <w:t xml:space="preserve"> are</w:t>
      </w:r>
      <w:r w:rsidRPr="009C1951">
        <w:t xml:space="preserve"> given in Table 2.  </w:t>
      </w:r>
      <w:r w:rsidR="000761E4" w:rsidRPr="009C1951">
        <w:t xml:space="preserve">Bycatch of Pribilof golden king </w:t>
      </w:r>
      <w:r w:rsidR="008E47B6">
        <w:t>crab</w:t>
      </w:r>
      <w:r w:rsidR="000761E4" w:rsidRPr="009C1951">
        <w:t xml:space="preserve"> occurs mainly in the directed golden king crab fishery, when prosecuted, and to a lesser extent in the Bering Sea snow crab fishery and the Bering Sea grooved Tanner crab fishery.  Because the Bering Sea snow crab fishery is prosecuted mainly or entirely between January and May and the Bering Sea grooved Tanner crab fishery is prosecuted w</w:t>
      </w:r>
      <w:r w:rsidR="00020BC5">
        <w:t xml:space="preserve">ith a calendar-year season, bycatch </w:t>
      </w:r>
      <w:r w:rsidR="000761E4" w:rsidRPr="009C1951">
        <w:t xml:space="preserve">for the crab fisheries can be estimated on a calendar-year basis to align with the season for Pribilof District golden king crab.  </w:t>
      </w:r>
      <w:r w:rsidR="003E25B7" w:rsidRPr="009C1951">
        <w:t xml:space="preserve">Observer data on size distributions and estimated catch numbers of non-retained catch were used to estimate the weight of non-retained catch of </w:t>
      </w:r>
      <w:r w:rsidR="00DB1F2D">
        <w:t>golden king crab</w:t>
      </w:r>
      <w:r w:rsidR="003E25B7" w:rsidRPr="009C1951">
        <w:t xml:space="preserve"> by applying a weight-at-length estimator (see below).  </w:t>
      </w:r>
      <w:r w:rsidR="004B33E9">
        <w:t>O</w:t>
      </w:r>
      <w:r w:rsidR="000761E4" w:rsidRPr="009C1951">
        <w:t xml:space="preserve">bservers were </w:t>
      </w:r>
      <w:r w:rsidR="004B33E9">
        <w:t xml:space="preserve">first </w:t>
      </w:r>
      <w:r w:rsidR="000761E4" w:rsidRPr="009C1951">
        <w:t xml:space="preserve">deployed to collect </w:t>
      </w:r>
      <w:r w:rsidR="004B33E9">
        <w:t xml:space="preserve">bycatch </w:t>
      </w:r>
      <w:r w:rsidR="000761E4" w:rsidRPr="009C1951">
        <w:t>data during the Pribilof District golden king crab fishery</w:t>
      </w:r>
      <w:r w:rsidR="00BA0805">
        <w:t xml:space="preserve"> in 2001 and during the </w:t>
      </w:r>
      <w:r w:rsidR="007D6D49">
        <w:t>Bering Sea grooved Tanner crab fishery</w:t>
      </w:r>
      <w:r w:rsidR="00BA0805">
        <w:t xml:space="preserve"> in 1994</w:t>
      </w:r>
      <w:r w:rsidR="007D6D49">
        <w:t xml:space="preserve">. </w:t>
      </w:r>
      <w:r w:rsidR="003D1089">
        <w:t>R</w:t>
      </w:r>
      <w:r w:rsidR="009C1951" w:rsidRPr="009C1951">
        <w:t xml:space="preserve">etained catch </w:t>
      </w:r>
      <w:r w:rsidR="007D6D49">
        <w:t>or</w:t>
      </w:r>
      <w:r w:rsidR="00C81C92" w:rsidRPr="009C1951">
        <w:t xml:space="preserve"> observer</w:t>
      </w:r>
      <w:r w:rsidR="007A594E" w:rsidRPr="009C1951">
        <w:t xml:space="preserve"> data </w:t>
      </w:r>
      <w:r w:rsidR="000007A5">
        <w:t>are</w:t>
      </w:r>
      <w:r w:rsidR="000761E4" w:rsidRPr="009C1951">
        <w:t xml:space="preserve"> confidential for </w:t>
      </w:r>
      <w:r w:rsidR="00314E53">
        <w:t xml:space="preserve">at least one of the crab fisheries in </w:t>
      </w:r>
      <w:r w:rsidR="007D6D49">
        <w:t>1999–</w:t>
      </w:r>
      <w:r w:rsidR="000761E4" w:rsidRPr="009C1951">
        <w:t>2001</w:t>
      </w:r>
      <w:r w:rsidR="000007A5">
        <w:t>,</w:t>
      </w:r>
      <w:r w:rsidR="000761E4" w:rsidRPr="009C1951">
        <w:t xml:space="preserve"> 2003–2005</w:t>
      </w:r>
      <w:r w:rsidR="00686460">
        <w:t>,</w:t>
      </w:r>
      <w:r w:rsidR="000007A5">
        <w:t xml:space="preserve"> </w:t>
      </w:r>
      <w:r w:rsidR="00A33615">
        <w:t xml:space="preserve">and </w:t>
      </w:r>
      <w:r w:rsidR="000007A5">
        <w:t>2010</w:t>
      </w:r>
      <w:r w:rsidR="00A33615">
        <w:t>−</w:t>
      </w:r>
      <w:r w:rsidR="00686460">
        <w:t>201</w:t>
      </w:r>
      <w:r w:rsidR="00D447AA">
        <w:t>2</w:t>
      </w:r>
      <w:r w:rsidR="009C1951" w:rsidRPr="009C1951">
        <w:t xml:space="preserve">. </w:t>
      </w:r>
      <w:r w:rsidR="00C81C92">
        <w:t xml:space="preserve"> </w:t>
      </w:r>
      <w:r w:rsidR="009C1951" w:rsidRPr="009C1951">
        <w:t>Following Siddeek et al. (20</w:t>
      </w:r>
      <w:r w:rsidR="00B46CC9">
        <w:t>1</w:t>
      </w:r>
      <w:r w:rsidR="00686460">
        <w:t>1</w:t>
      </w:r>
      <w:r w:rsidR="009C1951" w:rsidRPr="009C1951">
        <w:t xml:space="preserve">), the </w:t>
      </w:r>
      <w:r w:rsidR="00D26083">
        <w:t>bycatch</w:t>
      </w:r>
      <w:r w:rsidR="009C1951" w:rsidRPr="009C1951">
        <w:t xml:space="preserve"> mortality rate of </w:t>
      </w:r>
      <w:r w:rsidR="006729BB">
        <w:t xml:space="preserve">golden </w:t>
      </w:r>
      <w:r w:rsidR="009C1951" w:rsidRPr="009C1951">
        <w:t xml:space="preserve">king </w:t>
      </w:r>
      <w:r w:rsidR="008E47B6">
        <w:t>crab</w:t>
      </w:r>
      <w:r w:rsidR="009C1951" w:rsidRPr="009C1951">
        <w:t xml:space="preserve"> captured and discarded during Aleutian Islands </w:t>
      </w:r>
      <w:r w:rsidR="006729BB">
        <w:t xml:space="preserve">golden </w:t>
      </w:r>
      <w:r w:rsidR="009C1951" w:rsidRPr="009C1951">
        <w:t>king crab fisher</w:t>
      </w:r>
      <w:r w:rsidR="006729BB">
        <w:t>y</w:t>
      </w:r>
      <w:r w:rsidR="009C1951" w:rsidRPr="009C1951">
        <w:t xml:space="preserve"> was assumed </w:t>
      </w:r>
      <w:r w:rsidR="009C1951" w:rsidRPr="002B4856">
        <w:t xml:space="preserve">to be 0.2.  </w:t>
      </w:r>
      <w:r w:rsidR="000761E4" w:rsidRPr="002B4856">
        <w:t xml:space="preserve"> </w:t>
      </w:r>
      <w:r w:rsidR="00EA10DB" w:rsidRPr="002B4856">
        <w:t>Following Foy (20</w:t>
      </w:r>
      <w:r w:rsidR="0099436A">
        <w:t>1</w:t>
      </w:r>
      <w:r w:rsidR="00D447AA">
        <w:t>2</w:t>
      </w:r>
      <w:r w:rsidR="0099436A">
        <w:t xml:space="preserve">a, </w:t>
      </w:r>
      <w:r w:rsidR="00D447AA">
        <w:t>2012</w:t>
      </w:r>
      <w:r w:rsidR="0099436A">
        <w:t>b</w:t>
      </w:r>
      <w:r w:rsidR="00EA10DB" w:rsidRPr="002B4856">
        <w:t xml:space="preserve">), </w:t>
      </w:r>
      <w:r w:rsidR="00D26083" w:rsidRPr="002B4856">
        <w:t>bycatch</w:t>
      </w:r>
      <w:r w:rsidR="00E01EE8" w:rsidRPr="002B4856">
        <w:t xml:space="preserve"> </w:t>
      </w:r>
      <w:r w:rsidR="009C1951" w:rsidRPr="002B4856">
        <w:t xml:space="preserve">mortality </w:t>
      </w:r>
      <w:r w:rsidR="00E01EE8" w:rsidRPr="002B4856">
        <w:t xml:space="preserve">rate </w:t>
      </w:r>
      <w:r w:rsidR="00314E53">
        <w:t xml:space="preserve">of king crab </w:t>
      </w:r>
      <w:r w:rsidR="009C1951" w:rsidRPr="002B4856">
        <w:t xml:space="preserve">during the snow crab </w:t>
      </w:r>
      <w:r w:rsidR="00EA10DB" w:rsidRPr="002B4856">
        <w:t xml:space="preserve">fishery </w:t>
      </w:r>
      <w:r w:rsidR="00E01EE8" w:rsidRPr="002B4856">
        <w:t>was assumed to be 0.5</w:t>
      </w:r>
      <w:r w:rsidR="00EA10DB" w:rsidRPr="002B4856">
        <w:t xml:space="preserve">.  The </w:t>
      </w:r>
      <w:r w:rsidR="00D26083" w:rsidRPr="002B4856">
        <w:t>bycatch</w:t>
      </w:r>
      <w:r w:rsidR="00EA10DB" w:rsidRPr="002B4856">
        <w:t xml:space="preserve"> mortality rate during the </w:t>
      </w:r>
      <w:r w:rsidR="009C1951" w:rsidRPr="002B4856">
        <w:t xml:space="preserve">grooved Tanner crab fishery was </w:t>
      </w:r>
      <w:r w:rsidR="00EA10DB" w:rsidRPr="002B4856">
        <w:t xml:space="preserve">also </w:t>
      </w:r>
      <w:r w:rsidR="009C1951" w:rsidRPr="002B4856">
        <w:t>assumed to be 0.5</w:t>
      </w:r>
      <w:r w:rsidR="006743C0" w:rsidRPr="002B4856">
        <w:t xml:space="preserve">. </w:t>
      </w:r>
    </w:p>
    <w:p w:rsidR="00C81C92" w:rsidRPr="002B4856" w:rsidRDefault="00724987" w:rsidP="002F1A19">
      <w:pPr>
        <w:numPr>
          <w:ilvl w:val="1"/>
          <w:numId w:val="17"/>
        </w:numPr>
        <w:tabs>
          <w:tab w:val="clear" w:pos="1080"/>
          <w:tab w:val="num" w:pos="720"/>
        </w:tabs>
        <w:ind w:left="720"/>
        <w:jc w:val="both"/>
      </w:pPr>
      <w:r w:rsidRPr="002B4856">
        <w:t>The groundfish</w:t>
      </w:r>
      <w:r w:rsidR="00552652">
        <w:t xml:space="preserve"> fishery data </w:t>
      </w:r>
      <w:r w:rsidRPr="002B4856">
        <w:t xml:space="preserve">were grouped into crab fishery years, rather than into calendar years.  </w:t>
      </w:r>
      <w:r w:rsidR="008F3C1D" w:rsidRPr="002B4856">
        <w:t>The 199</w:t>
      </w:r>
      <w:r w:rsidR="002D753C" w:rsidRPr="002B4856">
        <w:t>1</w:t>
      </w:r>
      <w:r w:rsidR="008F3C1D" w:rsidRPr="002B4856">
        <w:t>/9</w:t>
      </w:r>
      <w:r w:rsidR="002D753C" w:rsidRPr="002B4856">
        <w:t>2</w:t>
      </w:r>
      <w:r w:rsidR="008F3C1D" w:rsidRPr="002B4856">
        <w:t>–20</w:t>
      </w:r>
      <w:r w:rsidR="00686460">
        <w:t>1</w:t>
      </w:r>
      <w:r w:rsidR="00CC580E">
        <w:t>1</w:t>
      </w:r>
      <w:r w:rsidR="008F3C1D" w:rsidRPr="002B4856">
        <w:t>/</w:t>
      </w:r>
      <w:r w:rsidRPr="002B4856">
        <w:t>1</w:t>
      </w:r>
      <w:r w:rsidR="00CC580E">
        <w:t>2</w:t>
      </w:r>
      <w:r w:rsidR="008F3C1D" w:rsidRPr="002B4856">
        <w:t xml:space="preserve"> time series of </w:t>
      </w:r>
      <w:r w:rsidR="00C81C92" w:rsidRPr="002B4856">
        <w:t xml:space="preserve">estimated </w:t>
      </w:r>
      <w:r w:rsidRPr="002B4856">
        <w:t xml:space="preserve">annual </w:t>
      </w:r>
      <w:r w:rsidR="008F3C1D" w:rsidRPr="002B4856">
        <w:t xml:space="preserve">weight </w:t>
      </w:r>
      <w:r w:rsidR="00C81C92" w:rsidRPr="002B4856">
        <w:t xml:space="preserve">of </w:t>
      </w:r>
      <w:r w:rsidR="00DD35B6" w:rsidRPr="002B4856">
        <w:t xml:space="preserve">bycatch </w:t>
      </w:r>
      <w:r w:rsidR="00C81C92" w:rsidRPr="002B4856">
        <w:t xml:space="preserve">and total fishery mortality </w:t>
      </w:r>
      <w:r w:rsidR="00DD35B6" w:rsidRPr="002B4856">
        <w:t xml:space="preserve">of </w:t>
      </w:r>
      <w:r w:rsidR="002D753C" w:rsidRPr="002B4856">
        <w:t xml:space="preserve">golden king </w:t>
      </w:r>
      <w:r w:rsidR="008E47B6">
        <w:t>crab</w:t>
      </w:r>
      <w:r w:rsidR="002D753C" w:rsidRPr="002B4856">
        <w:t xml:space="preserve"> in </w:t>
      </w:r>
      <w:r w:rsidR="00C03C0A" w:rsidRPr="002B4856">
        <w:t>reporting areas</w:t>
      </w:r>
      <w:r w:rsidR="00C03C0A" w:rsidRPr="00C81C92">
        <w:t xml:space="preserve"> 5</w:t>
      </w:r>
      <w:r w:rsidR="002D753C" w:rsidRPr="00C81C92">
        <w:t>13</w:t>
      </w:r>
      <w:r w:rsidR="00C03C0A" w:rsidRPr="00C81C92">
        <w:t>, 5</w:t>
      </w:r>
      <w:r w:rsidR="002D753C" w:rsidRPr="00C81C92">
        <w:t>17</w:t>
      </w:r>
      <w:r w:rsidR="00C03C0A" w:rsidRPr="00C81C92">
        <w:t>, and 5</w:t>
      </w:r>
      <w:r w:rsidR="002D753C" w:rsidRPr="00C81C92">
        <w:t>21</w:t>
      </w:r>
      <w:r w:rsidR="00C03C0A" w:rsidRPr="00C81C92">
        <w:t xml:space="preserve"> </w:t>
      </w:r>
      <w:r w:rsidR="00DD35B6" w:rsidRPr="00C81C92">
        <w:t>during federal groundfish fisheries by gear type (</w:t>
      </w:r>
      <w:r>
        <w:t>combinin</w:t>
      </w:r>
      <w:r w:rsidR="00314E53">
        <w:t xml:space="preserve">g pot and hook-and-line gear </w:t>
      </w:r>
      <w:r>
        <w:t xml:space="preserve">as </w:t>
      </w:r>
      <w:r w:rsidR="00314E53">
        <w:t xml:space="preserve">a </w:t>
      </w:r>
      <w:r>
        <w:t>single “</w:t>
      </w:r>
      <w:r w:rsidR="00DD35B6" w:rsidRPr="00C81C92">
        <w:t>fixed</w:t>
      </w:r>
      <w:r>
        <w:t xml:space="preserve"> gear” category</w:t>
      </w:r>
      <w:r w:rsidR="00DD35B6" w:rsidRPr="00C81C92">
        <w:t xml:space="preserve"> </w:t>
      </w:r>
      <w:r>
        <w:t xml:space="preserve">and combining non-pelagic and pelagic </w:t>
      </w:r>
      <w:r w:rsidR="00DD35B6" w:rsidRPr="00C81C92">
        <w:t>trawl</w:t>
      </w:r>
      <w:r>
        <w:t xml:space="preserve"> gear as a single “trawl” cat</w:t>
      </w:r>
      <w:r w:rsidR="00335FB0">
        <w:t>e</w:t>
      </w:r>
      <w:r>
        <w:t>gory</w:t>
      </w:r>
      <w:r w:rsidR="00DD35B6" w:rsidRPr="00C81C92">
        <w:t>) is provided in Table 3.</w:t>
      </w:r>
      <w:r w:rsidR="00E9437C">
        <w:t xml:space="preserve"> Following Foy </w:t>
      </w:r>
      <w:r w:rsidR="00C81C92">
        <w:t>(20</w:t>
      </w:r>
      <w:r>
        <w:t>1</w:t>
      </w:r>
      <w:r w:rsidR="00CC580E">
        <w:t>2</w:t>
      </w:r>
      <w:r w:rsidR="00B85992">
        <w:t xml:space="preserve">a, </w:t>
      </w:r>
      <w:r w:rsidR="00CC580E">
        <w:t>2012</w:t>
      </w:r>
      <w:r w:rsidR="00B85992">
        <w:t>b</w:t>
      </w:r>
      <w:r w:rsidR="00C81C92">
        <w:t xml:space="preserve">), the </w:t>
      </w:r>
      <w:r w:rsidR="00D26083">
        <w:t>bycatch</w:t>
      </w:r>
      <w:r w:rsidR="00C81C92">
        <w:t xml:space="preserve"> mortality of king </w:t>
      </w:r>
      <w:r w:rsidR="008E47B6">
        <w:t>crab</w:t>
      </w:r>
      <w:r w:rsidR="00C81C92">
        <w:t xml:space="preserve"> captured by fixed gear during groundfish fisheries was assumed to be 0.5 and of king </w:t>
      </w:r>
      <w:r w:rsidR="008E47B6">
        <w:t>crab</w:t>
      </w:r>
      <w:r w:rsidR="00C81C92">
        <w:t xml:space="preserve"> captured by trawls during groundfish fisheries was assumed to be 0.</w:t>
      </w:r>
      <w:r w:rsidR="00C81C92" w:rsidRPr="002B4856">
        <w:t>8.</w:t>
      </w:r>
    </w:p>
    <w:p w:rsidR="000756B1" w:rsidRDefault="000756B1" w:rsidP="00B85992">
      <w:pPr>
        <w:jc w:val="right"/>
      </w:pPr>
    </w:p>
    <w:p w:rsidR="00127C1B" w:rsidRDefault="005F79BF" w:rsidP="002F1A19">
      <w:pPr>
        <w:numPr>
          <w:ilvl w:val="0"/>
          <w:numId w:val="22"/>
        </w:numPr>
        <w:jc w:val="both"/>
      </w:pPr>
      <w:r w:rsidRPr="001C3898">
        <w:rPr>
          <w:b/>
          <w:i/>
          <w:u w:val="single"/>
        </w:rPr>
        <w:t>Catch-at-length</w:t>
      </w:r>
      <w:r w:rsidRPr="001C3898">
        <w:rPr>
          <w:b/>
          <w:i/>
        </w:rPr>
        <w:t>:</w:t>
      </w:r>
      <w:r w:rsidR="001C3898">
        <w:t xml:space="preserve"> Not used in a Tier 5 assessment; none are presented.</w:t>
      </w:r>
    </w:p>
    <w:p w:rsidR="005F79BF" w:rsidRDefault="005F79BF" w:rsidP="005F79BF">
      <w:pPr>
        <w:ind w:left="360"/>
        <w:jc w:val="both"/>
      </w:pPr>
    </w:p>
    <w:p w:rsidR="005F79BF" w:rsidRPr="001C3898" w:rsidRDefault="005F79BF" w:rsidP="002F1A19">
      <w:pPr>
        <w:numPr>
          <w:ilvl w:val="0"/>
          <w:numId w:val="22"/>
        </w:numPr>
        <w:jc w:val="both"/>
        <w:rPr>
          <w:b/>
          <w:i/>
        </w:rPr>
      </w:pPr>
      <w:r w:rsidRPr="001C3898">
        <w:rPr>
          <w:b/>
          <w:i/>
          <w:u w:val="single"/>
        </w:rPr>
        <w:t>Survey biomass estimates</w:t>
      </w:r>
      <w:r w:rsidRPr="001C3898">
        <w:rPr>
          <w:b/>
          <w:i/>
        </w:rPr>
        <w:t>:</w:t>
      </w:r>
      <w:r w:rsidR="000756B1" w:rsidRPr="001C3898">
        <w:rPr>
          <w:b/>
          <w:i/>
        </w:rPr>
        <w:t xml:space="preserve">  </w:t>
      </w:r>
      <w:r w:rsidR="001C3898">
        <w:t xml:space="preserve">Survey biomass estimates are not used in a Tier 5 assessment. However, </w:t>
      </w:r>
      <w:r w:rsidR="00BC24B5">
        <w:t xml:space="preserve">see Gaeuman (2013) for </w:t>
      </w:r>
      <w:r w:rsidR="001C3898">
        <w:t>b</w:t>
      </w:r>
      <w:r w:rsidR="00F54CFA">
        <w:t xml:space="preserve">iomass estimates of golden king </w:t>
      </w:r>
      <w:r w:rsidR="008E47B6">
        <w:t>crab</w:t>
      </w:r>
      <w:r w:rsidR="00F54CFA">
        <w:t xml:space="preserve"> </w:t>
      </w:r>
      <w:r w:rsidR="00BC24B5">
        <w:t xml:space="preserve">using data </w:t>
      </w:r>
      <w:r w:rsidR="00F54CFA">
        <w:t>from NMFS-AFSC eastern Bering Sea</w:t>
      </w:r>
      <w:r w:rsidR="00557B72">
        <w:t xml:space="preserve"> upper</w:t>
      </w:r>
      <w:r w:rsidR="00F54CFA">
        <w:t xml:space="preserve"> continental slope trawl survey.</w:t>
      </w:r>
      <w:r w:rsidR="009D271F">
        <w:t xml:space="preserve">  </w:t>
      </w:r>
    </w:p>
    <w:p w:rsidR="005F79BF" w:rsidRDefault="005F79BF" w:rsidP="005F79BF">
      <w:pPr>
        <w:jc w:val="both"/>
      </w:pPr>
    </w:p>
    <w:p w:rsidR="005F79BF" w:rsidRDefault="005F79BF" w:rsidP="002F1A19">
      <w:pPr>
        <w:numPr>
          <w:ilvl w:val="0"/>
          <w:numId w:val="22"/>
        </w:numPr>
        <w:tabs>
          <w:tab w:val="num" w:pos="1440"/>
        </w:tabs>
        <w:jc w:val="both"/>
      </w:pPr>
      <w:r w:rsidRPr="001C3898">
        <w:rPr>
          <w:b/>
          <w:i/>
          <w:u w:val="single"/>
        </w:rPr>
        <w:t>Survey catch at length</w:t>
      </w:r>
      <w:r w:rsidRPr="001C3898">
        <w:rPr>
          <w:b/>
          <w:i/>
        </w:rPr>
        <w:t>:</w:t>
      </w:r>
      <w:r w:rsidR="001C3898">
        <w:t xml:space="preserve"> Survey catch at length </w:t>
      </w:r>
      <w:r w:rsidR="00F21E0A">
        <w:t>data are</w:t>
      </w:r>
      <w:r w:rsidR="001C3898">
        <w:t xml:space="preserve"> not used in a Tier 5 assessment. </w:t>
      </w:r>
      <w:r w:rsidR="00BC24B5">
        <w:t xml:space="preserve">However, see Gaeuman (2013) for </w:t>
      </w:r>
      <w:r w:rsidR="001C3898">
        <w:t>s</w:t>
      </w:r>
      <w:r w:rsidR="002B4D73" w:rsidRPr="002B4D73">
        <w:t xml:space="preserve">ize </w:t>
      </w:r>
      <w:r w:rsidR="00BC24B5">
        <w:t xml:space="preserve">data </w:t>
      </w:r>
      <w:r w:rsidR="00232702">
        <w:t>composition</w:t>
      </w:r>
      <w:r w:rsidR="002B4D73">
        <w:t xml:space="preserve"> by sex </w:t>
      </w:r>
      <w:r w:rsidR="002B4D73" w:rsidRPr="002B4D73">
        <w:t>of golden king crab</w:t>
      </w:r>
      <w:r w:rsidR="002B4D73">
        <w:t xml:space="preserve"> </w:t>
      </w:r>
      <w:r w:rsidR="00BC24B5">
        <w:t xml:space="preserve">during </w:t>
      </w:r>
      <w:r w:rsidR="002B4D73" w:rsidRPr="00532DA1">
        <w:t xml:space="preserve">Bering Sea </w:t>
      </w:r>
      <w:r w:rsidR="00557B72" w:rsidRPr="00532DA1">
        <w:t xml:space="preserve">upper </w:t>
      </w:r>
      <w:r w:rsidR="002B4D73" w:rsidRPr="00532DA1">
        <w:t xml:space="preserve">continental slope </w:t>
      </w:r>
      <w:r w:rsidR="00557B72" w:rsidRPr="00532DA1">
        <w:t xml:space="preserve">trawl </w:t>
      </w:r>
      <w:r w:rsidR="00716EA5">
        <w:t>survey</w:t>
      </w:r>
      <w:r w:rsidR="00BC24B5">
        <w:t>s</w:t>
      </w:r>
      <w:r w:rsidR="002B4D73">
        <w:t xml:space="preserve">. </w:t>
      </w:r>
    </w:p>
    <w:p w:rsidR="005F79BF" w:rsidRDefault="005F79BF" w:rsidP="005F79BF">
      <w:pPr>
        <w:jc w:val="both"/>
      </w:pPr>
    </w:p>
    <w:p w:rsidR="005F79BF" w:rsidRPr="00806091" w:rsidRDefault="005F79BF" w:rsidP="002F1A19">
      <w:pPr>
        <w:numPr>
          <w:ilvl w:val="0"/>
          <w:numId w:val="23"/>
        </w:numPr>
        <w:jc w:val="both"/>
        <w:rPr>
          <w:i/>
        </w:rPr>
      </w:pPr>
      <w:r w:rsidRPr="00AB6783">
        <w:rPr>
          <w:b/>
          <w:i/>
          <w:u w:val="single"/>
        </w:rPr>
        <w:t>Other data time series</w:t>
      </w:r>
      <w:r w:rsidRPr="00AB6783">
        <w:rPr>
          <w:b/>
          <w:i/>
        </w:rPr>
        <w:t>:</w:t>
      </w:r>
      <w:r w:rsidR="00806091">
        <w:rPr>
          <w:b/>
        </w:rPr>
        <w:t xml:space="preserve">  </w:t>
      </w:r>
      <w:r w:rsidR="00124513">
        <w:t>None</w:t>
      </w:r>
      <w:r w:rsidR="00806091" w:rsidRPr="00806091">
        <w:t>.</w:t>
      </w:r>
    </w:p>
    <w:p w:rsidR="00206D13" w:rsidRDefault="00206D13" w:rsidP="00206D13">
      <w:pPr>
        <w:ind w:left="360"/>
        <w:jc w:val="both"/>
      </w:pPr>
    </w:p>
    <w:p w:rsidR="007B5B81" w:rsidRPr="00AB6783" w:rsidRDefault="007B5B81" w:rsidP="002F1A19">
      <w:pPr>
        <w:numPr>
          <w:ilvl w:val="0"/>
          <w:numId w:val="19"/>
        </w:numPr>
        <w:jc w:val="both"/>
        <w:rPr>
          <w:b/>
        </w:rPr>
      </w:pPr>
      <w:r w:rsidRPr="00AB6783">
        <w:rPr>
          <w:b/>
          <w:u w:val="single"/>
        </w:rPr>
        <w:t>Data which may be aggregated over time</w:t>
      </w:r>
      <w:r w:rsidRPr="00AB6783">
        <w:rPr>
          <w:b/>
        </w:rPr>
        <w:t>:</w:t>
      </w:r>
    </w:p>
    <w:p w:rsidR="007B5B81" w:rsidRPr="00AB6783" w:rsidRDefault="007B5B81" w:rsidP="00AB6783">
      <w:pPr>
        <w:numPr>
          <w:ilvl w:val="1"/>
          <w:numId w:val="8"/>
        </w:numPr>
        <w:tabs>
          <w:tab w:val="num" w:pos="360"/>
        </w:tabs>
        <w:ind w:left="360"/>
        <w:jc w:val="both"/>
        <w:rPr>
          <w:b/>
          <w:i/>
          <w:u w:val="single"/>
        </w:rPr>
      </w:pPr>
      <w:r w:rsidRPr="00AB6783">
        <w:rPr>
          <w:b/>
          <w:i/>
          <w:u w:val="single"/>
        </w:rPr>
        <w:t>Growth-per-</w:t>
      </w:r>
      <w:proofErr w:type="spellStart"/>
      <w:r w:rsidRPr="00AB6783">
        <w:rPr>
          <w:b/>
          <w:i/>
          <w:u w:val="single"/>
        </w:rPr>
        <w:t>molt</w:t>
      </w:r>
      <w:proofErr w:type="spellEnd"/>
      <w:r w:rsidRPr="00AB6783">
        <w:rPr>
          <w:b/>
          <w:i/>
          <w:u w:val="single"/>
        </w:rPr>
        <w:t xml:space="preserve">; frequency of </w:t>
      </w:r>
      <w:proofErr w:type="spellStart"/>
      <w:r w:rsidRPr="00AB6783">
        <w:rPr>
          <w:b/>
          <w:i/>
          <w:u w:val="single"/>
        </w:rPr>
        <w:t>molting</w:t>
      </w:r>
      <w:proofErr w:type="spellEnd"/>
      <w:r w:rsidRPr="00AB6783">
        <w:rPr>
          <w:b/>
          <w:i/>
          <w:u w:val="single"/>
        </w:rPr>
        <w:t>, etc. (by sex and perhaps maturity state)</w:t>
      </w:r>
      <w:r w:rsidR="00206D13" w:rsidRPr="00AB6783">
        <w:rPr>
          <w:b/>
          <w:i/>
          <w:u w:val="single"/>
        </w:rPr>
        <w:t>:</w:t>
      </w:r>
    </w:p>
    <w:p w:rsidR="00806091" w:rsidRDefault="00E8117F" w:rsidP="000D749A">
      <w:pPr>
        <w:jc w:val="both"/>
      </w:pPr>
      <w:r>
        <w:t>The author is</w:t>
      </w:r>
      <w:r w:rsidR="006D71AB">
        <w:t xml:space="preserve"> not aware of data on growth per </w:t>
      </w:r>
      <w:proofErr w:type="spellStart"/>
      <w:r w:rsidR="006D71AB">
        <w:t>molt</w:t>
      </w:r>
      <w:proofErr w:type="spellEnd"/>
      <w:r w:rsidR="006D71AB">
        <w:t xml:space="preserve"> </w:t>
      </w:r>
      <w:r w:rsidR="00341257">
        <w:t xml:space="preserve">collected from golden king crab in the </w:t>
      </w:r>
      <w:r w:rsidR="006D71AB">
        <w:t xml:space="preserve">Pribilof </w:t>
      </w:r>
      <w:r w:rsidR="00341257">
        <w:t>District</w:t>
      </w:r>
      <w:r w:rsidR="006D71AB">
        <w:t xml:space="preserve">.  Growth per </w:t>
      </w:r>
      <w:proofErr w:type="spellStart"/>
      <w:r w:rsidR="006D71AB">
        <w:t>molt</w:t>
      </w:r>
      <w:proofErr w:type="spellEnd"/>
      <w:r w:rsidR="006D71AB">
        <w:t xml:space="preserve"> of juvenile golden king </w:t>
      </w:r>
      <w:r w:rsidR="008E47B6">
        <w:t>crab</w:t>
      </w:r>
      <w:r w:rsidR="00C82482">
        <w:t xml:space="preserve">, 2 </w:t>
      </w:r>
      <w:r w:rsidR="006D71AB">
        <w:t>–</w:t>
      </w:r>
      <w:r w:rsidR="00C82482">
        <w:t xml:space="preserve"> </w:t>
      </w:r>
      <w:r w:rsidR="006D71AB">
        <w:t>35</w:t>
      </w:r>
      <w:r w:rsidR="00C82482">
        <w:t xml:space="preserve"> </w:t>
      </w:r>
      <w:r w:rsidR="006D71AB">
        <w:t xml:space="preserve">mm CL, collected from Prince William Sound have been observed in a laboratory setting and equations describing the increase in CL and </w:t>
      </w:r>
      <w:proofErr w:type="spellStart"/>
      <w:r w:rsidR="006D71AB">
        <w:t>intermolt</w:t>
      </w:r>
      <w:proofErr w:type="spellEnd"/>
      <w:r w:rsidR="006D71AB">
        <w:t xml:space="preserve"> period were estimated from those observations (Paul and Paul 2001a); those results are not provided here.  </w:t>
      </w:r>
      <w:r w:rsidR="00F22568">
        <w:t xml:space="preserve">Growth per </w:t>
      </w:r>
      <w:proofErr w:type="spellStart"/>
      <w:r w:rsidR="00F22568">
        <w:t>molt</w:t>
      </w:r>
      <w:proofErr w:type="spellEnd"/>
      <w:r w:rsidR="00F22568">
        <w:t xml:space="preserve"> has also been estimated from golden king crab with CL ≥ 90 mm that were tagged in the Aleutian Islands and recovered during subsequent commercial fisheries (Watson et al. 2002); those results are not presented here</w:t>
      </w:r>
      <w:r w:rsidR="005178AD">
        <w:t xml:space="preserve"> because growth-per-</w:t>
      </w:r>
      <w:proofErr w:type="spellStart"/>
      <w:r w:rsidR="005178AD">
        <w:t>molt</w:t>
      </w:r>
      <w:proofErr w:type="spellEnd"/>
      <w:r w:rsidR="005178AD">
        <w:t xml:space="preserve"> information does not enter into a </w:t>
      </w:r>
      <w:r w:rsidR="00363280">
        <w:t>T</w:t>
      </w:r>
      <w:r w:rsidR="005178AD">
        <w:t>i</w:t>
      </w:r>
      <w:r w:rsidR="00363280">
        <w:t>e</w:t>
      </w:r>
      <w:r w:rsidR="005178AD">
        <w:t>r 5 assessment</w:t>
      </w:r>
      <w:r w:rsidR="00F22568">
        <w:t>.</w:t>
      </w:r>
    </w:p>
    <w:p w:rsidR="00806091" w:rsidRDefault="00806091" w:rsidP="000D749A">
      <w:pPr>
        <w:jc w:val="both"/>
      </w:pPr>
    </w:p>
    <w:p w:rsidR="000D749A" w:rsidRPr="00E10FEC" w:rsidRDefault="004D6A78" w:rsidP="000D749A">
      <w:pPr>
        <w:jc w:val="both"/>
      </w:pPr>
      <w:r>
        <w:t xml:space="preserve">See section </w:t>
      </w:r>
      <w:r w:rsidRPr="00E8117F">
        <w:rPr>
          <w:b/>
        </w:rPr>
        <w:t>C.4</w:t>
      </w:r>
      <w:r>
        <w:t xml:space="preserve"> for discussion of evidence that </w:t>
      </w:r>
      <w:r w:rsidRPr="009D271F">
        <w:t xml:space="preserve">mature female and the larger male golden king </w:t>
      </w:r>
      <w:r w:rsidR="008E47B6">
        <w:t>crab</w:t>
      </w:r>
      <w:r w:rsidRPr="009D271F">
        <w:t xml:space="preserve"> </w:t>
      </w:r>
      <w:r>
        <w:t xml:space="preserve">exhibit </w:t>
      </w:r>
      <w:r w:rsidRPr="009D271F">
        <w:t xml:space="preserve">asynchronous, </w:t>
      </w:r>
      <w:proofErr w:type="spellStart"/>
      <w:r w:rsidRPr="009D271F">
        <w:t>aseasonal</w:t>
      </w:r>
      <w:proofErr w:type="spellEnd"/>
      <w:r w:rsidRPr="009D271F">
        <w:t xml:space="preserve"> </w:t>
      </w:r>
      <w:proofErr w:type="spellStart"/>
      <w:r w:rsidRPr="009D271F">
        <w:t>molting</w:t>
      </w:r>
      <w:proofErr w:type="spellEnd"/>
      <w:r w:rsidRPr="009D271F">
        <w:t xml:space="preserve"> and </w:t>
      </w:r>
      <w:r>
        <w:t>a</w:t>
      </w:r>
      <w:r w:rsidRPr="009D271F">
        <w:t xml:space="preserve"> prolonge</w:t>
      </w:r>
      <w:r>
        <w:t xml:space="preserve">d </w:t>
      </w:r>
      <w:proofErr w:type="spellStart"/>
      <w:r>
        <w:t>intermolt</w:t>
      </w:r>
      <w:proofErr w:type="spellEnd"/>
      <w:r>
        <w:t xml:space="preserve"> period (&gt;1 year).</w:t>
      </w:r>
      <w:r w:rsidR="006D71AB">
        <w:t xml:space="preserve"> </w:t>
      </w:r>
      <w:r w:rsidR="000D749A" w:rsidRPr="00E10FEC">
        <w:t xml:space="preserve"> </w:t>
      </w:r>
    </w:p>
    <w:p w:rsidR="00206D13" w:rsidRPr="00206D13" w:rsidRDefault="00206D13" w:rsidP="00206D13">
      <w:pPr>
        <w:tabs>
          <w:tab w:val="num" w:pos="1440"/>
        </w:tabs>
        <w:ind w:left="360"/>
        <w:jc w:val="both"/>
        <w:rPr>
          <w:u w:val="single"/>
        </w:rPr>
      </w:pPr>
    </w:p>
    <w:p w:rsidR="007B5B81" w:rsidRPr="00AB6783" w:rsidRDefault="007B5B81" w:rsidP="00AB6783">
      <w:pPr>
        <w:numPr>
          <w:ilvl w:val="1"/>
          <w:numId w:val="8"/>
        </w:numPr>
        <w:tabs>
          <w:tab w:val="num" w:pos="360"/>
        </w:tabs>
        <w:ind w:left="360"/>
        <w:jc w:val="both"/>
        <w:rPr>
          <w:b/>
          <w:i/>
        </w:rPr>
      </w:pPr>
      <w:r w:rsidRPr="00AB6783">
        <w:rPr>
          <w:b/>
          <w:i/>
          <w:u w:val="single"/>
        </w:rPr>
        <w:t>Weight-at l</w:t>
      </w:r>
      <w:r w:rsidR="005F2FC4" w:rsidRPr="00AB6783">
        <w:rPr>
          <w:b/>
          <w:i/>
          <w:u w:val="single"/>
        </w:rPr>
        <w:t>ength or weight-at-age (by sex)</w:t>
      </w:r>
      <w:r w:rsidR="005F2FC4" w:rsidRPr="00AB6783">
        <w:rPr>
          <w:b/>
          <w:i/>
        </w:rPr>
        <w:t>:</w:t>
      </w:r>
    </w:p>
    <w:p w:rsidR="005F2FC4" w:rsidRDefault="005F2FC4" w:rsidP="005F2FC4">
      <w:pPr>
        <w:jc w:val="both"/>
      </w:pPr>
      <w:r>
        <w:t xml:space="preserve">Parameters (A and B) used for estimating weight (g) from carapace length (CL, mm) of male and female red king </w:t>
      </w:r>
      <w:r w:rsidR="008E47B6">
        <w:t>crab</w:t>
      </w:r>
      <w:r>
        <w:t xml:space="preserve"> according to the equation, Weight = A*CL</w:t>
      </w:r>
      <w:r>
        <w:rPr>
          <w:vertAlign w:val="superscript"/>
        </w:rPr>
        <w:t>B</w:t>
      </w:r>
      <w:r>
        <w:t xml:space="preserve"> (from Table 3-5, NPFMC 2007) are: A = 0.000</w:t>
      </w:r>
      <w:r w:rsidR="008F2982">
        <w:t>2988</w:t>
      </w:r>
      <w:r>
        <w:t xml:space="preserve"> and B = 3.1</w:t>
      </w:r>
      <w:r w:rsidR="008F2982">
        <w:t>35</w:t>
      </w:r>
      <w:r>
        <w:t xml:space="preserve"> for males and A = 0.</w:t>
      </w:r>
      <w:r w:rsidR="008F2982">
        <w:t>0</w:t>
      </w:r>
      <w:r>
        <w:t>0</w:t>
      </w:r>
      <w:r w:rsidR="008F2982">
        <w:t>1424 and B = 2.781</w:t>
      </w:r>
      <w:r w:rsidR="00357740">
        <w:t xml:space="preserve"> for females</w:t>
      </w:r>
      <w:r>
        <w:t xml:space="preserve">; note that although the estimated parameters, A and B, are those estimated for </w:t>
      </w:r>
      <w:proofErr w:type="spellStart"/>
      <w:r>
        <w:t>ovigerous</w:t>
      </w:r>
      <w:proofErr w:type="spellEnd"/>
      <w:r>
        <w:t xml:space="preserve"> females, those parameters were used to estimate the weight of all females without regard to reproductive status.  Estimated weights in grams were converted to pounds by </w:t>
      </w:r>
      <w:r w:rsidR="00F85A03">
        <w:t>dividi</w:t>
      </w:r>
      <w:r>
        <w:t>ng by</w:t>
      </w:r>
      <w:r w:rsidR="00F85A03">
        <w:t xml:space="preserve"> 453.6</w:t>
      </w:r>
      <w:r>
        <w:t>.</w:t>
      </w:r>
    </w:p>
    <w:p w:rsidR="00FF5767" w:rsidRDefault="00FF5767" w:rsidP="005F2FC4">
      <w:pPr>
        <w:jc w:val="both"/>
      </w:pPr>
    </w:p>
    <w:p w:rsidR="00FF5767" w:rsidRPr="00AB6783" w:rsidRDefault="00FF5767" w:rsidP="002F1A19">
      <w:pPr>
        <w:numPr>
          <w:ilvl w:val="0"/>
          <w:numId w:val="24"/>
        </w:numPr>
        <w:jc w:val="both"/>
        <w:rPr>
          <w:b/>
          <w:i/>
        </w:rPr>
      </w:pPr>
      <w:r w:rsidRPr="00AB6783">
        <w:rPr>
          <w:b/>
          <w:i/>
          <w:u w:val="single"/>
        </w:rPr>
        <w:t>Natural mortality rate</w:t>
      </w:r>
      <w:r w:rsidRPr="00AB6783">
        <w:rPr>
          <w:b/>
          <w:i/>
        </w:rPr>
        <w:t>:</w:t>
      </w:r>
    </w:p>
    <w:p w:rsidR="00811FA2" w:rsidRDefault="00806091" w:rsidP="005F2FC4">
      <w:pPr>
        <w:tabs>
          <w:tab w:val="num" w:pos="1440"/>
        </w:tabs>
        <w:jc w:val="both"/>
      </w:pPr>
      <w:r>
        <w:t>The default</w:t>
      </w:r>
      <w:r w:rsidRPr="005F6E8C">
        <w:t xml:space="preserve"> </w:t>
      </w:r>
      <w:r>
        <w:t>natural mortality rate assumed for king crab species by NPFMC (2007) is M=0.18.</w:t>
      </w:r>
      <w:r w:rsidR="00225F3B">
        <w:t xml:space="preserve"> </w:t>
      </w:r>
      <w:r w:rsidR="004A4926">
        <w:t>Note, h</w:t>
      </w:r>
      <w:r w:rsidR="00225F3B">
        <w:t>owever, natural mortality was not used for OFL estimation because this stock belongs to Tier 5.</w:t>
      </w:r>
    </w:p>
    <w:p w:rsidR="005F2FC4" w:rsidRPr="00AB12B9" w:rsidRDefault="00806091" w:rsidP="005F2FC4">
      <w:pPr>
        <w:tabs>
          <w:tab w:val="num" w:pos="1440"/>
        </w:tabs>
        <w:jc w:val="both"/>
      </w:pPr>
      <w:r>
        <w:t xml:space="preserve">  </w:t>
      </w:r>
    </w:p>
    <w:p w:rsidR="007B5B81" w:rsidRPr="00AB6783" w:rsidRDefault="007B5B81" w:rsidP="002F1A19">
      <w:pPr>
        <w:numPr>
          <w:ilvl w:val="0"/>
          <w:numId w:val="19"/>
        </w:numPr>
        <w:jc w:val="both"/>
        <w:rPr>
          <w:b/>
        </w:rPr>
      </w:pPr>
      <w:r w:rsidRPr="00AB6783">
        <w:rPr>
          <w:b/>
          <w:u w:val="single"/>
        </w:rPr>
        <w:t>Information on any data sources that were available, but were excluded from the assessment</w:t>
      </w:r>
      <w:r w:rsidR="00F44802" w:rsidRPr="00AB6783">
        <w:rPr>
          <w:b/>
          <w:u w:val="single"/>
        </w:rPr>
        <w:t>:</w:t>
      </w:r>
    </w:p>
    <w:p w:rsidR="00C82482" w:rsidRDefault="00806091" w:rsidP="00C82482">
      <w:pPr>
        <w:pStyle w:val="ListParagraph"/>
        <w:numPr>
          <w:ilvl w:val="0"/>
          <w:numId w:val="44"/>
        </w:numPr>
        <w:jc w:val="both"/>
      </w:pPr>
      <w:r>
        <w:t xml:space="preserve">Standardized bottom trawl surveys to assess the groundfish and invertebrate resources of the eastern Bering Sea </w:t>
      </w:r>
      <w:r w:rsidR="00EE3266">
        <w:t xml:space="preserve">(EBS) </w:t>
      </w:r>
      <w:r>
        <w:t xml:space="preserve">upper continental slope </w:t>
      </w:r>
      <w:r w:rsidR="00C82482">
        <w:t>were</w:t>
      </w:r>
      <w:r>
        <w:t xml:space="preserve"> performed in 2002, 2004, 2008</w:t>
      </w:r>
      <w:r w:rsidR="00232702">
        <w:t>, 2010</w:t>
      </w:r>
      <w:r w:rsidR="00C82482">
        <w:t xml:space="preserve">, and 2012 </w:t>
      </w:r>
      <w:r>
        <w:t xml:space="preserve">(Hoff and Britt </w:t>
      </w:r>
      <w:r w:rsidR="00232702">
        <w:t xml:space="preserve">2003, </w:t>
      </w:r>
      <w:r>
        <w:t xml:space="preserve">2005, </w:t>
      </w:r>
      <w:r w:rsidR="00232702">
        <w:t xml:space="preserve">2009, 2011; </w:t>
      </w:r>
      <w:r>
        <w:t>Haaga et al. 2009</w:t>
      </w:r>
      <w:r w:rsidR="00C82482">
        <w:t>, Gaeuman 2013</w:t>
      </w:r>
      <w:r>
        <w:t xml:space="preserve">).   </w:t>
      </w:r>
      <w:r w:rsidR="00C82482">
        <w:t>D</w:t>
      </w:r>
      <w:r>
        <w:t xml:space="preserve">ata from the </w:t>
      </w:r>
      <w:r w:rsidR="00C82482">
        <w:t xml:space="preserve">EBS upper continental slope </w:t>
      </w:r>
      <w:r>
        <w:t xml:space="preserve">surveys </w:t>
      </w:r>
      <w:r w:rsidR="00C82482">
        <w:t xml:space="preserve">are not presented in this tier 5 assessment but are presented in Gaeuman (2013). </w:t>
      </w:r>
    </w:p>
    <w:p w:rsidR="00C82482" w:rsidRPr="00E7780C" w:rsidRDefault="00C82482" w:rsidP="00C82482">
      <w:pPr>
        <w:pStyle w:val="ListParagraph"/>
        <w:numPr>
          <w:ilvl w:val="0"/>
          <w:numId w:val="44"/>
        </w:numPr>
        <w:jc w:val="both"/>
      </w:pPr>
      <w:r>
        <w:t>Data on the size and sex composition of retained catch and bycatch of Pribilof District golden king crab during the directed fishery and other crab fisheries are available but are not presented in this tier 5 assessment.</w:t>
      </w:r>
    </w:p>
    <w:p w:rsidR="003B74BB" w:rsidRPr="00E7780C" w:rsidRDefault="003B74BB" w:rsidP="00806091">
      <w:pPr>
        <w:jc w:val="both"/>
      </w:pPr>
    </w:p>
    <w:p w:rsidR="007B5B81" w:rsidRPr="00AB12B9" w:rsidRDefault="007B5B81" w:rsidP="007B5B81">
      <w:pPr>
        <w:pStyle w:val="Heading2"/>
        <w:jc w:val="both"/>
        <w:rPr>
          <w:i/>
          <w:sz w:val="24"/>
        </w:rPr>
      </w:pPr>
      <w:r w:rsidRPr="00AB12B9">
        <w:rPr>
          <w:i/>
          <w:sz w:val="24"/>
        </w:rPr>
        <w:t>E. Analytic Approach</w:t>
      </w:r>
    </w:p>
    <w:p w:rsidR="00013A72" w:rsidRDefault="007B5B81" w:rsidP="007533F6">
      <w:pPr>
        <w:numPr>
          <w:ilvl w:val="0"/>
          <w:numId w:val="9"/>
        </w:numPr>
        <w:jc w:val="both"/>
        <w:rPr>
          <w:rFonts w:cs="Arial"/>
        </w:rPr>
      </w:pPr>
      <w:r w:rsidRPr="00EE58A6">
        <w:rPr>
          <w:rFonts w:cs="Arial"/>
          <w:b/>
          <w:u w:val="single"/>
        </w:rPr>
        <w:t xml:space="preserve">History of </w:t>
      </w:r>
      <w:proofErr w:type="spellStart"/>
      <w:r w:rsidRPr="00EE58A6">
        <w:rPr>
          <w:rFonts w:cs="Arial"/>
          <w:b/>
          <w:u w:val="single"/>
        </w:rPr>
        <w:t>modeling</w:t>
      </w:r>
      <w:proofErr w:type="spellEnd"/>
      <w:r w:rsidRPr="00EE58A6">
        <w:rPr>
          <w:rFonts w:cs="Arial"/>
          <w:b/>
          <w:u w:val="single"/>
        </w:rPr>
        <w:t xml:space="preserve"> approaches for this stock</w:t>
      </w:r>
      <w:r w:rsidR="00AA1158" w:rsidRPr="00EE58A6">
        <w:rPr>
          <w:rFonts w:cs="Arial"/>
          <w:b/>
        </w:rPr>
        <w:t>:</w:t>
      </w:r>
      <w:r w:rsidR="00EE58A6">
        <w:rPr>
          <w:rFonts w:cs="Arial"/>
          <w:b/>
        </w:rPr>
        <w:t xml:space="preserve">  </w:t>
      </w:r>
      <w:r w:rsidR="00FF5767">
        <w:rPr>
          <w:rFonts w:cs="Arial"/>
        </w:rPr>
        <w:t>This is a Tier 5 stock</w:t>
      </w:r>
      <w:r w:rsidR="00EE58A6">
        <w:rPr>
          <w:rFonts w:cs="Arial"/>
        </w:rPr>
        <w:t>;</w:t>
      </w:r>
      <w:r w:rsidR="00FF5767">
        <w:rPr>
          <w:rFonts w:cs="Arial"/>
        </w:rPr>
        <w:t xml:space="preserve"> </w:t>
      </w:r>
      <w:r w:rsidR="00EE58A6">
        <w:rPr>
          <w:rFonts w:cs="Arial"/>
        </w:rPr>
        <w:t>t</w:t>
      </w:r>
      <w:r w:rsidR="00FF5767">
        <w:rPr>
          <w:rFonts w:cs="Arial"/>
        </w:rPr>
        <w:t>here is no assessment model and no history of assessment modelling approaches for this stock.</w:t>
      </w:r>
    </w:p>
    <w:p w:rsidR="007B5B81" w:rsidRPr="00AB12B9" w:rsidRDefault="00FF5767" w:rsidP="00FF5767">
      <w:pPr>
        <w:jc w:val="both"/>
        <w:rPr>
          <w:rFonts w:cs="Arial"/>
        </w:rPr>
      </w:pPr>
      <w:r>
        <w:rPr>
          <w:rFonts w:cs="Arial"/>
        </w:rPr>
        <w:t xml:space="preserve">  </w:t>
      </w:r>
    </w:p>
    <w:p w:rsidR="00EE58A6" w:rsidRPr="007533F6" w:rsidRDefault="007B5B81" w:rsidP="007533F6">
      <w:pPr>
        <w:pStyle w:val="Heading3"/>
        <w:numPr>
          <w:ilvl w:val="0"/>
          <w:numId w:val="9"/>
        </w:numPr>
        <w:spacing w:before="0" w:after="0"/>
        <w:jc w:val="both"/>
        <w:rPr>
          <w:szCs w:val="22"/>
        </w:rPr>
      </w:pPr>
      <w:r w:rsidRPr="007533F6">
        <w:rPr>
          <w:rFonts w:ascii="Times New Roman" w:hAnsi="Times New Roman"/>
          <w:i w:val="0"/>
          <w:sz w:val="24"/>
          <w:u w:val="single"/>
        </w:rPr>
        <w:t>Model Description</w:t>
      </w:r>
      <w:r w:rsidR="00AA1158" w:rsidRPr="004E68E3">
        <w:rPr>
          <w:rFonts w:ascii="Times New Roman" w:hAnsi="Times New Roman"/>
          <w:i w:val="0"/>
          <w:sz w:val="24"/>
          <w:szCs w:val="24"/>
        </w:rPr>
        <w:t>:</w:t>
      </w:r>
      <w:r w:rsidR="00EE58A6" w:rsidRPr="004E68E3">
        <w:rPr>
          <w:rFonts w:ascii="Times New Roman" w:hAnsi="Times New Roman"/>
          <w:sz w:val="24"/>
          <w:szCs w:val="24"/>
        </w:rPr>
        <w:t xml:space="preserve">  </w:t>
      </w:r>
      <w:r w:rsidR="00EE58A6" w:rsidRPr="004E68E3">
        <w:rPr>
          <w:rFonts w:ascii="Times New Roman" w:hAnsi="Times New Roman"/>
          <w:b w:val="0"/>
          <w:sz w:val="24"/>
          <w:szCs w:val="24"/>
        </w:rPr>
        <w:t>Subsections a–</w:t>
      </w:r>
      <w:proofErr w:type="spellStart"/>
      <w:r w:rsidR="00EE58A6" w:rsidRPr="004E68E3">
        <w:rPr>
          <w:rFonts w:ascii="Times New Roman" w:hAnsi="Times New Roman"/>
          <w:b w:val="0"/>
          <w:sz w:val="24"/>
          <w:szCs w:val="24"/>
        </w:rPr>
        <w:t>i</w:t>
      </w:r>
      <w:proofErr w:type="spellEnd"/>
      <w:r w:rsidR="00EE58A6" w:rsidRPr="004E68E3">
        <w:rPr>
          <w:rFonts w:ascii="Times New Roman" w:hAnsi="Times New Roman"/>
          <w:b w:val="0"/>
          <w:sz w:val="24"/>
          <w:szCs w:val="24"/>
        </w:rPr>
        <w:t xml:space="preserve"> </w:t>
      </w:r>
      <w:proofErr w:type="gramStart"/>
      <w:r w:rsidR="00EE58A6" w:rsidRPr="004E68E3">
        <w:rPr>
          <w:rFonts w:ascii="Times New Roman" w:hAnsi="Times New Roman"/>
          <w:b w:val="0"/>
          <w:sz w:val="24"/>
          <w:szCs w:val="24"/>
        </w:rPr>
        <w:t>are</w:t>
      </w:r>
      <w:proofErr w:type="gramEnd"/>
      <w:r w:rsidR="00EE58A6" w:rsidRPr="004E68E3">
        <w:rPr>
          <w:rFonts w:ascii="Times New Roman" w:hAnsi="Times New Roman"/>
          <w:b w:val="0"/>
          <w:sz w:val="24"/>
          <w:szCs w:val="24"/>
        </w:rPr>
        <w:t xml:space="preserve"> not applicable to a Tier 5 sock</w:t>
      </w:r>
      <w:r w:rsidR="00EE58A6" w:rsidRPr="007533F6">
        <w:rPr>
          <w:rFonts w:ascii="Times New Roman" w:hAnsi="Times New Roman"/>
          <w:b w:val="0"/>
          <w:szCs w:val="22"/>
        </w:rPr>
        <w:t>.</w:t>
      </w:r>
    </w:p>
    <w:p w:rsidR="004030FB" w:rsidRDefault="00977C0F" w:rsidP="00E31F61">
      <w:pPr>
        <w:jc w:val="both"/>
        <w:rPr>
          <w:lang w:val="en-US" w:eastAsia="en-US"/>
        </w:rPr>
      </w:pPr>
      <w:r>
        <w:t>N</w:t>
      </w:r>
      <w:r w:rsidR="00E31F61">
        <w:t xml:space="preserve">o assessment model for the </w:t>
      </w:r>
      <w:r w:rsidR="008F2982">
        <w:t>Pribilof Islands golden</w:t>
      </w:r>
      <w:r w:rsidR="00E31F61">
        <w:t xml:space="preserve"> king crab stock exists and none </w:t>
      </w:r>
      <w:proofErr w:type="gramStart"/>
      <w:r w:rsidR="00E31F61">
        <w:t>is</w:t>
      </w:r>
      <w:proofErr w:type="gramEnd"/>
      <w:r w:rsidR="00E31F61">
        <w:t xml:space="preserve"> in development</w:t>
      </w:r>
      <w:r w:rsidR="00CA7D2D">
        <w:t xml:space="preserve"> (Note, however, that the utility for stock assessment of data from the biennial NMFS EBS continental slope survey is considered by Gaeuman, 2013)</w:t>
      </w:r>
      <w:r w:rsidR="00264D2C">
        <w:t>.  Accordingly,</w:t>
      </w:r>
      <w:r w:rsidR="00E31F61" w:rsidRPr="00974497">
        <w:t xml:space="preserve"> </w:t>
      </w:r>
      <w:r w:rsidR="00E31F61">
        <w:t>it has been recommended by NPFMC (2007)</w:t>
      </w:r>
      <w:r w:rsidR="00D65089">
        <w:t xml:space="preserve"> and by the CPT and SSC in 2008−2011</w:t>
      </w:r>
      <w:r w:rsidR="00AD2F1C">
        <w:t xml:space="preserve"> </w:t>
      </w:r>
      <w:r w:rsidR="00E31F61">
        <w:t xml:space="preserve">that the </w:t>
      </w:r>
      <w:r w:rsidR="008F2982">
        <w:t>Pribilof Islands golden king crab stock</w:t>
      </w:r>
      <w:r w:rsidR="00E31F61">
        <w:t xml:space="preserve"> be managed as a Tier 5 stock.  For Tier 5 stocks only an OFL is estimated, because it is not possible to estimate MSST without an estimate of biomass, and “the OFL represent[s] the average retained catch from a time period determined to be representative of the production potential of the stock” (NPFMC 2007).  </w:t>
      </w:r>
      <w:r w:rsidR="004030FB">
        <w:rPr>
          <w:lang w:val="en-US" w:eastAsia="en-US"/>
        </w:rPr>
        <w:t>Although NPFMC (2007) defined the OFL in ter</w:t>
      </w:r>
      <w:r w:rsidR="004030FB" w:rsidRPr="00CE2342">
        <w:rPr>
          <w:lang w:val="en-US" w:eastAsia="en-US"/>
        </w:rPr>
        <w:t xml:space="preserve">ms of the retained catch, total-catch OFLs may be considered for Tier 5 stocks for which </w:t>
      </w:r>
      <w:proofErr w:type="spellStart"/>
      <w:r w:rsidR="004030FB" w:rsidRPr="00CE2342">
        <w:rPr>
          <w:lang w:val="en-US" w:eastAsia="en-US"/>
        </w:rPr>
        <w:t>nontarget</w:t>
      </w:r>
      <w:proofErr w:type="spellEnd"/>
      <w:r w:rsidR="004030FB" w:rsidRPr="00CE2342">
        <w:rPr>
          <w:lang w:val="en-US" w:eastAsia="en-US"/>
        </w:rPr>
        <w:t xml:space="preserve"> fishery removal data are available </w:t>
      </w:r>
      <w:r w:rsidR="004030FB" w:rsidRPr="003B06FC">
        <w:rPr>
          <w:lang w:val="en-US" w:eastAsia="en-US"/>
        </w:rPr>
        <w:t>(F</w:t>
      </w:r>
      <w:r w:rsidR="004030FB">
        <w:rPr>
          <w:lang w:val="en-US" w:eastAsia="en-US"/>
        </w:rPr>
        <w:t xml:space="preserve">ederal </w:t>
      </w:r>
      <w:r w:rsidR="004030FB" w:rsidRPr="003B06FC">
        <w:rPr>
          <w:lang w:val="en-US" w:eastAsia="en-US"/>
        </w:rPr>
        <w:t>R</w:t>
      </w:r>
      <w:r w:rsidR="004030FB">
        <w:rPr>
          <w:lang w:val="en-US" w:eastAsia="en-US"/>
        </w:rPr>
        <w:t>egister</w:t>
      </w:r>
      <w:r w:rsidR="004030FB" w:rsidRPr="003B06FC">
        <w:rPr>
          <w:lang w:val="en-US" w:eastAsia="en-US"/>
        </w:rPr>
        <w:t>/Vol. 73, No. 116, 33926)</w:t>
      </w:r>
      <w:r w:rsidR="004030FB">
        <w:rPr>
          <w:lang w:val="en-US" w:eastAsia="en-US"/>
        </w:rPr>
        <w:t>.  The CPT (in May 2010) and the SSC (in June 2010) endorsed the use of a total-catch OFL to establish the OFL for this stock</w:t>
      </w:r>
      <w:r w:rsidR="00036AA1">
        <w:rPr>
          <w:lang w:val="en-US" w:eastAsia="en-US"/>
        </w:rPr>
        <w:t>.  This assessment recommends</w:t>
      </w:r>
      <w:r w:rsidR="006A3C13">
        <w:rPr>
          <w:lang w:val="en-US" w:eastAsia="en-US"/>
        </w:rPr>
        <w:t xml:space="preserve"> – and only considers – </w:t>
      </w:r>
      <w:r w:rsidR="00036AA1">
        <w:rPr>
          <w:lang w:val="en-US" w:eastAsia="en-US"/>
        </w:rPr>
        <w:t>u</w:t>
      </w:r>
      <w:r w:rsidR="00D65089">
        <w:rPr>
          <w:lang w:val="en-US" w:eastAsia="en-US"/>
        </w:rPr>
        <w:t xml:space="preserve">se of a total-catch OFL for </w:t>
      </w:r>
      <w:r w:rsidR="007D2C79">
        <w:rPr>
          <w:lang w:val="en-US" w:eastAsia="en-US"/>
        </w:rPr>
        <w:t>2014</w:t>
      </w:r>
      <w:r w:rsidR="00036AA1">
        <w:rPr>
          <w:lang w:val="en-US" w:eastAsia="en-US"/>
        </w:rPr>
        <w:t>.</w:t>
      </w:r>
    </w:p>
    <w:p w:rsidR="004030FB" w:rsidRDefault="004030FB" w:rsidP="00E31F61">
      <w:pPr>
        <w:jc w:val="both"/>
        <w:rPr>
          <w:lang w:val="en-US" w:eastAsia="en-US"/>
        </w:rPr>
      </w:pPr>
    </w:p>
    <w:p w:rsidR="001B29DE" w:rsidRDefault="00E31F61" w:rsidP="00036AA1">
      <w:pPr>
        <w:jc w:val="both"/>
        <w:rPr>
          <w:lang w:val="en-US" w:eastAsia="en-US"/>
        </w:rPr>
      </w:pPr>
      <w:r>
        <w:t xml:space="preserve">Additionally, NPFMC (2007) states that for estimating the OFL of Tier 5 stocks, “The time period selected for computing the average catch, hence the OFL, should be based on the best scientific information available and provide the required risk aversion for stock conservation and utilization goals.”   </w:t>
      </w:r>
      <w:r w:rsidR="00036AA1">
        <w:t xml:space="preserve">Given that a total-catch OFL is </w:t>
      </w:r>
      <w:r w:rsidR="00036AA1" w:rsidRPr="002C4EA8">
        <w:t xml:space="preserve">to be used, </w:t>
      </w:r>
      <w:r w:rsidR="002A1217" w:rsidRPr="002C4EA8">
        <w:rPr>
          <w:lang w:val="en-US" w:eastAsia="en-US"/>
        </w:rPr>
        <w:t>a</w:t>
      </w:r>
      <w:r w:rsidR="003B323D" w:rsidRPr="002C4EA8">
        <w:rPr>
          <w:lang w:val="en-US" w:eastAsia="en-US"/>
        </w:rPr>
        <w:t xml:space="preserve">lternative configurations for the Tier 5 model are limited to: 1) </w:t>
      </w:r>
      <w:r w:rsidR="00036AA1" w:rsidRPr="002C4EA8">
        <w:rPr>
          <w:lang w:val="en-US" w:eastAsia="en-US"/>
        </w:rPr>
        <w:t xml:space="preserve">alternative time periods for computing the average total-catch mortality; </w:t>
      </w:r>
      <w:r w:rsidR="003B323D" w:rsidRPr="002C4EA8">
        <w:rPr>
          <w:lang w:val="en-US" w:eastAsia="en-US"/>
        </w:rPr>
        <w:t>and 2)</w:t>
      </w:r>
      <w:r w:rsidR="00D26083" w:rsidRPr="002C4EA8">
        <w:rPr>
          <w:lang w:val="en-US" w:eastAsia="en-US"/>
        </w:rPr>
        <w:t xml:space="preserve"> </w:t>
      </w:r>
      <w:r w:rsidR="00012BA2" w:rsidRPr="002C4EA8">
        <w:rPr>
          <w:lang w:val="en-US" w:eastAsia="en-US"/>
        </w:rPr>
        <w:t>alternative approaches for estimating the non-retained component of the total catch mortality</w:t>
      </w:r>
      <w:r w:rsidR="002C4EA8" w:rsidRPr="002C4EA8">
        <w:rPr>
          <w:lang w:val="en-US" w:eastAsia="en-US"/>
        </w:rPr>
        <w:t xml:space="preserve"> during that period</w:t>
      </w:r>
      <w:r w:rsidR="003B323D" w:rsidRPr="002C4EA8">
        <w:rPr>
          <w:lang w:val="en-US" w:eastAsia="en-US"/>
        </w:rPr>
        <w:t>.</w:t>
      </w:r>
      <w:r w:rsidR="00996BEA">
        <w:rPr>
          <w:lang w:val="en-US" w:eastAsia="en-US"/>
        </w:rPr>
        <w:t xml:space="preserve">   </w:t>
      </w:r>
    </w:p>
    <w:p w:rsidR="002E0BC6" w:rsidRDefault="002E0BC6" w:rsidP="00012BA2">
      <w:pPr>
        <w:jc w:val="both"/>
        <w:rPr>
          <w:lang w:val="en-US" w:eastAsia="en-US"/>
        </w:rPr>
      </w:pPr>
    </w:p>
    <w:p w:rsidR="00C622DF" w:rsidRDefault="001B29DE" w:rsidP="00012BA2">
      <w:pPr>
        <w:jc w:val="both"/>
      </w:pPr>
      <w:r>
        <w:rPr>
          <w:lang w:val="en-US" w:eastAsia="en-US"/>
        </w:rPr>
        <w:t xml:space="preserve">With regard to choosing from alternative time periods for computing average annual catch to compute the OFL, </w:t>
      </w:r>
      <w:r w:rsidR="00D16D66">
        <w:t>NPFMC (2007) suggested using the average retained catch over the years 1993 to 1999 as the estimated OFL for Pribilof Islands golden ki</w:t>
      </w:r>
      <w:r w:rsidR="005730E9">
        <w:t xml:space="preserve">ng crab.   Years post-1984 </w:t>
      </w:r>
      <w:proofErr w:type="gramStart"/>
      <w:r w:rsidR="005730E9">
        <w:t>were</w:t>
      </w:r>
      <w:proofErr w:type="gramEnd"/>
      <w:r w:rsidR="005730E9">
        <w:t xml:space="preserve"> </w:t>
      </w:r>
      <w:r w:rsidR="00D16D66">
        <w:t>chosen based on an assumed 8-year lag between hatching and growth to legal size</w:t>
      </w:r>
      <w:r w:rsidR="005A6895">
        <w:t xml:space="preserve"> after the 1976/77 “regime shift”</w:t>
      </w:r>
      <w:r w:rsidR="00D16D66">
        <w:t xml:space="preserve">. With regard to excluding data from years 1985 to 1992 and years after 1999, NPFMC (2007) states, </w:t>
      </w:r>
      <w:r w:rsidR="00D16D66" w:rsidRPr="00683FEE">
        <w:t>“</w:t>
      </w:r>
      <w:r w:rsidR="00D16D66" w:rsidRPr="00683FEE">
        <w:rPr>
          <w:szCs w:val="22"/>
        </w:rPr>
        <w:t xml:space="preserve">The excluded years are from 1985 to 1992 and from 2000 to 2005 for </w:t>
      </w:r>
      <w:smartTag w:uri="urn:schemas-microsoft-com:office:smarttags" w:element="place">
        <w:r w:rsidR="00D16D66" w:rsidRPr="00683FEE">
          <w:rPr>
            <w:szCs w:val="22"/>
          </w:rPr>
          <w:t>Pribilof Islands</w:t>
        </w:r>
      </w:smartTag>
      <w:r w:rsidR="00D16D66" w:rsidRPr="00683FEE">
        <w:rPr>
          <w:szCs w:val="22"/>
        </w:rPr>
        <w:t xml:space="preserve"> golden king crab when the fishing effort was less than 10% of the average or the GHL was set below the previous average catch.</w:t>
      </w:r>
      <w:r w:rsidR="00D16D66" w:rsidRPr="00683FEE">
        <w:t>”  In 2008 the CPT and SSC endorsed the approach of estimating OFL as the average retained catch during 1993–1999 for setting a</w:t>
      </w:r>
      <w:r w:rsidR="00827C3F" w:rsidRPr="00683FEE">
        <w:t xml:space="preserve"> retained-catch OFL for 2009. However,</w:t>
      </w:r>
      <w:r w:rsidR="00D16D66" w:rsidRPr="00683FEE">
        <w:t xml:space="preserve"> in May 2009 the C</w:t>
      </w:r>
      <w:r w:rsidR="00D16D66">
        <w:t>PT setting a retained-catch OFL for 2010</w:t>
      </w:r>
      <w:r w:rsidR="00827C3F">
        <w:t>, but using the average retained catch during 1993–1998</w:t>
      </w:r>
      <w:r w:rsidR="008E47B6">
        <w:t>; 1999 was excluded because it was the first year that a preseason GHL was established for the fishery</w:t>
      </w:r>
      <w:r w:rsidR="00D16D66">
        <w:t>.</w:t>
      </w:r>
      <w:r w:rsidR="00194440">
        <w:t xml:space="preserve">  </w:t>
      </w:r>
      <w:r w:rsidR="00827C3F">
        <w:t>In May 2010, the CPT established a total-catch OFL computed as a function of the average retained catch during 1993–1998</w:t>
      </w:r>
      <w:r w:rsidR="002E0BC6">
        <w:t>, a ratio-based estimate of the bycatch mortality during the directed fishery of that period, and an estimate of the “background” bycatch mortality due to other fisheries</w:t>
      </w:r>
      <w:r w:rsidR="00827C3F">
        <w:t xml:space="preserve">. </w:t>
      </w:r>
      <w:r w:rsidR="00194440">
        <w:t xml:space="preserve">Other time periods, extending </w:t>
      </w:r>
      <w:r w:rsidR="00827C3F">
        <w:t>in</w:t>
      </w:r>
      <w:r w:rsidR="00194440">
        <w:t xml:space="preserve">to </w:t>
      </w:r>
      <w:proofErr w:type="spellStart"/>
      <w:r w:rsidR="00194440">
        <w:t>years</w:t>
      </w:r>
      <w:proofErr w:type="spellEnd"/>
      <w:r w:rsidR="00194440">
        <w:t xml:space="preserve"> </w:t>
      </w:r>
      <w:r w:rsidR="00827C3F">
        <w:t>post-</w:t>
      </w:r>
      <w:r w:rsidR="00C622DF">
        <w:t>1999, had been</w:t>
      </w:r>
      <w:r w:rsidR="00194440">
        <w:t xml:space="preserve"> considered </w:t>
      </w:r>
      <w:r w:rsidR="00827C3F">
        <w:t xml:space="preserve">for computing the average retained </w:t>
      </w:r>
      <w:r w:rsidR="00A1532D">
        <w:t xml:space="preserve">catch </w:t>
      </w:r>
      <w:r w:rsidR="00194440">
        <w:t xml:space="preserve">in the establishment of the </w:t>
      </w:r>
      <w:r w:rsidR="00827C3F">
        <w:t xml:space="preserve">2009, 2010, 2011 OFLs, but those time periods were </w:t>
      </w:r>
      <w:r w:rsidR="002178FE">
        <w:t>rejected</w:t>
      </w:r>
      <w:r w:rsidR="00827C3F">
        <w:t xml:space="preserve"> by the CPT and the SSC.  </w:t>
      </w:r>
      <w:r w:rsidR="002E0BC6">
        <w:t xml:space="preserve">Hence the period for calculating the retained-catch portion of the Tier 5 total-catch OFL for this stock has been firmly established by the CPT and SSC at 1993–1998 (the CPT said “this freezes the time frame...”). For the 2012 </w:t>
      </w:r>
      <w:r w:rsidR="00A87109">
        <w:t xml:space="preserve">and the 2013 </w:t>
      </w:r>
      <w:r w:rsidR="002E0BC6">
        <w:t>OFL</w:t>
      </w:r>
      <w:r w:rsidR="00A87109">
        <w:t>s</w:t>
      </w:r>
      <w:r w:rsidR="002E0BC6">
        <w:t xml:space="preserve">, the CPT and SSC recommended the period 2001–2010 for </w:t>
      </w:r>
      <w:r w:rsidR="00074695">
        <w:t>calculating</w:t>
      </w:r>
      <w:r w:rsidR="002E0BC6">
        <w:t xml:space="preserve"> </w:t>
      </w:r>
      <w:r w:rsidR="00074695">
        <w:t>the</w:t>
      </w:r>
      <w:r w:rsidR="00074695" w:rsidRPr="00074695">
        <w:t xml:space="preserve"> </w:t>
      </w:r>
      <w:r w:rsidR="00074695">
        <w:t xml:space="preserve">ratio-based estimate of the bycatch mortality during the 1993–1998 directed </w:t>
      </w:r>
      <w:r w:rsidR="00074695">
        <w:lastRenderedPageBreak/>
        <w:t>fishery, the period 1994–1998 for calculating the estimated bycatch mortality due to non-directed crab fisheries</w:t>
      </w:r>
      <w:r w:rsidR="006D57A3">
        <w:t xml:space="preserve"> during 1993–1998</w:t>
      </w:r>
      <w:r w:rsidR="00074695">
        <w:t>, and the period 1992/93–1998/99 for calculating the estimated bycatch mortality due to groundfish fisheries</w:t>
      </w:r>
      <w:r w:rsidR="006D57A3">
        <w:t xml:space="preserve"> during 1993–1998</w:t>
      </w:r>
      <w:r w:rsidR="00074695">
        <w:t xml:space="preserve">.  </w:t>
      </w:r>
    </w:p>
    <w:p w:rsidR="00C622DF" w:rsidRDefault="00C622DF" w:rsidP="00D16D66">
      <w:pPr>
        <w:autoSpaceDE w:val="0"/>
        <w:autoSpaceDN w:val="0"/>
        <w:adjustRightInd w:val="0"/>
        <w:jc w:val="both"/>
      </w:pPr>
    </w:p>
    <w:p w:rsidR="00A87109" w:rsidRDefault="00A87109" w:rsidP="00A87109">
      <w:pPr>
        <w:jc w:val="both"/>
      </w:pPr>
      <w:r>
        <w:t>Two alternative approaches for determination of the 2013 OFL were presented to the CPT and SSC in May–June 2013. Alternative 1 was the status quo approach (i.e., the approach used to establish the 2012 total-catch OFL).  Alternative 2 was the same as Alternative 1 except that it used updated bycatch data from crab fisheries in 2011.  Alternative 2 was  presented specifically to allow the CPT and the SSC to clarify whether the 2013 and subsequent OFLs should be computed using data collected after 2010, or if the time periods for data used to calculate the 2013 and subsequent OFLs should be “frozen” at the years used to calculate the 2012 OFL.  The CPT and the SSC both recommended Alternative 1, clarifying that tier 5 OFLs for future years should be computed using only data collected through 2010.</w:t>
      </w:r>
    </w:p>
    <w:p w:rsidR="007B5B81" w:rsidRDefault="007B5B81" w:rsidP="007B5B81">
      <w:pPr>
        <w:pStyle w:val="Heading2"/>
        <w:numPr>
          <w:ilvl w:val="0"/>
          <w:numId w:val="9"/>
        </w:numPr>
        <w:jc w:val="both"/>
        <w:rPr>
          <w:rFonts w:ascii="Times New Roman" w:hAnsi="Times New Roman"/>
          <w:sz w:val="24"/>
        </w:rPr>
      </w:pPr>
      <w:r w:rsidRPr="00EE58A6">
        <w:rPr>
          <w:rFonts w:ascii="Times New Roman" w:hAnsi="Times New Roman"/>
          <w:sz w:val="24"/>
          <w:u w:val="single"/>
        </w:rPr>
        <w:t>Model Selection and Evaluation</w:t>
      </w:r>
      <w:r w:rsidR="00AA1158" w:rsidRPr="00EE58A6">
        <w:rPr>
          <w:rFonts w:ascii="Times New Roman" w:hAnsi="Times New Roman"/>
          <w:sz w:val="24"/>
        </w:rPr>
        <w:t>:</w:t>
      </w:r>
    </w:p>
    <w:p w:rsidR="003041EC" w:rsidRPr="003041EC" w:rsidRDefault="007B5B81" w:rsidP="003041EC">
      <w:pPr>
        <w:numPr>
          <w:ilvl w:val="1"/>
          <w:numId w:val="9"/>
        </w:numPr>
        <w:tabs>
          <w:tab w:val="clear" w:pos="1080"/>
          <w:tab w:val="num" w:pos="360"/>
        </w:tabs>
        <w:ind w:left="360"/>
        <w:jc w:val="both"/>
        <w:rPr>
          <w:b/>
          <w:i/>
        </w:rPr>
      </w:pPr>
      <w:r w:rsidRPr="003041EC">
        <w:rPr>
          <w:b/>
          <w:i/>
          <w:u w:val="single"/>
        </w:rPr>
        <w:t>Description of alternative model configurations</w:t>
      </w:r>
    </w:p>
    <w:p w:rsidR="00740174" w:rsidRDefault="00740174" w:rsidP="00740174">
      <w:pPr>
        <w:jc w:val="both"/>
      </w:pPr>
    </w:p>
    <w:p w:rsidR="009072CA" w:rsidRDefault="009072CA" w:rsidP="003041EC">
      <w:pPr>
        <w:jc w:val="both"/>
      </w:pPr>
      <w:proofErr w:type="gramStart"/>
      <w:r w:rsidRPr="0042081A">
        <w:rPr>
          <w:u w:val="single"/>
        </w:rPr>
        <w:t>Alternative 1 (</w:t>
      </w:r>
      <w:r w:rsidR="003122BB">
        <w:rPr>
          <w:u w:val="single"/>
        </w:rPr>
        <w:t xml:space="preserve">status quo and </w:t>
      </w:r>
      <w:r w:rsidR="00740174">
        <w:rPr>
          <w:u w:val="single"/>
        </w:rPr>
        <w:t xml:space="preserve">author’s </w:t>
      </w:r>
      <w:r w:rsidRPr="0042081A">
        <w:rPr>
          <w:u w:val="single"/>
        </w:rPr>
        <w:t>recommend</w:t>
      </w:r>
      <w:r w:rsidR="00740174">
        <w:rPr>
          <w:u w:val="single"/>
        </w:rPr>
        <w:t>ation</w:t>
      </w:r>
      <w:r w:rsidRPr="0042081A">
        <w:rPr>
          <w:u w:val="single"/>
        </w:rPr>
        <w:t>)</w:t>
      </w:r>
      <w:r>
        <w:t>.</w:t>
      </w:r>
      <w:proofErr w:type="gramEnd"/>
      <w:r>
        <w:t xml:space="preserve"> </w:t>
      </w:r>
      <w:r w:rsidR="004B30DA">
        <w:t>The reco</w:t>
      </w:r>
      <w:r w:rsidR="00D51D4E">
        <w:t>mmended OFL is set as a total</w:t>
      </w:r>
      <w:r w:rsidR="004B30DA">
        <w:t>-catch OFL</w:t>
      </w:r>
      <w:r w:rsidR="00D51D4E">
        <w:t xml:space="preserve"> using 1993–1998 to compute average annual retained catch</w:t>
      </w:r>
      <w:r w:rsidR="001A180F">
        <w:t xml:space="preserve">, an </w:t>
      </w:r>
      <w:r w:rsidR="00521D67">
        <w:t>estimate of pounds of bycatch mortality per pound of retained catch during the directed fishery</w:t>
      </w:r>
      <w:r w:rsidR="001A180F">
        <w:t xml:space="preserve">, </w:t>
      </w:r>
      <w:r w:rsidR="00521D67">
        <w:t xml:space="preserve">an estimate of the average annual bycatch mortality due to the non-directed crab fisheries </w:t>
      </w:r>
      <w:r w:rsidR="001A180F">
        <w:t xml:space="preserve">during 1994–1998 and an estimate </w:t>
      </w:r>
      <w:r>
        <w:t>of</w:t>
      </w:r>
      <w:r w:rsidR="00521D67">
        <w:t xml:space="preserve"> </w:t>
      </w:r>
      <w:r>
        <w:t xml:space="preserve">average annual bycatch mortality due to </w:t>
      </w:r>
      <w:r w:rsidR="00521D67">
        <w:t xml:space="preserve">the groundfish fisheries </w:t>
      </w:r>
      <w:r>
        <w:t>during 1992/93–1998/99; i.e.,</w:t>
      </w:r>
    </w:p>
    <w:p w:rsidR="009072CA" w:rsidRDefault="009072CA" w:rsidP="003041EC">
      <w:pPr>
        <w:jc w:val="both"/>
      </w:pPr>
    </w:p>
    <w:p w:rsidR="009072CA" w:rsidRDefault="009072CA" w:rsidP="000F1832">
      <w:pPr>
        <w:jc w:val="center"/>
        <w:rPr>
          <w:vertAlign w:val="subscript"/>
        </w:rPr>
      </w:pPr>
      <w:r>
        <w:t>OFL</w:t>
      </w:r>
      <w:r w:rsidR="0002082B">
        <w:rPr>
          <w:vertAlign w:val="subscript"/>
        </w:rPr>
        <w:t>1</w:t>
      </w:r>
      <w:r w:rsidRPr="00F669C3">
        <w:rPr>
          <w:vertAlign w:val="subscript"/>
        </w:rPr>
        <w:t>,</w:t>
      </w:r>
      <w:r w:rsidR="003122BB">
        <w:rPr>
          <w:vertAlign w:val="subscript"/>
        </w:rPr>
        <w:t xml:space="preserve"> </w:t>
      </w:r>
      <w:r w:rsidRPr="00F669C3">
        <w:rPr>
          <w:vertAlign w:val="subscript"/>
        </w:rPr>
        <w:t>201</w:t>
      </w:r>
      <w:r w:rsidR="008F19DA">
        <w:rPr>
          <w:vertAlign w:val="subscript"/>
        </w:rPr>
        <w:t>4</w:t>
      </w:r>
      <w:r w:rsidR="003122BB">
        <w:rPr>
          <w:vertAlign w:val="subscript"/>
        </w:rPr>
        <w:t xml:space="preserve"> </w:t>
      </w:r>
      <w:r w:rsidRPr="00F669C3">
        <w:t>=</w:t>
      </w:r>
      <w:r>
        <w:t xml:space="preserve"> </w:t>
      </w:r>
      <w:r w:rsidR="002163C7">
        <w:t>(1+R</w:t>
      </w:r>
      <w:r w:rsidR="002163C7" w:rsidRPr="002163C7">
        <w:rPr>
          <w:vertAlign w:val="subscript"/>
        </w:rPr>
        <w:t>2001–2010</w:t>
      </w:r>
      <w:r w:rsidR="002163C7">
        <w:t>)</w:t>
      </w:r>
      <w:r>
        <w:t>*RET</w:t>
      </w:r>
      <w:r w:rsidRPr="003D1A03">
        <w:rPr>
          <w:vertAlign w:val="subscript"/>
        </w:rPr>
        <w:t>1993-1998</w:t>
      </w:r>
      <w:r>
        <w:t xml:space="preserve"> + BM</w:t>
      </w:r>
      <w:r w:rsidRPr="009072CA">
        <w:rPr>
          <w:vertAlign w:val="subscript"/>
        </w:rPr>
        <w:t>NC</w:t>
      </w:r>
      <w:proofErr w:type="gramStart"/>
      <w:r w:rsidRPr="009072CA">
        <w:rPr>
          <w:vertAlign w:val="subscript"/>
        </w:rPr>
        <w:t>,1994</w:t>
      </w:r>
      <w:proofErr w:type="gramEnd"/>
      <w:r w:rsidRPr="009072CA">
        <w:rPr>
          <w:vertAlign w:val="subscript"/>
        </w:rPr>
        <w:t>-1998</w:t>
      </w:r>
      <w:r>
        <w:t xml:space="preserve"> + BM</w:t>
      </w:r>
      <w:r w:rsidRPr="009072CA">
        <w:rPr>
          <w:vertAlign w:val="subscript"/>
        </w:rPr>
        <w:t>GF,92/93–98/99</w:t>
      </w:r>
      <w:r>
        <w:rPr>
          <w:vertAlign w:val="subscript"/>
        </w:rPr>
        <w:t>,</w:t>
      </w:r>
    </w:p>
    <w:p w:rsidR="009072CA" w:rsidRDefault="009072CA" w:rsidP="003041EC">
      <w:pPr>
        <w:jc w:val="both"/>
        <w:rPr>
          <w:vertAlign w:val="subscript"/>
        </w:rPr>
      </w:pPr>
    </w:p>
    <w:p w:rsidR="009072CA" w:rsidRDefault="009072CA" w:rsidP="003041EC">
      <w:pPr>
        <w:jc w:val="both"/>
      </w:pPr>
      <w:proofErr w:type="gramStart"/>
      <w:r>
        <w:t>w</w:t>
      </w:r>
      <w:r w:rsidRPr="009072CA">
        <w:t>here</w:t>
      </w:r>
      <w:proofErr w:type="gramEnd"/>
      <w:r>
        <w:t>,</w:t>
      </w:r>
      <w:r w:rsidRPr="009072CA">
        <w:t xml:space="preserve"> </w:t>
      </w:r>
    </w:p>
    <w:p w:rsidR="009072CA" w:rsidRDefault="002163C7" w:rsidP="002F1A19">
      <w:pPr>
        <w:numPr>
          <w:ilvl w:val="0"/>
          <w:numId w:val="32"/>
        </w:numPr>
        <w:jc w:val="both"/>
      </w:pPr>
      <w:r>
        <w:t>R</w:t>
      </w:r>
      <w:r w:rsidRPr="002163C7">
        <w:rPr>
          <w:vertAlign w:val="subscript"/>
        </w:rPr>
        <w:t>2001–2010</w:t>
      </w:r>
      <w:r>
        <w:t xml:space="preserve"> is the average of the estimated annual ratio of pounds of bycatch mortality to pounds of retained </w:t>
      </w:r>
      <w:r w:rsidR="00127613">
        <w:t xml:space="preserve">catch </w:t>
      </w:r>
      <w:r>
        <w:t>in the directed fishery during 2001–2010</w:t>
      </w:r>
    </w:p>
    <w:p w:rsidR="009072CA" w:rsidRDefault="009072CA" w:rsidP="002F1A19">
      <w:pPr>
        <w:numPr>
          <w:ilvl w:val="0"/>
          <w:numId w:val="32"/>
        </w:numPr>
        <w:jc w:val="both"/>
      </w:pPr>
      <w:r>
        <w:t>RET</w:t>
      </w:r>
      <w:r w:rsidRPr="003D1A03">
        <w:rPr>
          <w:vertAlign w:val="subscript"/>
        </w:rPr>
        <w:t>1993-1998</w:t>
      </w:r>
      <w:r>
        <w:rPr>
          <w:vertAlign w:val="subscript"/>
        </w:rPr>
        <w:t xml:space="preserve"> </w:t>
      </w:r>
      <w:r>
        <w:t>is the average annual retained catch in the directed crab fishery during 1993–1998</w:t>
      </w:r>
    </w:p>
    <w:p w:rsidR="009072CA" w:rsidRDefault="009072CA" w:rsidP="002F1A19">
      <w:pPr>
        <w:numPr>
          <w:ilvl w:val="0"/>
          <w:numId w:val="32"/>
        </w:numPr>
        <w:jc w:val="both"/>
      </w:pPr>
      <w:r>
        <w:t>BM</w:t>
      </w:r>
      <w:r w:rsidRPr="009072CA">
        <w:rPr>
          <w:vertAlign w:val="subscript"/>
        </w:rPr>
        <w:t>NC,1994-1998</w:t>
      </w:r>
      <w:r>
        <w:rPr>
          <w:vertAlign w:val="subscript"/>
        </w:rPr>
        <w:t xml:space="preserve"> </w:t>
      </w:r>
      <w:r>
        <w:t xml:space="preserve">is the estimated </w:t>
      </w:r>
      <w:r w:rsidR="00884EEE">
        <w:t xml:space="preserve">average </w:t>
      </w:r>
      <w:r>
        <w:t>annual bycatch mortality in non-directed</w:t>
      </w:r>
      <w:r w:rsidR="00E5233F">
        <w:t xml:space="preserve"> crab</w:t>
      </w:r>
      <w:r>
        <w:t xml:space="preserve"> fisheries during 1994–1998</w:t>
      </w:r>
    </w:p>
    <w:p w:rsidR="009072CA" w:rsidRPr="009072CA" w:rsidRDefault="009072CA" w:rsidP="002F1A19">
      <w:pPr>
        <w:numPr>
          <w:ilvl w:val="0"/>
          <w:numId w:val="32"/>
        </w:numPr>
        <w:jc w:val="both"/>
      </w:pPr>
      <w:r>
        <w:t>BM</w:t>
      </w:r>
      <w:r w:rsidRPr="009072CA">
        <w:rPr>
          <w:vertAlign w:val="subscript"/>
        </w:rPr>
        <w:t>GF</w:t>
      </w:r>
      <w:proofErr w:type="gramStart"/>
      <w:r w:rsidRPr="009072CA">
        <w:rPr>
          <w:vertAlign w:val="subscript"/>
        </w:rPr>
        <w:t>,92</w:t>
      </w:r>
      <w:proofErr w:type="gramEnd"/>
      <w:r w:rsidRPr="009072CA">
        <w:rPr>
          <w:vertAlign w:val="subscript"/>
        </w:rPr>
        <w:t>/93–98/99</w:t>
      </w:r>
      <w:r>
        <w:rPr>
          <w:vertAlign w:val="subscript"/>
        </w:rPr>
        <w:t xml:space="preserve"> </w:t>
      </w:r>
      <w:r>
        <w:t xml:space="preserve">is the estimated </w:t>
      </w:r>
      <w:r w:rsidR="00884EEE">
        <w:t xml:space="preserve">average </w:t>
      </w:r>
      <w:r>
        <w:t>annual bycatch mortality in groundfish fisheries during 1992/93–1998/99.</w:t>
      </w:r>
    </w:p>
    <w:p w:rsidR="009072CA" w:rsidRDefault="009072CA" w:rsidP="003041EC">
      <w:pPr>
        <w:jc w:val="both"/>
      </w:pPr>
    </w:p>
    <w:p w:rsidR="0042081A" w:rsidRDefault="00F8670B" w:rsidP="0042081A">
      <w:pPr>
        <w:jc w:val="both"/>
      </w:pPr>
      <w:r>
        <w:t>The average of the estimated annual ratio of pounds of bycatch mortality to pounds of retained in the directed fishery during 2001–2010 is used as a factor to estimate bycatch mortality in the directed fishery during 1993–1998 because, whereas there is no data on bycatch for the directed fishery during 1993–1998, there is such data from the directed fishery during 2001–2010 (excluding 2006–2009, when there was no fishery effort).</w:t>
      </w:r>
    </w:p>
    <w:p w:rsidR="00F8670B" w:rsidRDefault="00F8670B" w:rsidP="003041EC">
      <w:pPr>
        <w:jc w:val="both"/>
      </w:pPr>
    </w:p>
    <w:p w:rsidR="00F8670B" w:rsidRDefault="00884EEE" w:rsidP="003041EC">
      <w:pPr>
        <w:jc w:val="both"/>
      </w:pPr>
      <w:r>
        <w:t>The estimated average annual bycatch mortality in non-directed fisheries during 1994–1998 is used to estimate the average annual bycatch mortality in non-directed fisheries during 1993–1998 because there is no bycatch data available for the non-directed fisheries during 1993.</w:t>
      </w:r>
    </w:p>
    <w:p w:rsidR="009072CA" w:rsidRDefault="009072CA" w:rsidP="003041EC">
      <w:pPr>
        <w:jc w:val="both"/>
      </w:pPr>
    </w:p>
    <w:p w:rsidR="00884EEE" w:rsidRDefault="00884EEE" w:rsidP="003041EC">
      <w:pPr>
        <w:jc w:val="both"/>
      </w:pPr>
      <w:r>
        <w:t xml:space="preserve">The estimated average annual bycatch mortality in groundfish fisheries during 1992/93–1998/99 is used to estimate the average annual bycatch mortality in groundfish fisheries </w:t>
      </w:r>
      <w:r>
        <w:lastRenderedPageBreak/>
        <w:t xml:space="preserve">during 1993–1998 </w:t>
      </w:r>
      <w:r w:rsidR="00DA7C5A">
        <w:t>because 1992/93–1998/99 is the shortest time period of crab fishery years that encompasses calendar years 1993–1998.</w:t>
      </w:r>
    </w:p>
    <w:p w:rsidR="00884EEE" w:rsidRDefault="00884EEE" w:rsidP="003041EC">
      <w:pPr>
        <w:jc w:val="both"/>
      </w:pPr>
    </w:p>
    <w:p w:rsidR="00677062" w:rsidRDefault="002C4273" w:rsidP="00677062">
      <w:pPr>
        <w:jc w:val="both"/>
      </w:pPr>
      <w:r>
        <w:t>S</w:t>
      </w:r>
      <w:r w:rsidR="00677062">
        <w:t xml:space="preserve">tatistics on the data </w:t>
      </w:r>
      <w:r>
        <w:t>and estimates used to calculate</w:t>
      </w:r>
      <w:r w:rsidR="00677062">
        <w:t xml:space="preserve"> </w:t>
      </w:r>
      <w:r w:rsidR="00677062" w:rsidRPr="000E008D">
        <w:t>RET</w:t>
      </w:r>
      <w:r w:rsidR="00677062">
        <w:rPr>
          <w:vertAlign w:val="subscript"/>
        </w:rPr>
        <w:t>1993-1998</w:t>
      </w:r>
      <w:r w:rsidR="00677062">
        <w:t xml:space="preserve">, </w:t>
      </w:r>
      <w:r w:rsidR="00677062" w:rsidRPr="003E5F8F">
        <w:t>R</w:t>
      </w:r>
      <w:r w:rsidR="00677062">
        <w:rPr>
          <w:vertAlign w:val="subscript"/>
        </w:rPr>
        <w:t>2001-2010</w:t>
      </w:r>
      <w:r w:rsidR="00677062">
        <w:t>, B</w:t>
      </w:r>
      <w:r w:rsidR="00677062" w:rsidRPr="003E5F8F">
        <w:t>M</w:t>
      </w:r>
      <w:r w:rsidR="00677062">
        <w:rPr>
          <w:vertAlign w:val="subscript"/>
        </w:rPr>
        <w:t>NC</w:t>
      </w:r>
      <w:proofErr w:type="gramStart"/>
      <w:r w:rsidR="00677062">
        <w:rPr>
          <w:vertAlign w:val="subscript"/>
        </w:rPr>
        <w:t>,1994</w:t>
      </w:r>
      <w:proofErr w:type="gramEnd"/>
      <w:r w:rsidR="00677062" w:rsidRPr="003E5F8F">
        <w:rPr>
          <w:vertAlign w:val="subscript"/>
        </w:rPr>
        <w:t>-</w:t>
      </w:r>
      <w:r w:rsidR="00677062">
        <w:rPr>
          <w:vertAlign w:val="subscript"/>
        </w:rPr>
        <w:t>1998</w:t>
      </w:r>
      <w:r w:rsidR="00677062">
        <w:t>,</w:t>
      </w:r>
      <w:r w:rsidR="00677062">
        <w:rPr>
          <w:vertAlign w:val="subscript"/>
        </w:rPr>
        <w:t xml:space="preserve"> </w:t>
      </w:r>
      <w:r w:rsidR="00677062">
        <w:t>and B</w:t>
      </w:r>
      <w:r w:rsidR="00677062" w:rsidRPr="003E5F8F">
        <w:t>M</w:t>
      </w:r>
      <w:r w:rsidR="00677062" w:rsidRPr="000024BC">
        <w:rPr>
          <w:vertAlign w:val="subscript"/>
        </w:rPr>
        <w:t>GF</w:t>
      </w:r>
      <w:r w:rsidR="00677062">
        <w:rPr>
          <w:vertAlign w:val="subscript"/>
        </w:rPr>
        <w:t>,</w:t>
      </w:r>
      <w:r w:rsidR="00677062" w:rsidRPr="003E5F8F">
        <w:rPr>
          <w:vertAlign w:val="subscript"/>
        </w:rPr>
        <w:t>9</w:t>
      </w:r>
      <w:r w:rsidR="00677062">
        <w:rPr>
          <w:vertAlign w:val="subscript"/>
        </w:rPr>
        <w:t>3</w:t>
      </w:r>
      <w:r w:rsidR="00677062" w:rsidRPr="003E5F8F">
        <w:rPr>
          <w:vertAlign w:val="subscript"/>
        </w:rPr>
        <w:t>/9</w:t>
      </w:r>
      <w:r w:rsidR="00677062">
        <w:rPr>
          <w:vertAlign w:val="subscript"/>
        </w:rPr>
        <w:t>4</w:t>
      </w:r>
      <w:r w:rsidR="00500E70">
        <w:rPr>
          <w:vertAlign w:val="subscript"/>
        </w:rPr>
        <w:t>-9</w:t>
      </w:r>
      <w:r w:rsidR="00677062" w:rsidRPr="003E5F8F">
        <w:rPr>
          <w:vertAlign w:val="subscript"/>
        </w:rPr>
        <w:t>8/</w:t>
      </w:r>
      <w:r w:rsidR="00500E70">
        <w:rPr>
          <w:vertAlign w:val="subscript"/>
        </w:rPr>
        <w:t>9</w:t>
      </w:r>
      <w:r w:rsidR="00677062" w:rsidRPr="003E5F8F">
        <w:rPr>
          <w:vertAlign w:val="subscript"/>
        </w:rPr>
        <w:t>9</w:t>
      </w:r>
      <w:r w:rsidR="008C3A8D">
        <w:t xml:space="preserve"> are provided in Table 4</w:t>
      </w:r>
      <w:r>
        <w:t xml:space="preserve">; the column means in Table </w:t>
      </w:r>
      <w:r w:rsidR="008C3A8D">
        <w:t>4</w:t>
      </w:r>
      <w:r>
        <w:t xml:space="preserve"> are the calculated values of </w:t>
      </w:r>
      <w:r w:rsidRPr="000E008D">
        <w:t>RET</w:t>
      </w:r>
      <w:r>
        <w:rPr>
          <w:vertAlign w:val="subscript"/>
        </w:rPr>
        <w:t>1993-1998</w:t>
      </w:r>
      <w:r>
        <w:t xml:space="preserve">, </w:t>
      </w:r>
      <w:r w:rsidRPr="003E5F8F">
        <w:t>R</w:t>
      </w:r>
      <w:r>
        <w:rPr>
          <w:vertAlign w:val="subscript"/>
        </w:rPr>
        <w:t>2001-2010</w:t>
      </w:r>
      <w:r>
        <w:t>, B</w:t>
      </w:r>
      <w:r w:rsidRPr="003E5F8F">
        <w:t>M</w:t>
      </w:r>
      <w:r>
        <w:rPr>
          <w:vertAlign w:val="subscript"/>
        </w:rPr>
        <w:t>NC,1994</w:t>
      </w:r>
      <w:r w:rsidRPr="003E5F8F">
        <w:rPr>
          <w:vertAlign w:val="subscript"/>
        </w:rPr>
        <w:t>-</w:t>
      </w:r>
      <w:r>
        <w:rPr>
          <w:vertAlign w:val="subscript"/>
        </w:rPr>
        <w:t>1998</w:t>
      </w:r>
      <w:r>
        <w:t>,</w:t>
      </w:r>
      <w:r>
        <w:rPr>
          <w:vertAlign w:val="subscript"/>
        </w:rPr>
        <w:t xml:space="preserve"> </w:t>
      </w:r>
      <w:r>
        <w:t>and B</w:t>
      </w:r>
      <w:r w:rsidRPr="003E5F8F">
        <w:t>M</w:t>
      </w:r>
      <w:r w:rsidRPr="000024BC">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4-9</w:t>
      </w:r>
      <w:r w:rsidRPr="003E5F8F">
        <w:rPr>
          <w:vertAlign w:val="subscript"/>
        </w:rPr>
        <w:t>8/</w:t>
      </w:r>
      <w:r>
        <w:rPr>
          <w:vertAlign w:val="subscript"/>
        </w:rPr>
        <w:t>9</w:t>
      </w:r>
      <w:r w:rsidRPr="003E5F8F">
        <w:rPr>
          <w:vertAlign w:val="subscript"/>
        </w:rPr>
        <w:t>9</w:t>
      </w:r>
      <w:r w:rsidR="00677062">
        <w:t>.  Using the calculated values</w:t>
      </w:r>
      <w:r>
        <w:t xml:space="preserve"> of </w:t>
      </w:r>
      <w:r w:rsidRPr="000E008D">
        <w:t>RET</w:t>
      </w:r>
      <w:r>
        <w:rPr>
          <w:vertAlign w:val="subscript"/>
        </w:rPr>
        <w:t>1993-1998</w:t>
      </w:r>
      <w:r>
        <w:t xml:space="preserve">, </w:t>
      </w:r>
      <w:r w:rsidRPr="003E5F8F">
        <w:t>R</w:t>
      </w:r>
      <w:r>
        <w:rPr>
          <w:vertAlign w:val="subscript"/>
        </w:rPr>
        <w:t>2001-2010</w:t>
      </w:r>
      <w:r>
        <w:t>, B</w:t>
      </w:r>
      <w:r w:rsidRPr="003E5F8F">
        <w:t>M</w:t>
      </w:r>
      <w:r>
        <w:rPr>
          <w:vertAlign w:val="subscript"/>
        </w:rPr>
        <w:t>NC</w:t>
      </w:r>
      <w:proofErr w:type="gramStart"/>
      <w:r>
        <w:rPr>
          <w:vertAlign w:val="subscript"/>
        </w:rPr>
        <w:t>,1994</w:t>
      </w:r>
      <w:proofErr w:type="gramEnd"/>
      <w:r w:rsidRPr="003E5F8F">
        <w:rPr>
          <w:vertAlign w:val="subscript"/>
        </w:rPr>
        <w:t>-</w:t>
      </w:r>
      <w:r>
        <w:rPr>
          <w:vertAlign w:val="subscript"/>
        </w:rPr>
        <w:t>1998</w:t>
      </w:r>
      <w:r>
        <w:t>,</w:t>
      </w:r>
      <w:r>
        <w:rPr>
          <w:vertAlign w:val="subscript"/>
        </w:rPr>
        <w:t xml:space="preserve"> </w:t>
      </w:r>
      <w:r>
        <w:t>and B</w:t>
      </w:r>
      <w:r w:rsidRPr="003E5F8F">
        <w:t>M</w:t>
      </w:r>
      <w:r w:rsidRPr="000024BC">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4-9</w:t>
      </w:r>
      <w:r w:rsidRPr="003E5F8F">
        <w:rPr>
          <w:vertAlign w:val="subscript"/>
        </w:rPr>
        <w:t>8/</w:t>
      </w:r>
      <w:r>
        <w:rPr>
          <w:vertAlign w:val="subscript"/>
        </w:rPr>
        <w:t>9</w:t>
      </w:r>
      <w:r w:rsidRPr="003E5F8F">
        <w:rPr>
          <w:vertAlign w:val="subscript"/>
        </w:rPr>
        <w:t>9</w:t>
      </w:r>
      <w:r w:rsidR="00677062">
        <w:t xml:space="preserve">, </w:t>
      </w:r>
      <w:r w:rsidR="00677062" w:rsidRPr="003E5F8F">
        <w:t>OFL</w:t>
      </w:r>
      <w:r w:rsidR="00677062">
        <w:rPr>
          <w:vertAlign w:val="subscript"/>
        </w:rPr>
        <w:t xml:space="preserve">1, </w:t>
      </w:r>
      <w:r w:rsidR="007D2C79">
        <w:rPr>
          <w:vertAlign w:val="subscript"/>
        </w:rPr>
        <w:t>2014</w:t>
      </w:r>
      <w:r w:rsidR="007D2C79">
        <w:t xml:space="preserve"> </w:t>
      </w:r>
      <w:r w:rsidR="00677062">
        <w:t>is,</w:t>
      </w:r>
    </w:p>
    <w:p w:rsidR="000F1832" w:rsidRDefault="000F1832" w:rsidP="00677062">
      <w:pPr>
        <w:jc w:val="both"/>
      </w:pPr>
    </w:p>
    <w:p w:rsidR="000F1832" w:rsidRDefault="000F1832" w:rsidP="000F1832">
      <w:pPr>
        <w:jc w:val="center"/>
        <w:rPr>
          <w:vertAlign w:val="subscript"/>
        </w:rPr>
      </w:pPr>
      <w:r>
        <w:t>OFL</w:t>
      </w:r>
      <w:r>
        <w:rPr>
          <w:vertAlign w:val="subscript"/>
        </w:rPr>
        <w:t>1</w:t>
      </w:r>
      <w:proofErr w:type="gramStart"/>
      <w:r w:rsidRPr="00F669C3">
        <w:rPr>
          <w:vertAlign w:val="subscript"/>
        </w:rPr>
        <w:t>,</w:t>
      </w:r>
      <w:r w:rsidR="007D2C79" w:rsidRPr="00F669C3">
        <w:rPr>
          <w:vertAlign w:val="subscript"/>
        </w:rPr>
        <w:t>201</w:t>
      </w:r>
      <w:r w:rsidR="007D2C79">
        <w:rPr>
          <w:vertAlign w:val="subscript"/>
        </w:rPr>
        <w:t>4</w:t>
      </w:r>
      <w:proofErr w:type="gramEnd"/>
      <w:r w:rsidRPr="00F669C3">
        <w:t>=</w:t>
      </w:r>
      <w:r>
        <w:t xml:space="preserve"> (1+0.</w:t>
      </w:r>
      <w:r w:rsidR="001975FC">
        <w:t>0</w:t>
      </w:r>
      <w:r>
        <w:t xml:space="preserve">52)*173,722 + 13,418 + 8,353 = </w:t>
      </w:r>
      <w:r w:rsidR="009E42F0">
        <w:rPr>
          <w:color w:val="000000"/>
        </w:rPr>
        <w:t xml:space="preserve">204,611 </w:t>
      </w:r>
      <w:r w:rsidR="001975FC">
        <w:rPr>
          <w:color w:val="000000"/>
        </w:rPr>
        <w:t>lb</w:t>
      </w:r>
      <w:r w:rsidR="009E42F0">
        <w:rPr>
          <w:color w:val="000000"/>
        </w:rPr>
        <w:t>s (</w:t>
      </w:r>
      <w:r>
        <w:t xml:space="preserve">0.20-million </w:t>
      </w:r>
      <w:r w:rsidR="001975FC">
        <w:t>lb</w:t>
      </w:r>
      <w:r>
        <w:t>s</w:t>
      </w:r>
      <w:r w:rsidR="009E42F0">
        <w:t>)</w:t>
      </w:r>
      <w:r>
        <w:t>.</w:t>
      </w:r>
    </w:p>
    <w:p w:rsidR="00566FA4" w:rsidRDefault="00566FA4" w:rsidP="003041EC">
      <w:pPr>
        <w:jc w:val="both"/>
      </w:pPr>
    </w:p>
    <w:p w:rsidR="00F45317" w:rsidRPr="003B323D" w:rsidRDefault="00F45317" w:rsidP="003B323D">
      <w:pPr>
        <w:tabs>
          <w:tab w:val="num" w:pos="1440"/>
        </w:tabs>
        <w:ind w:left="360"/>
        <w:jc w:val="both"/>
      </w:pPr>
    </w:p>
    <w:p w:rsidR="00AA1E1F" w:rsidRDefault="007B5B81" w:rsidP="003E3D71">
      <w:pPr>
        <w:numPr>
          <w:ilvl w:val="1"/>
          <w:numId w:val="9"/>
        </w:numPr>
        <w:tabs>
          <w:tab w:val="clear" w:pos="1080"/>
          <w:tab w:val="num" w:pos="360"/>
        </w:tabs>
        <w:ind w:left="360"/>
        <w:jc w:val="both"/>
      </w:pPr>
      <w:r w:rsidRPr="00EE58A6">
        <w:rPr>
          <w:b/>
          <w:i/>
          <w:u w:val="single"/>
        </w:rPr>
        <w:t>Show a progression of results from the previous assessment to the preferred base model by adding each new data source and each model modification in turn to enable the impacts of these changes to be assessed</w:t>
      </w:r>
      <w:r w:rsidR="00AA1E1F" w:rsidRPr="00EE58A6">
        <w:rPr>
          <w:b/>
          <w:i/>
        </w:rPr>
        <w:t>:</w:t>
      </w:r>
      <w:r w:rsidR="003E3D71" w:rsidRPr="003E3D71">
        <w:t xml:space="preserve">  </w:t>
      </w:r>
      <w:r w:rsidR="00EE58A6">
        <w:t>See the table, below.</w:t>
      </w:r>
    </w:p>
    <w:p w:rsidR="00EE58A6" w:rsidRDefault="00EE58A6" w:rsidP="00AA1E1F">
      <w:pPr>
        <w:tabs>
          <w:tab w:val="num" w:pos="1440"/>
        </w:tabs>
        <w:jc w:val="both"/>
      </w:pPr>
    </w:p>
    <w:tbl>
      <w:tblPr>
        <w:tblW w:w="8618" w:type="dxa"/>
        <w:tblBorders>
          <w:top w:val="single" w:sz="4" w:space="0" w:color="auto"/>
          <w:bottom w:val="single" w:sz="4" w:space="0" w:color="auto"/>
          <w:insideH w:val="single" w:sz="4" w:space="0" w:color="auto"/>
          <w:insideV w:val="single" w:sz="4" w:space="0" w:color="auto"/>
        </w:tblBorders>
        <w:tblLook w:val="01E0"/>
      </w:tblPr>
      <w:tblGrid>
        <w:gridCol w:w="2649"/>
        <w:gridCol w:w="1411"/>
        <w:gridCol w:w="2355"/>
        <w:gridCol w:w="2203"/>
      </w:tblGrid>
      <w:tr w:rsidR="00465DF3" w:rsidTr="0033794B">
        <w:tc>
          <w:tcPr>
            <w:tcW w:w="2649" w:type="dxa"/>
            <w:tcBorders>
              <w:top w:val="single" w:sz="18" w:space="0" w:color="auto"/>
              <w:bottom w:val="single" w:sz="18" w:space="0" w:color="auto"/>
            </w:tcBorders>
          </w:tcPr>
          <w:p w:rsidR="00465DF3" w:rsidRPr="00B653D2" w:rsidRDefault="00465DF3" w:rsidP="00B15FAB">
            <w:pPr>
              <w:tabs>
                <w:tab w:val="num" w:pos="1440"/>
              </w:tabs>
              <w:jc w:val="both"/>
              <w:rPr>
                <w:b/>
              </w:rPr>
            </w:pPr>
          </w:p>
          <w:p w:rsidR="00465DF3" w:rsidRPr="00B653D2" w:rsidRDefault="00465DF3" w:rsidP="00B15FAB">
            <w:pPr>
              <w:tabs>
                <w:tab w:val="num" w:pos="1440"/>
              </w:tabs>
              <w:jc w:val="both"/>
              <w:rPr>
                <w:b/>
              </w:rPr>
            </w:pPr>
          </w:p>
          <w:p w:rsidR="00465DF3" w:rsidRPr="00B653D2" w:rsidRDefault="00465DF3" w:rsidP="00B15FAB">
            <w:pPr>
              <w:tabs>
                <w:tab w:val="num" w:pos="1440"/>
              </w:tabs>
              <w:jc w:val="both"/>
              <w:rPr>
                <w:b/>
              </w:rPr>
            </w:pPr>
            <w:r w:rsidRPr="00B653D2">
              <w:rPr>
                <w:b/>
              </w:rPr>
              <w:t>Model</w:t>
            </w:r>
          </w:p>
        </w:tc>
        <w:tc>
          <w:tcPr>
            <w:tcW w:w="1411" w:type="dxa"/>
            <w:tcBorders>
              <w:top w:val="single" w:sz="18" w:space="0" w:color="auto"/>
              <w:bottom w:val="single" w:sz="18" w:space="0" w:color="auto"/>
            </w:tcBorders>
          </w:tcPr>
          <w:p w:rsidR="00465DF3" w:rsidRPr="00B653D2" w:rsidRDefault="00465DF3" w:rsidP="00B15FAB">
            <w:pPr>
              <w:tabs>
                <w:tab w:val="num" w:pos="1440"/>
              </w:tabs>
              <w:jc w:val="center"/>
              <w:rPr>
                <w:b/>
              </w:rPr>
            </w:pPr>
            <w:r w:rsidRPr="00B653D2">
              <w:rPr>
                <w:b/>
              </w:rPr>
              <w:t>Retained-</w:t>
            </w:r>
          </w:p>
          <w:p w:rsidR="00465DF3" w:rsidRPr="00B653D2" w:rsidRDefault="00465DF3" w:rsidP="00B15FAB">
            <w:pPr>
              <w:tabs>
                <w:tab w:val="num" w:pos="1440"/>
              </w:tabs>
              <w:jc w:val="center"/>
              <w:rPr>
                <w:b/>
              </w:rPr>
            </w:pPr>
            <w:r w:rsidRPr="00B653D2">
              <w:rPr>
                <w:b/>
              </w:rPr>
              <w:t>vs.</w:t>
            </w:r>
          </w:p>
          <w:p w:rsidR="00465DF3" w:rsidRPr="00B653D2" w:rsidRDefault="00465DF3" w:rsidP="00B15FAB">
            <w:pPr>
              <w:tabs>
                <w:tab w:val="num" w:pos="1440"/>
              </w:tabs>
              <w:jc w:val="center"/>
              <w:rPr>
                <w:b/>
              </w:rPr>
            </w:pPr>
            <w:r w:rsidRPr="00B653D2">
              <w:rPr>
                <w:b/>
              </w:rPr>
              <w:t>Total-catch</w:t>
            </w:r>
          </w:p>
        </w:tc>
        <w:tc>
          <w:tcPr>
            <w:tcW w:w="2355" w:type="dxa"/>
            <w:tcBorders>
              <w:top w:val="single" w:sz="18" w:space="0" w:color="auto"/>
              <w:bottom w:val="single" w:sz="18" w:space="0" w:color="auto"/>
            </w:tcBorders>
          </w:tcPr>
          <w:p w:rsidR="00465DF3" w:rsidRPr="00B653D2" w:rsidRDefault="00465DF3" w:rsidP="00B15FAB">
            <w:pPr>
              <w:tabs>
                <w:tab w:val="num" w:pos="1440"/>
              </w:tabs>
              <w:jc w:val="center"/>
              <w:rPr>
                <w:b/>
              </w:rPr>
            </w:pPr>
          </w:p>
          <w:p w:rsidR="00465DF3" w:rsidRPr="00B653D2" w:rsidRDefault="00465DF3" w:rsidP="009348A1">
            <w:pPr>
              <w:tabs>
                <w:tab w:val="num" w:pos="1440"/>
              </w:tabs>
              <w:jc w:val="center"/>
              <w:rPr>
                <w:b/>
              </w:rPr>
            </w:pPr>
            <w:r w:rsidRPr="00B653D2">
              <w:rPr>
                <w:b/>
              </w:rPr>
              <w:t>Time Period</w:t>
            </w:r>
          </w:p>
        </w:tc>
        <w:tc>
          <w:tcPr>
            <w:tcW w:w="2203" w:type="dxa"/>
            <w:tcBorders>
              <w:top w:val="single" w:sz="18" w:space="0" w:color="auto"/>
              <w:bottom w:val="single" w:sz="18" w:space="0" w:color="auto"/>
            </w:tcBorders>
          </w:tcPr>
          <w:p w:rsidR="00465DF3" w:rsidRPr="00B653D2" w:rsidRDefault="00465DF3" w:rsidP="00B15FAB">
            <w:pPr>
              <w:tabs>
                <w:tab w:val="num" w:pos="1440"/>
              </w:tabs>
              <w:jc w:val="center"/>
              <w:rPr>
                <w:b/>
              </w:rPr>
            </w:pPr>
          </w:p>
          <w:p w:rsidR="00465DF3" w:rsidRPr="00B653D2" w:rsidRDefault="00465DF3" w:rsidP="00B15FAB">
            <w:pPr>
              <w:tabs>
                <w:tab w:val="num" w:pos="1440"/>
              </w:tabs>
              <w:jc w:val="center"/>
              <w:rPr>
                <w:b/>
              </w:rPr>
            </w:pPr>
            <w:r w:rsidRPr="00B653D2">
              <w:rPr>
                <w:b/>
              </w:rPr>
              <w:t>Resulting OFL</w:t>
            </w:r>
          </w:p>
          <w:p w:rsidR="00465DF3" w:rsidRPr="00B653D2" w:rsidRDefault="00465DF3" w:rsidP="00B15FAB">
            <w:pPr>
              <w:tabs>
                <w:tab w:val="num" w:pos="1440"/>
              </w:tabs>
              <w:jc w:val="center"/>
              <w:rPr>
                <w:b/>
              </w:rPr>
            </w:pPr>
            <w:r w:rsidRPr="00B653D2">
              <w:rPr>
                <w:b/>
              </w:rPr>
              <w:t>(millions of pounds)</w:t>
            </w:r>
          </w:p>
        </w:tc>
      </w:tr>
      <w:tr w:rsidR="0033794B" w:rsidTr="0033794B">
        <w:tc>
          <w:tcPr>
            <w:tcW w:w="2649" w:type="dxa"/>
            <w:tcBorders>
              <w:top w:val="single" w:sz="18" w:space="0" w:color="auto"/>
              <w:bottom w:val="single" w:sz="8" w:space="0" w:color="auto"/>
            </w:tcBorders>
          </w:tcPr>
          <w:p w:rsidR="0033794B" w:rsidRDefault="0033794B" w:rsidP="00B77CC9">
            <w:pPr>
              <w:tabs>
                <w:tab w:val="num" w:pos="1440"/>
              </w:tabs>
            </w:pPr>
            <w:r>
              <w:t>Alt. 1 – recommended</w:t>
            </w:r>
            <w:r w:rsidR="00B77CC9">
              <w:t>/status quo</w:t>
            </w:r>
          </w:p>
        </w:tc>
        <w:tc>
          <w:tcPr>
            <w:tcW w:w="1411" w:type="dxa"/>
            <w:tcBorders>
              <w:top w:val="single" w:sz="18" w:space="0" w:color="auto"/>
              <w:bottom w:val="single" w:sz="8" w:space="0" w:color="auto"/>
            </w:tcBorders>
          </w:tcPr>
          <w:p w:rsidR="0033794B" w:rsidRDefault="0033794B" w:rsidP="00EF517D">
            <w:pPr>
              <w:tabs>
                <w:tab w:val="num" w:pos="1440"/>
              </w:tabs>
              <w:jc w:val="center"/>
            </w:pPr>
            <w:r>
              <w:t>Total-catch</w:t>
            </w:r>
          </w:p>
        </w:tc>
        <w:tc>
          <w:tcPr>
            <w:tcW w:w="2355" w:type="dxa"/>
            <w:tcBorders>
              <w:top w:val="single" w:sz="18" w:space="0" w:color="auto"/>
              <w:bottom w:val="single" w:sz="8" w:space="0" w:color="auto"/>
            </w:tcBorders>
          </w:tcPr>
          <w:p w:rsidR="0033794B" w:rsidRDefault="0033794B" w:rsidP="00EF517D">
            <w:pPr>
              <w:tabs>
                <w:tab w:val="num" w:pos="1440"/>
              </w:tabs>
              <w:jc w:val="center"/>
            </w:pPr>
            <w:r>
              <w:t>1993–1998</w:t>
            </w:r>
          </w:p>
        </w:tc>
        <w:tc>
          <w:tcPr>
            <w:tcW w:w="2203" w:type="dxa"/>
            <w:tcBorders>
              <w:top w:val="single" w:sz="18" w:space="0" w:color="auto"/>
              <w:bottom w:val="single" w:sz="8" w:space="0" w:color="auto"/>
            </w:tcBorders>
          </w:tcPr>
          <w:p w:rsidR="0033794B" w:rsidRPr="009348A1" w:rsidRDefault="0033794B" w:rsidP="00EF517D">
            <w:pPr>
              <w:jc w:val="right"/>
              <w:rPr>
                <w:highlight w:val="yellow"/>
              </w:rPr>
            </w:pPr>
            <w:r w:rsidRPr="001E419E">
              <w:t>0.</w:t>
            </w:r>
            <w:r>
              <w:t>20</w:t>
            </w:r>
          </w:p>
        </w:tc>
      </w:tr>
    </w:tbl>
    <w:p w:rsidR="00465DF3" w:rsidRDefault="00465DF3" w:rsidP="00A76BDA">
      <w:pPr>
        <w:jc w:val="both"/>
      </w:pPr>
    </w:p>
    <w:p w:rsidR="00A87109" w:rsidRDefault="00E30C06" w:rsidP="00B77CC9">
      <w:pPr>
        <w:jc w:val="both"/>
      </w:pPr>
      <w:r w:rsidRPr="00E30C06">
        <w:t>Alter</w:t>
      </w:r>
      <w:r w:rsidR="00ED4BE2">
        <w:t>native 1 is recommended and</w:t>
      </w:r>
      <w:r w:rsidRPr="00E30C06">
        <w:t xml:space="preserve"> </w:t>
      </w:r>
      <w:r w:rsidR="008F1989">
        <w:t>is the status quo</w:t>
      </w:r>
      <w:r w:rsidR="00ED4BE2">
        <w:t>; it is recommended as being the best approach with the limited data available</w:t>
      </w:r>
      <w:r w:rsidR="00A87109">
        <w:t xml:space="preserve"> and follows the advice of the CPT and SSC to “freeze” the period for to calculation of the OFL at that established for the 2012 OFL.</w:t>
      </w:r>
    </w:p>
    <w:p w:rsidR="00AA1E1F" w:rsidRPr="00AB12B9" w:rsidRDefault="00AA1E1F" w:rsidP="00AA1E1F">
      <w:pPr>
        <w:tabs>
          <w:tab w:val="num" w:pos="1440"/>
        </w:tabs>
        <w:jc w:val="both"/>
      </w:pPr>
    </w:p>
    <w:p w:rsidR="00190EFF" w:rsidRPr="00A86FB3" w:rsidRDefault="007B5B81" w:rsidP="002F4A3F">
      <w:pPr>
        <w:numPr>
          <w:ilvl w:val="1"/>
          <w:numId w:val="9"/>
        </w:numPr>
        <w:tabs>
          <w:tab w:val="clear" w:pos="1080"/>
          <w:tab w:val="num" w:pos="360"/>
          <w:tab w:val="num" w:pos="1440"/>
        </w:tabs>
        <w:ind w:left="360"/>
        <w:jc w:val="both"/>
      </w:pPr>
      <w:r w:rsidRPr="00A86FB3">
        <w:rPr>
          <w:b/>
          <w:i/>
          <w:u w:val="single"/>
        </w:rPr>
        <w:t>Evidence of search for balance between realistic (but possibly over-parameterized) and simpler (but not realistic) models</w:t>
      </w:r>
      <w:r w:rsidR="002F4A3F" w:rsidRPr="00A86FB3">
        <w:rPr>
          <w:b/>
          <w:i/>
        </w:rPr>
        <w:t>:</w:t>
      </w:r>
      <w:r w:rsidR="00A86FB3" w:rsidRPr="00A86FB3">
        <w:rPr>
          <w:b/>
        </w:rPr>
        <w:t xml:space="preserve"> </w:t>
      </w:r>
      <w:r w:rsidR="00A86FB3" w:rsidRPr="00A86FB3">
        <w:t>See Section E</w:t>
      </w:r>
      <w:r w:rsidR="005F46F0">
        <w:t>, above</w:t>
      </w:r>
      <w:r w:rsidR="00A86FB3" w:rsidRPr="00A86FB3">
        <w:t xml:space="preserve">. </w:t>
      </w:r>
    </w:p>
    <w:p w:rsidR="002F4A3F" w:rsidRPr="00AB12B9" w:rsidRDefault="002F4A3F" w:rsidP="002F4A3F">
      <w:pPr>
        <w:tabs>
          <w:tab w:val="num" w:pos="1440"/>
        </w:tabs>
        <w:jc w:val="both"/>
      </w:pPr>
    </w:p>
    <w:p w:rsidR="002F4A3F" w:rsidRPr="002F4A3F" w:rsidRDefault="007B5B81" w:rsidP="00EE58A6">
      <w:pPr>
        <w:numPr>
          <w:ilvl w:val="1"/>
          <w:numId w:val="9"/>
        </w:numPr>
        <w:tabs>
          <w:tab w:val="clear" w:pos="1080"/>
          <w:tab w:val="num" w:pos="360"/>
        </w:tabs>
        <w:ind w:left="360"/>
        <w:jc w:val="both"/>
      </w:pPr>
      <w:r w:rsidRPr="00EE58A6">
        <w:rPr>
          <w:b/>
          <w:i/>
          <w:u w:val="single"/>
        </w:rPr>
        <w:t>Convergence status and convergence criteria for the base-case model (or proposed base-case model)</w:t>
      </w:r>
      <w:r w:rsidR="002F4A3F" w:rsidRPr="00EE58A6">
        <w:rPr>
          <w:b/>
          <w:i/>
        </w:rPr>
        <w:t>:</w:t>
      </w:r>
      <w:r w:rsidR="00EE58A6">
        <w:rPr>
          <w:b/>
          <w:i/>
        </w:rPr>
        <w:t xml:space="preserve">  </w:t>
      </w:r>
      <w:r w:rsidR="000F04D1">
        <w:t>Not applicable.</w:t>
      </w:r>
    </w:p>
    <w:p w:rsidR="002F4A3F" w:rsidRDefault="002F4A3F" w:rsidP="002F4A3F">
      <w:pPr>
        <w:tabs>
          <w:tab w:val="num" w:pos="1440"/>
        </w:tabs>
        <w:jc w:val="both"/>
        <w:rPr>
          <w:u w:val="single"/>
        </w:rPr>
      </w:pPr>
    </w:p>
    <w:p w:rsidR="002F4A3F" w:rsidRPr="00AB12B9" w:rsidRDefault="002F4A3F" w:rsidP="002F4A3F">
      <w:pPr>
        <w:tabs>
          <w:tab w:val="num" w:pos="1440"/>
        </w:tabs>
        <w:jc w:val="both"/>
      </w:pPr>
    </w:p>
    <w:p w:rsidR="002F4A3F" w:rsidRDefault="007B5B81" w:rsidP="00EE58A6">
      <w:pPr>
        <w:numPr>
          <w:ilvl w:val="1"/>
          <w:numId w:val="9"/>
        </w:numPr>
        <w:tabs>
          <w:tab w:val="clear" w:pos="1080"/>
          <w:tab w:val="num" w:pos="360"/>
        </w:tabs>
        <w:ind w:left="360"/>
        <w:jc w:val="both"/>
      </w:pPr>
      <w:r w:rsidRPr="00EE58A6">
        <w:rPr>
          <w:b/>
          <w:i/>
          <w:u w:val="single"/>
        </w:rPr>
        <w:t>Table (or plot) of the sample sizes assumed for the compositional data</w:t>
      </w:r>
      <w:r w:rsidR="002F4A3F" w:rsidRPr="00EE58A6">
        <w:rPr>
          <w:b/>
          <w:i/>
        </w:rPr>
        <w:t xml:space="preserve">: </w:t>
      </w:r>
      <w:r w:rsidR="000F04D1">
        <w:t>Not applicable.</w:t>
      </w:r>
    </w:p>
    <w:p w:rsidR="002F4A3F" w:rsidRDefault="002F4A3F" w:rsidP="002F4A3F">
      <w:pPr>
        <w:tabs>
          <w:tab w:val="num" w:pos="1440"/>
        </w:tabs>
        <w:ind w:left="360"/>
        <w:jc w:val="both"/>
      </w:pPr>
    </w:p>
    <w:p w:rsidR="007B5B81" w:rsidRPr="00EE58A6" w:rsidRDefault="007B5B81" w:rsidP="00AA1158">
      <w:pPr>
        <w:numPr>
          <w:ilvl w:val="1"/>
          <w:numId w:val="9"/>
        </w:numPr>
        <w:tabs>
          <w:tab w:val="clear" w:pos="1080"/>
          <w:tab w:val="num" w:pos="360"/>
        </w:tabs>
        <w:ind w:left="360"/>
        <w:jc w:val="both"/>
        <w:rPr>
          <w:b/>
          <w:i/>
        </w:rPr>
      </w:pPr>
      <w:r w:rsidRPr="00EE58A6">
        <w:rPr>
          <w:b/>
          <w:i/>
          <w:u w:val="single"/>
        </w:rPr>
        <w:t>Do parameter estimates for all models make sense, are they credible</w:t>
      </w:r>
      <w:proofErr w:type="gramStart"/>
      <w:r w:rsidR="00E03A87" w:rsidRPr="00EE58A6">
        <w:rPr>
          <w:b/>
          <w:i/>
          <w:u w:val="single"/>
        </w:rPr>
        <w:t>?</w:t>
      </w:r>
      <w:r w:rsidR="00E03A87" w:rsidRPr="00EE58A6">
        <w:rPr>
          <w:b/>
          <w:i/>
        </w:rPr>
        <w:t>:</w:t>
      </w:r>
      <w:proofErr w:type="gramEnd"/>
    </w:p>
    <w:p w:rsidR="00E03A87" w:rsidRDefault="0088185F" w:rsidP="0088185F">
      <w:pPr>
        <w:ind w:left="360"/>
        <w:jc w:val="both"/>
      </w:pPr>
      <w:r>
        <w:t xml:space="preserve">The time period used for determining the OFL was established by the SSC in June 2010, but choice of time period is made difficult due to sporadic, low-effort nature of the fishery.  </w:t>
      </w:r>
      <w:r w:rsidR="00E03A87">
        <w:t xml:space="preserve">Estimates of </w:t>
      </w:r>
      <w:r w:rsidR="004E0F5A">
        <w:t xml:space="preserve">total </w:t>
      </w:r>
      <w:r w:rsidR="00E03A87">
        <w:t xml:space="preserve">retained catch </w:t>
      </w:r>
      <w:r w:rsidR="008B3D99">
        <w:t xml:space="preserve">(pounds) </w:t>
      </w:r>
      <w:r w:rsidR="00E03A87">
        <w:t xml:space="preserve">during a season are from </w:t>
      </w:r>
      <w:r w:rsidR="004E0F5A">
        <w:t>fish ticket</w:t>
      </w:r>
      <w:r w:rsidR="0061280A">
        <w:t xml:space="preserve">s landings </w:t>
      </w:r>
      <w:r w:rsidR="004E0F5A">
        <w:t>and are assumed here to be correct.</w:t>
      </w:r>
      <w:r>
        <w:t xml:space="preserve">  Estimates of bycatch from crab fisheries data are generally considered credible (e.g., Byrne</w:t>
      </w:r>
      <w:r w:rsidR="00B77CC9">
        <w:t xml:space="preserve"> and Pengilly 1998, Gaeuman 2011</w:t>
      </w:r>
      <w:r w:rsidR="000D6FEE">
        <w:t xml:space="preserve">, </w:t>
      </w:r>
      <w:r w:rsidR="000D6FEE" w:rsidRPr="000D6FEE">
        <w:rPr>
          <w:i/>
        </w:rPr>
        <w:t>in press</w:t>
      </w:r>
      <w:r>
        <w:t>), but may have greater uncertainty in a small, low effort fishery such as the Pribilof golden king crab fishery.  Estimates of bycatch mortality are estimates of bycatch times an assumed bycatch mortality rate.   Bycatch mortality rates have not been estimated from data.</w:t>
      </w:r>
    </w:p>
    <w:p w:rsidR="00C55D19" w:rsidRPr="000650FB" w:rsidRDefault="00C55D19" w:rsidP="00C55D19">
      <w:pPr>
        <w:tabs>
          <w:tab w:val="num" w:pos="1440"/>
        </w:tabs>
        <w:jc w:val="both"/>
      </w:pPr>
    </w:p>
    <w:p w:rsidR="000650FB" w:rsidRPr="00A424F9" w:rsidRDefault="007B5B81" w:rsidP="00EE58A6">
      <w:pPr>
        <w:numPr>
          <w:ilvl w:val="1"/>
          <w:numId w:val="9"/>
        </w:numPr>
        <w:tabs>
          <w:tab w:val="clear" w:pos="1080"/>
          <w:tab w:val="num" w:pos="360"/>
        </w:tabs>
        <w:ind w:left="360"/>
        <w:jc w:val="both"/>
      </w:pPr>
      <w:r w:rsidRPr="00EE58A6">
        <w:rPr>
          <w:b/>
          <w:i/>
          <w:u w:val="single"/>
        </w:rPr>
        <w:t xml:space="preserve">Description of criteria used to </w:t>
      </w:r>
      <w:r w:rsidRPr="00EE58A6">
        <w:rPr>
          <w:b/>
          <w:i/>
          <w:szCs w:val="22"/>
          <w:u w:val="single"/>
        </w:rPr>
        <w:t>evaluate the model or to choose among alternative models</w:t>
      </w:r>
      <w:r w:rsidRPr="00EE58A6">
        <w:rPr>
          <w:b/>
          <w:i/>
          <w:u w:val="single"/>
        </w:rPr>
        <w:t>, including the role (if any) of uncertainty</w:t>
      </w:r>
      <w:r w:rsidR="00EE58A6">
        <w:rPr>
          <w:b/>
          <w:i/>
        </w:rPr>
        <w:t>:</w:t>
      </w:r>
      <w:r w:rsidR="00EE58A6">
        <w:t xml:space="preserve">  </w:t>
      </w:r>
      <w:r w:rsidR="000650FB" w:rsidRPr="00A424F9">
        <w:t>See section E.3.c</w:t>
      </w:r>
      <w:r w:rsidR="00842BC9" w:rsidRPr="00A424F9">
        <w:t>,</w:t>
      </w:r>
      <w:r w:rsidR="000650FB" w:rsidRPr="00A424F9">
        <w:t xml:space="preserve"> above.</w:t>
      </w:r>
    </w:p>
    <w:p w:rsidR="004C7418" w:rsidRPr="004C7418" w:rsidRDefault="004C7418" w:rsidP="004C7418">
      <w:pPr>
        <w:tabs>
          <w:tab w:val="num" w:pos="1440"/>
        </w:tabs>
        <w:jc w:val="both"/>
        <w:rPr>
          <w:highlight w:val="yellow"/>
        </w:rPr>
      </w:pPr>
    </w:p>
    <w:p w:rsidR="004C7418" w:rsidRPr="004C7418" w:rsidRDefault="007B5B81" w:rsidP="00EE58A6">
      <w:pPr>
        <w:numPr>
          <w:ilvl w:val="1"/>
          <w:numId w:val="9"/>
        </w:numPr>
        <w:tabs>
          <w:tab w:val="clear" w:pos="1080"/>
          <w:tab w:val="num" w:pos="360"/>
        </w:tabs>
        <w:ind w:left="360"/>
        <w:jc w:val="both"/>
      </w:pPr>
      <w:r w:rsidRPr="00EE58A6">
        <w:rPr>
          <w:b/>
          <w:i/>
          <w:u w:val="single"/>
        </w:rPr>
        <w:lastRenderedPageBreak/>
        <w:t>Residual analysis (e.g. residual plots, time series plots of observed and predicted values or other approach)</w:t>
      </w:r>
      <w:r w:rsidR="004C7418" w:rsidRPr="00EE58A6">
        <w:rPr>
          <w:b/>
          <w:i/>
        </w:rPr>
        <w:t>:</w:t>
      </w:r>
      <w:r w:rsidR="00EE58A6">
        <w:t xml:space="preserve">  </w:t>
      </w:r>
      <w:r w:rsidR="000F04D1">
        <w:t>Not applicable.</w:t>
      </w:r>
    </w:p>
    <w:p w:rsidR="004C7418" w:rsidRPr="004C7418" w:rsidRDefault="004C7418" w:rsidP="004C7418">
      <w:pPr>
        <w:tabs>
          <w:tab w:val="num" w:pos="1440"/>
        </w:tabs>
        <w:ind w:left="360"/>
        <w:jc w:val="both"/>
      </w:pPr>
    </w:p>
    <w:p w:rsidR="005F5515" w:rsidRPr="00A424F9" w:rsidRDefault="007B5B81" w:rsidP="00EE58A6">
      <w:pPr>
        <w:numPr>
          <w:ilvl w:val="1"/>
          <w:numId w:val="9"/>
        </w:numPr>
        <w:tabs>
          <w:tab w:val="clear" w:pos="1080"/>
          <w:tab w:val="num" w:pos="360"/>
        </w:tabs>
        <w:ind w:left="360"/>
        <w:jc w:val="both"/>
      </w:pPr>
      <w:r w:rsidRPr="00EE58A6">
        <w:rPr>
          <w:b/>
          <w:i/>
          <w:szCs w:val="22"/>
        </w:rPr>
        <w:t>Evaluation of the model, if only one model is presented; or evaluation of alternative models and selection of final model, if m</w:t>
      </w:r>
      <w:r w:rsidR="00EE58A6">
        <w:rPr>
          <w:b/>
          <w:i/>
          <w:szCs w:val="22"/>
        </w:rPr>
        <w:t>ore than one model is presented</w:t>
      </w:r>
      <w:r w:rsidR="00EE58A6" w:rsidRPr="00A424F9">
        <w:rPr>
          <w:b/>
          <w:i/>
          <w:szCs w:val="22"/>
        </w:rPr>
        <w:t>:</w:t>
      </w:r>
      <w:r w:rsidR="00EE58A6" w:rsidRPr="00A424F9">
        <w:rPr>
          <w:szCs w:val="22"/>
        </w:rPr>
        <w:t xml:space="preserve">  </w:t>
      </w:r>
      <w:r w:rsidR="005F5515" w:rsidRPr="00A424F9">
        <w:t>See section E.3.c, above.</w:t>
      </w:r>
    </w:p>
    <w:p w:rsidR="007B5B81" w:rsidRPr="00613DA0" w:rsidRDefault="007B5B81" w:rsidP="007B5B81">
      <w:pPr>
        <w:pStyle w:val="Heading2"/>
        <w:numPr>
          <w:ilvl w:val="0"/>
          <w:numId w:val="9"/>
        </w:numPr>
        <w:jc w:val="both"/>
        <w:rPr>
          <w:rFonts w:ascii="Times New Roman" w:hAnsi="Times New Roman"/>
          <w:sz w:val="24"/>
        </w:rPr>
      </w:pPr>
      <w:r w:rsidRPr="00613DA0">
        <w:rPr>
          <w:rFonts w:ascii="Times New Roman" w:hAnsi="Times New Roman"/>
          <w:sz w:val="24"/>
          <w:u w:val="single"/>
        </w:rPr>
        <w:t>Results (best model(s))</w:t>
      </w:r>
      <w:r w:rsidR="00AA1158" w:rsidRPr="00613DA0">
        <w:rPr>
          <w:rFonts w:ascii="Times New Roman" w:hAnsi="Times New Roman"/>
          <w:sz w:val="24"/>
        </w:rPr>
        <w:t>:</w:t>
      </w:r>
    </w:p>
    <w:p w:rsidR="005F5515" w:rsidRDefault="007B5B81" w:rsidP="002F1A19">
      <w:pPr>
        <w:numPr>
          <w:ilvl w:val="0"/>
          <w:numId w:val="25"/>
        </w:numPr>
        <w:jc w:val="both"/>
      </w:pPr>
      <w:r w:rsidRPr="00613DA0">
        <w:rPr>
          <w:b/>
          <w:i/>
          <w:u w:val="single"/>
        </w:rPr>
        <w:t>List of effective sample sizes, the weighting factors applied when fitting the indices, and the weighting factors applied to any penalties</w:t>
      </w:r>
      <w:r w:rsidR="005F5515" w:rsidRPr="00613DA0">
        <w:rPr>
          <w:b/>
          <w:i/>
        </w:rPr>
        <w:t>:</w:t>
      </w:r>
      <w:r w:rsidR="00613DA0">
        <w:t xml:space="preserve">  </w:t>
      </w:r>
      <w:r w:rsidR="000F04D1">
        <w:t>Not applicable.</w:t>
      </w:r>
    </w:p>
    <w:p w:rsidR="005F5515" w:rsidRPr="00AB12B9" w:rsidRDefault="005F5515" w:rsidP="005F5515">
      <w:pPr>
        <w:tabs>
          <w:tab w:val="left" w:pos="360"/>
        </w:tabs>
        <w:jc w:val="both"/>
      </w:pPr>
    </w:p>
    <w:p w:rsidR="00835833" w:rsidRPr="006D1F3C" w:rsidRDefault="007B5B81" w:rsidP="002F1A19">
      <w:pPr>
        <w:numPr>
          <w:ilvl w:val="0"/>
          <w:numId w:val="25"/>
        </w:numPr>
        <w:jc w:val="both"/>
      </w:pPr>
      <w:r w:rsidRPr="00613DA0">
        <w:rPr>
          <w:b/>
          <w:i/>
          <w:u w:val="single"/>
        </w:rPr>
        <w:t>Tables of estimates (all quantities should be accompanied by confidence intervals or other statistical measures of uncertainty, unless infeasible; include estimates from previous SAFEs for retrospective comparisons)</w:t>
      </w:r>
      <w:r w:rsidRPr="00613DA0">
        <w:rPr>
          <w:b/>
          <w:i/>
        </w:rPr>
        <w:t>:</w:t>
      </w:r>
      <w:r w:rsidR="00613DA0">
        <w:t xml:space="preserve">  </w:t>
      </w:r>
      <w:r w:rsidR="00B85F9E">
        <w:t xml:space="preserve">See Tables </w:t>
      </w:r>
      <w:r w:rsidR="00C14ACE">
        <w:t>2</w:t>
      </w:r>
      <w:r w:rsidR="00B85F9E">
        <w:t>–5</w:t>
      </w:r>
      <w:r w:rsidR="000F04D1" w:rsidRPr="006D1F3C">
        <w:t>.</w:t>
      </w:r>
    </w:p>
    <w:p w:rsidR="00835833" w:rsidRPr="00AB12B9" w:rsidRDefault="00835833" w:rsidP="00835833">
      <w:pPr>
        <w:tabs>
          <w:tab w:val="left" w:pos="360"/>
        </w:tabs>
        <w:jc w:val="both"/>
      </w:pPr>
    </w:p>
    <w:p w:rsidR="004305F2" w:rsidRDefault="007B5B81" w:rsidP="002F1A19">
      <w:pPr>
        <w:numPr>
          <w:ilvl w:val="0"/>
          <w:numId w:val="25"/>
        </w:numPr>
        <w:jc w:val="both"/>
      </w:pPr>
      <w:r w:rsidRPr="00F2403E">
        <w:rPr>
          <w:b/>
          <w:i/>
          <w:u w:val="single"/>
        </w:rPr>
        <w:t>Graphs of estimates (all quantities should be accompanied by confidence intervals or other statistical measures of uncertainty, unless infeasible)</w:t>
      </w:r>
      <w:r w:rsidRPr="00F2403E">
        <w:rPr>
          <w:b/>
          <w:i/>
        </w:rPr>
        <w:t>:</w:t>
      </w:r>
      <w:r w:rsidR="00CB17D8">
        <w:t xml:space="preserve">  </w:t>
      </w:r>
      <w:r w:rsidR="00397C8B">
        <w:t>Information</w:t>
      </w:r>
      <w:r w:rsidR="00CB17D8">
        <w:t xml:space="preserve"> requested for this s</w:t>
      </w:r>
      <w:r w:rsidR="00613DA0" w:rsidRPr="00613DA0">
        <w:t>ubsection</w:t>
      </w:r>
      <w:r w:rsidR="00EC5F13">
        <w:t xml:space="preserve"> i</w:t>
      </w:r>
      <w:r w:rsidR="00613DA0" w:rsidRPr="00613DA0">
        <w:t xml:space="preserve">s not applicable to a Tier 5 stock.  </w:t>
      </w:r>
    </w:p>
    <w:p w:rsidR="00F2403E" w:rsidRDefault="00F2403E" w:rsidP="00F2403E">
      <w:pPr>
        <w:pStyle w:val="ListParagraph"/>
      </w:pPr>
    </w:p>
    <w:p w:rsidR="00835833" w:rsidRDefault="007B5B81" w:rsidP="002F1A19">
      <w:pPr>
        <w:numPr>
          <w:ilvl w:val="0"/>
          <w:numId w:val="25"/>
        </w:numPr>
        <w:jc w:val="both"/>
      </w:pPr>
      <w:r w:rsidRPr="00EC5F13">
        <w:rPr>
          <w:b/>
          <w:i/>
          <w:u w:val="single"/>
        </w:rPr>
        <w:t>Evaluation of the fit to the data</w:t>
      </w:r>
      <w:r w:rsidRPr="00EC5F13">
        <w:rPr>
          <w:b/>
          <w:i/>
        </w:rPr>
        <w:t>:</w:t>
      </w:r>
      <w:r w:rsidR="00EC5F13">
        <w:t xml:space="preserve">  </w:t>
      </w:r>
      <w:r w:rsidR="000F04D1">
        <w:t xml:space="preserve">Not applicable for </w:t>
      </w:r>
      <w:r w:rsidR="00EC5F13">
        <w:t>Tier 5 stock</w:t>
      </w:r>
      <w:r w:rsidR="000F04D1">
        <w:t>.</w:t>
      </w:r>
    </w:p>
    <w:p w:rsidR="00835833" w:rsidRPr="00AB12B9" w:rsidRDefault="00835833" w:rsidP="00835833">
      <w:pPr>
        <w:jc w:val="both"/>
      </w:pPr>
    </w:p>
    <w:p w:rsidR="00835833" w:rsidRPr="00AB12B9" w:rsidRDefault="007B5B81" w:rsidP="002F1A19">
      <w:pPr>
        <w:pStyle w:val="Level3"/>
        <w:numPr>
          <w:ilvl w:val="0"/>
          <w:numId w:val="25"/>
        </w:numPr>
        <w:jc w:val="both"/>
        <w:rPr>
          <w:rFonts w:ascii="Times New Roman" w:hAnsi="Times New Roman"/>
          <w:szCs w:val="22"/>
        </w:rPr>
      </w:pPr>
      <w:r w:rsidRPr="00F44F22">
        <w:rPr>
          <w:rFonts w:ascii="Times New Roman" w:hAnsi="Times New Roman"/>
          <w:b/>
          <w:i/>
          <w:szCs w:val="22"/>
          <w:u w:val="single"/>
        </w:rPr>
        <w:t>Retrospective and historic analyses (retrospective analyses involve taking the “best” model and truncating the time-series of data on which the assessment is based; a historic analysis involves plotting the results from previous assessments)</w:t>
      </w:r>
      <w:r w:rsidR="00835833" w:rsidRPr="00F44F22">
        <w:rPr>
          <w:rFonts w:ascii="Times New Roman" w:hAnsi="Times New Roman"/>
          <w:b/>
          <w:i/>
          <w:szCs w:val="22"/>
        </w:rPr>
        <w:t>:</w:t>
      </w:r>
      <w:r w:rsidR="00F44F22">
        <w:rPr>
          <w:rFonts w:ascii="Times New Roman" w:hAnsi="Times New Roman"/>
          <w:szCs w:val="22"/>
        </w:rPr>
        <w:t xml:space="preserve">  Not applicable for Tier 5 stock</w:t>
      </w:r>
      <w:r w:rsidR="000F04D1">
        <w:rPr>
          <w:rFonts w:ascii="Times New Roman" w:hAnsi="Times New Roman"/>
          <w:szCs w:val="22"/>
        </w:rPr>
        <w:t>.</w:t>
      </w:r>
    </w:p>
    <w:p w:rsidR="00835833" w:rsidRPr="00835833" w:rsidRDefault="00835833" w:rsidP="00835833">
      <w:pPr>
        <w:jc w:val="both"/>
      </w:pPr>
    </w:p>
    <w:p w:rsidR="005C39C1" w:rsidRPr="00355575" w:rsidRDefault="00645809" w:rsidP="002F1A19">
      <w:pPr>
        <w:numPr>
          <w:ilvl w:val="0"/>
          <w:numId w:val="25"/>
        </w:numPr>
        <w:jc w:val="both"/>
      </w:pPr>
      <w:r w:rsidRPr="00355575">
        <w:rPr>
          <w:rFonts w:cs="Arial"/>
          <w:b/>
          <w:i/>
          <w:u w:val="single"/>
          <w:lang w:val="en-CA"/>
        </w:rPr>
        <w:fldChar w:fldCharType="begin"/>
      </w:r>
      <w:r w:rsidR="007B5B81" w:rsidRPr="00355575">
        <w:rPr>
          <w:rFonts w:cs="Arial"/>
          <w:b/>
          <w:i/>
          <w:u w:val="single"/>
          <w:lang w:val="en-CA"/>
        </w:rPr>
        <w:instrText xml:space="preserve"> SEQ CHAPTER \h \r 1</w:instrText>
      </w:r>
      <w:r w:rsidRPr="00355575">
        <w:rPr>
          <w:rFonts w:cs="Arial"/>
          <w:b/>
          <w:i/>
          <w:u w:val="single"/>
          <w:lang w:val="en-CA"/>
        </w:rPr>
        <w:fldChar w:fldCharType="end"/>
      </w:r>
      <w:r w:rsidR="007B5B81" w:rsidRPr="00355575">
        <w:rPr>
          <w:b/>
          <w:i/>
          <w:u w:val="single"/>
        </w:rPr>
        <w:t>Uncertainty and sensitivity analyses (this section should highlight unresolved problems and major uncertainties, along with any special issues that complicate scientific assessment, including questions about the best model, etc.)</w:t>
      </w:r>
      <w:r w:rsidR="007B5B81" w:rsidRPr="00355575">
        <w:rPr>
          <w:b/>
          <w:i/>
        </w:rPr>
        <w:t>:</w:t>
      </w:r>
      <w:r w:rsidR="0079441E" w:rsidRPr="00355575">
        <w:t xml:space="preserve">  </w:t>
      </w:r>
      <w:r w:rsidR="005C39C1" w:rsidRPr="00355575">
        <w:t xml:space="preserve">For </w:t>
      </w:r>
      <w:r w:rsidR="00277CEF">
        <w:t>this</w:t>
      </w:r>
      <w:r w:rsidR="005C39C1" w:rsidRPr="00355575">
        <w:t xml:space="preserve"> assessment, the major uncertainties are:</w:t>
      </w:r>
    </w:p>
    <w:p w:rsidR="005C39C1" w:rsidRPr="00355575" w:rsidRDefault="005C39C1" w:rsidP="005C39C1">
      <w:pPr>
        <w:pStyle w:val="ListParagraph"/>
      </w:pPr>
    </w:p>
    <w:p w:rsidR="007D6D49" w:rsidRPr="00355575" w:rsidRDefault="005C39C1" w:rsidP="007D6D49">
      <w:pPr>
        <w:numPr>
          <w:ilvl w:val="0"/>
          <w:numId w:val="36"/>
        </w:numPr>
        <w:autoSpaceDE w:val="0"/>
        <w:autoSpaceDN w:val="0"/>
        <w:adjustRightInd w:val="0"/>
        <w:jc w:val="both"/>
      </w:pPr>
      <w:r w:rsidRPr="00355575">
        <w:t xml:space="preserve">Whether the time period is “representative of the production potential of the stock” and if </w:t>
      </w:r>
      <w:r w:rsidR="00C65D14" w:rsidRPr="00355575">
        <w:t xml:space="preserve">it serves to </w:t>
      </w:r>
      <w:r w:rsidRPr="00355575">
        <w:t>“provide the required risk aversion for stock conservation and utilization goals.”  Or whether any such time period exists.</w:t>
      </w:r>
    </w:p>
    <w:p w:rsidR="005C39C1" w:rsidRPr="007D2C79" w:rsidRDefault="007D6D49" w:rsidP="007D6D49">
      <w:pPr>
        <w:numPr>
          <w:ilvl w:val="1"/>
          <w:numId w:val="36"/>
        </w:numPr>
        <w:autoSpaceDE w:val="0"/>
        <w:autoSpaceDN w:val="0"/>
        <w:adjustRightInd w:val="0"/>
        <w:jc w:val="both"/>
      </w:pPr>
      <w:r w:rsidRPr="00355575">
        <w:t xml:space="preserve">Only a period of 6 years is used to compute the OFL, 1993–1998.  The SSC has noted its uneasiness with </w:t>
      </w:r>
      <w:r w:rsidR="00355575">
        <w:t xml:space="preserve">that </w:t>
      </w:r>
      <w:r w:rsidRPr="00355575">
        <w:t xml:space="preserve">situation </w:t>
      </w:r>
      <w:r w:rsidRPr="009320CB">
        <w:t>(“</w:t>
      </w:r>
      <w:r w:rsidRPr="009320CB">
        <w:rPr>
          <w:sz w:val="22"/>
          <w:szCs w:val="22"/>
          <w:lang w:val="en-US" w:eastAsia="en-US"/>
        </w:rPr>
        <w:t xml:space="preserve">6 </w:t>
      </w:r>
      <w:r w:rsidR="00645809" w:rsidRPr="00645809">
        <w:rPr>
          <w:lang w:val="en-US" w:eastAsia="en-US"/>
        </w:rPr>
        <w:t xml:space="preserve">years of data are very few years upon which to base these catch specifications.” June 2011 SSC minutes). </w:t>
      </w:r>
    </w:p>
    <w:p w:rsidR="007D6D49" w:rsidRPr="005E0328" w:rsidRDefault="00355575" w:rsidP="00355575">
      <w:pPr>
        <w:numPr>
          <w:ilvl w:val="0"/>
          <w:numId w:val="36"/>
        </w:numPr>
        <w:autoSpaceDE w:val="0"/>
        <w:autoSpaceDN w:val="0"/>
        <w:adjustRightInd w:val="0"/>
        <w:jc w:val="both"/>
      </w:pPr>
      <w:r w:rsidRPr="00355575">
        <w:t xml:space="preserve">No data on bycatch due to the directed fishery during the period used to compute the OFL is available.  Estimation of </w:t>
      </w:r>
      <w:r w:rsidRPr="005E0328">
        <w:t xml:space="preserve">the OFL rests on the assumption that data on the ratio of bycatch to retained catch during the post-2000 seasons can be used to accurately estimate that ratio for the 1993–1998 seasons.   </w:t>
      </w:r>
    </w:p>
    <w:p w:rsidR="005E0328" w:rsidRDefault="005C39C1" w:rsidP="005E0328">
      <w:pPr>
        <w:numPr>
          <w:ilvl w:val="0"/>
          <w:numId w:val="36"/>
        </w:numPr>
        <w:jc w:val="both"/>
      </w:pPr>
      <w:r w:rsidRPr="005E0328">
        <w:t xml:space="preserve">The bycatch mortality rates used in estimation of total catch. </w:t>
      </w:r>
      <w:r w:rsidR="005E0328" w:rsidRPr="005E0328">
        <w:t>Bycatch mortality is unknown and no data that could be used to estimate the bycatch mortality of this stock is known to the author.  Hence</w:t>
      </w:r>
      <w:r w:rsidR="00ED4BE2">
        <w:t>,</w:t>
      </w:r>
      <w:r w:rsidR="005E0328" w:rsidRPr="005E0328">
        <w:t xml:space="preserve"> only the values that are assumed</w:t>
      </w:r>
      <w:r w:rsidR="005E0328">
        <w:t xml:space="preserve"> for other BSAI king crab stock assessments are considered in this assessment.  The estimated OFL increases (</w:t>
      </w:r>
      <w:r w:rsidR="00ED4BE2">
        <w:t xml:space="preserve">or </w:t>
      </w:r>
      <w:r w:rsidR="005E0328">
        <w:t>decrease</w:t>
      </w:r>
      <w:r w:rsidR="003F2AEF">
        <w:t>s) relative to</w:t>
      </w:r>
      <w:r w:rsidR="005E0328">
        <w:t xml:space="preserve"> the bycatch mortality rates assumed: doubl</w:t>
      </w:r>
      <w:r w:rsidR="004D6F17">
        <w:t>ing</w:t>
      </w:r>
      <w:r w:rsidR="005E0328">
        <w:t xml:space="preserve"> the ass</w:t>
      </w:r>
      <w:r w:rsidR="00015DAC">
        <w:t>umed bycatch mortality rates increases</w:t>
      </w:r>
      <w:r w:rsidR="005E0328">
        <w:t xml:space="preserve"> the OFL estimate </w:t>
      </w:r>
      <w:r w:rsidR="00015DAC">
        <w:t>by a factor of 1.15; halving</w:t>
      </w:r>
      <w:r w:rsidR="005E0328">
        <w:t xml:space="preserve"> the assumed bycatch mortality rates </w:t>
      </w:r>
      <w:r w:rsidR="00015DAC">
        <w:t>decreases</w:t>
      </w:r>
      <w:r w:rsidR="005E0328">
        <w:t xml:space="preserve"> the OFL estimate by a factor of 0.92.</w:t>
      </w:r>
    </w:p>
    <w:p w:rsidR="005C39C1" w:rsidRPr="00DA6F07" w:rsidRDefault="005C39C1" w:rsidP="005E0328">
      <w:pPr>
        <w:jc w:val="both"/>
        <w:rPr>
          <w:highlight w:val="yellow"/>
        </w:rPr>
      </w:pPr>
    </w:p>
    <w:p w:rsidR="007B5B81" w:rsidRPr="00AB12B9" w:rsidRDefault="007B5B81" w:rsidP="007B5B81">
      <w:pPr>
        <w:pStyle w:val="Heading2"/>
        <w:jc w:val="both"/>
        <w:rPr>
          <w:i/>
          <w:sz w:val="24"/>
        </w:rPr>
      </w:pPr>
      <w:r w:rsidRPr="00AB12B9">
        <w:rPr>
          <w:i/>
          <w:sz w:val="24"/>
        </w:rPr>
        <w:lastRenderedPageBreak/>
        <w:t>F. Calculation of the OFL</w:t>
      </w:r>
    </w:p>
    <w:p w:rsidR="00AA1158" w:rsidRPr="00D72C2A" w:rsidRDefault="007B5B81" w:rsidP="00151451">
      <w:pPr>
        <w:numPr>
          <w:ilvl w:val="0"/>
          <w:numId w:val="10"/>
        </w:numPr>
        <w:tabs>
          <w:tab w:val="clear" w:pos="720"/>
        </w:tabs>
        <w:ind w:left="360"/>
        <w:jc w:val="both"/>
        <w:rPr>
          <w:b/>
        </w:rPr>
      </w:pPr>
      <w:r w:rsidRPr="00D72C2A">
        <w:rPr>
          <w:b/>
          <w:u w:val="single"/>
        </w:rPr>
        <w:t>Specification of the Tier level and stock status level for computing the OFL</w:t>
      </w:r>
      <w:r w:rsidR="00D72C2A" w:rsidRPr="00D72C2A">
        <w:rPr>
          <w:b/>
          <w:u w:val="single"/>
        </w:rPr>
        <w:t>:</w:t>
      </w:r>
    </w:p>
    <w:p w:rsidR="00DA5262" w:rsidRDefault="00DA5262" w:rsidP="002F1A19">
      <w:pPr>
        <w:numPr>
          <w:ilvl w:val="0"/>
          <w:numId w:val="20"/>
        </w:numPr>
        <w:jc w:val="both"/>
      </w:pPr>
      <w:r>
        <w:t xml:space="preserve">Recommended as </w:t>
      </w:r>
      <w:r w:rsidR="00276EB3">
        <w:t>Tier 5, total-catch OFL estimated by estimated average total catch over a specified period.</w:t>
      </w:r>
    </w:p>
    <w:p w:rsidR="004305F2" w:rsidRDefault="00DA5262" w:rsidP="002F1A19">
      <w:pPr>
        <w:numPr>
          <w:ilvl w:val="0"/>
          <w:numId w:val="20"/>
        </w:numPr>
        <w:jc w:val="both"/>
      </w:pPr>
      <w:r>
        <w:t>Recommended time period for computing retain</w:t>
      </w:r>
      <w:r w:rsidR="004305F2">
        <w:t xml:space="preserve">ed-catch OFL: </w:t>
      </w:r>
      <w:r w:rsidR="00A424F9">
        <w:t>1993–1998</w:t>
      </w:r>
      <w:r w:rsidR="004305F2">
        <w:t xml:space="preserve">. </w:t>
      </w:r>
    </w:p>
    <w:p w:rsidR="00DA5262" w:rsidRDefault="00276EB3" w:rsidP="002F1A19">
      <w:pPr>
        <w:numPr>
          <w:ilvl w:val="1"/>
          <w:numId w:val="20"/>
        </w:numPr>
        <w:jc w:val="both"/>
      </w:pPr>
      <w:r>
        <w:t>This</w:t>
      </w:r>
      <w:r w:rsidR="00DA5262">
        <w:t xml:space="preserve"> </w:t>
      </w:r>
      <w:r w:rsidR="003A5638">
        <w:t xml:space="preserve">is the time period </w:t>
      </w:r>
      <w:r>
        <w:t xml:space="preserve">used to establish </w:t>
      </w:r>
      <w:r w:rsidR="003A5638">
        <w:t>OFL for the 2010</w:t>
      </w:r>
      <w:r w:rsidR="00BD1D76">
        <w:t>–201</w:t>
      </w:r>
      <w:r w:rsidR="00E27975">
        <w:t>3</w:t>
      </w:r>
      <w:r>
        <w:t xml:space="preserve"> </w:t>
      </w:r>
      <w:r w:rsidR="003A5638">
        <w:t>season</w:t>
      </w:r>
      <w:r>
        <w:t>s</w:t>
      </w:r>
      <w:r w:rsidR="00DA5262">
        <w:t xml:space="preserve">.   </w:t>
      </w:r>
      <w:r w:rsidR="004305F2">
        <w:t xml:space="preserve">  The time period </w:t>
      </w:r>
      <w:r w:rsidR="00BD3A59">
        <w:t>1993–199</w:t>
      </w:r>
      <w:r w:rsidR="00A424F9">
        <w:t>8</w:t>
      </w:r>
      <w:r w:rsidR="004305F2">
        <w:t xml:space="preserve"> provides the longest </w:t>
      </w:r>
      <w:r w:rsidR="00BD3A59">
        <w:t xml:space="preserve">continuous </w:t>
      </w:r>
      <w:r w:rsidR="004305F2">
        <w:t>time period through 20</w:t>
      </w:r>
      <w:r>
        <w:t>1</w:t>
      </w:r>
      <w:r w:rsidR="00E27975">
        <w:t>2</w:t>
      </w:r>
      <w:r w:rsidR="004305F2">
        <w:t xml:space="preserve"> during which</w:t>
      </w:r>
      <w:r w:rsidR="00017BB1">
        <w:t xml:space="preserve"> vessels participated in the fishery, retained-catch data can be retrieved t</w:t>
      </w:r>
      <w:r w:rsidR="007D6C02">
        <w:t>hat are</w:t>
      </w:r>
      <w:r w:rsidR="00017BB1">
        <w:t xml:space="preserve"> not </w:t>
      </w:r>
      <w:r w:rsidR="00BD3A59">
        <w:t>confidential</w:t>
      </w:r>
      <w:r w:rsidR="00017BB1">
        <w:t>,</w:t>
      </w:r>
      <w:r w:rsidR="00BD3A59">
        <w:t xml:space="preserve"> and </w:t>
      </w:r>
      <w:r w:rsidR="00A424F9">
        <w:t>the retained catch was not</w:t>
      </w:r>
      <w:r w:rsidR="00BD3A59">
        <w:t xml:space="preserve"> constrained by a GHL.</w:t>
      </w:r>
      <w:r w:rsidR="00A424F9">
        <w:t xml:space="preserve">  </w:t>
      </w:r>
      <w:r>
        <w:t xml:space="preserve">Data on bycatch mortality contemporaneous with 1993-1998 to the extent possible </w:t>
      </w:r>
      <w:r w:rsidR="00E27975">
        <w:t>are</w:t>
      </w:r>
      <w:r>
        <w:t xml:space="preserve"> used to calculate the total-catch OFL in the recommended Alternative 1.</w:t>
      </w:r>
    </w:p>
    <w:p w:rsidR="007B5B81" w:rsidRPr="00AB12B9" w:rsidRDefault="007B5B81" w:rsidP="00AA1158">
      <w:pPr>
        <w:jc w:val="both"/>
      </w:pPr>
    </w:p>
    <w:p w:rsidR="00DE7CDE" w:rsidRDefault="007B5B81" w:rsidP="00151451">
      <w:pPr>
        <w:numPr>
          <w:ilvl w:val="0"/>
          <w:numId w:val="10"/>
        </w:numPr>
        <w:tabs>
          <w:tab w:val="clear" w:pos="720"/>
          <w:tab w:val="num" w:pos="360"/>
        </w:tabs>
        <w:ind w:left="360"/>
        <w:jc w:val="both"/>
      </w:pPr>
      <w:r w:rsidRPr="003B06FC">
        <w:rPr>
          <w:b/>
          <w:u w:val="single"/>
        </w:rPr>
        <w:t>List of parameter and stock size estimates (or best available proxies thereof) required by limit and target control rules specified in the fishery management plan</w:t>
      </w:r>
      <w:r w:rsidR="00DE7CDE" w:rsidRPr="003B06FC">
        <w:rPr>
          <w:b/>
        </w:rPr>
        <w:t>:</w:t>
      </w:r>
      <w:r w:rsidR="00D72C2A">
        <w:t xml:space="preserve">  </w:t>
      </w:r>
      <w:r w:rsidR="000F04D1">
        <w:t>Not applicable</w:t>
      </w:r>
      <w:r w:rsidR="00D72C2A">
        <w:t xml:space="preserve"> for Tier 5 stock</w:t>
      </w:r>
      <w:r w:rsidR="000F04D1">
        <w:t>.</w:t>
      </w:r>
    </w:p>
    <w:p w:rsidR="00DE7CDE" w:rsidRPr="00AB12B9" w:rsidRDefault="00DE7CDE" w:rsidP="00DE7CDE">
      <w:pPr>
        <w:jc w:val="both"/>
      </w:pPr>
    </w:p>
    <w:p w:rsidR="007B5B81" w:rsidRPr="003B06FC" w:rsidRDefault="007B5B81" w:rsidP="00151451">
      <w:pPr>
        <w:numPr>
          <w:ilvl w:val="0"/>
          <w:numId w:val="10"/>
        </w:numPr>
        <w:tabs>
          <w:tab w:val="clear" w:pos="720"/>
          <w:tab w:val="num" w:pos="360"/>
        </w:tabs>
        <w:ind w:left="360"/>
        <w:jc w:val="both"/>
        <w:rPr>
          <w:b/>
        </w:rPr>
      </w:pPr>
      <w:r w:rsidRPr="003B06FC">
        <w:rPr>
          <w:b/>
          <w:u w:val="single"/>
        </w:rPr>
        <w:t xml:space="preserve">Specification of the </w:t>
      </w:r>
      <w:r w:rsidR="000F1B1E">
        <w:rPr>
          <w:b/>
          <w:u w:val="single"/>
        </w:rPr>
        <w:t xml:space="preserve">total-catch </w:t>
      </w:r>
      <w:r w:rsidRPr="003B06FC">
        <w:rPr>
          <w:b/>
          <w:u w:val="single"/>
        </w:rPr>
        <w:t>OFL</w:t>
      </w:r>
      <w:r w:rsidRPr="003B06FC">
        <w:rPr>
          <w:b/>
        </w:rPr>
        <w:t>:</w:t>
      </w:r>
    </w:p>
    <w:p w:rsidR="007B5B81" w:rsidRPr="003B06FC" w:rsidRDefault="007B5B81" w:rsidP="00151451">
      <w:pPr>
        <w:numPr>
          <w:ilvl w:val="1"/>
          <w:numId w:val="10"/>
        </w:numPr>
        <w:tabs>
          <w:tab w:val="clear" w:pos="1440"/>
          <w:tab w:val="num" w:pos="360"/>
        </w:tabs>
        <w:ind w:left="360"/>
        <w:jc w:val="both"/>
        <w:rPr>
          <w:b/>
          <w:i/>
        </w:rPr>
      </w:pPr>
      <w:r w:rsidRPr="003B06FC">
        <w:rPr>
          <w:b/>
          <w:i/>
          <w:u w:val="single"/>
        </w:rPr>
        <w:t>Provide the equations (from Amendment 24) on which the OFL is to be based</w:t>
      </w:r>
      <w:r w:rsidR="00DE7CDE" w:rsidRPr="003B06FC">
        <w:rPr>
          <w:b/>
          <w:i/>
        </w:rPr>
        <w:t>:</w:t>
      </w:r>
      <w:r w:rsidRPr="003B06FC">
        <w:rPr>
          <w:b/>
          <w:i/>
        </w:rPr>
        <w:t xml:space="preserve"> </w:t>
      </w:r>
    </w:p>
    <w:p w:rsidR="00DE7CDE" w:rsidRPr="003B06FC" w:rsidRDefault="003B06FC" w:rsidP="003B06FC">
      <w:pPr>
        <w:autoSpaceDE w:val="0"/>
        <w:autoSpaceDN w:val="0"/>
        <w:adjustRightInd w:val="0"/>
        <w:jc w:val="both"/>
      </w:pPr>
      <w:r w:rsidRPr="003B06FC">
        <w:rPr>
          <w:lang w:val="en-US" w:eastAsia="en-US"/>
        </w:rPr>
        <w:t xml:space="preserve">From </w:t>
      </w:r>
      <w:r w:rsidRPr="003B06FC">
        <w:rPr>
          <w:b/>
          <w:bCs/>
          <w:lang w:val="en-US" w:eastAsia="en-US"/>
        </w:rPr>
        <w:t xml:space="preserve">Federal Register </w:t>
      </w:r>
      <w:r w:rsidRPr="003B06FC">
        <w:rPr>
          <w:lang w:val="en-US" w:eastAsia="en-US"/>
        </w:rPr>
        <w:t xml:space="preserve">/ Vol. 73, No. 116, page 33926, “For stocks in Tier 5, the overfishing level is specified in terms of an average catch value over an historical time period, unless the Scientific and Statistical Committee recommends an alternative value based on the best available scientific information.”  Additionally, “For stocks where </w:t>
      </w:r>
      <w:proofErr w:type="spellStart"/>
      <w:r w:rsidRPr="003B06FC">
        <w:rPr>
          <w:lang w:val="en-US" w:eastAsia="en-US"/>
        </w:rPr>
        <w:t>nontarget</w:t>
      </w:r>
      <w:proofErr w:type="spellEnd"/>
      <w:r w:rsidRPr="003B06FC">
        <w:rPr>
          <w:lang w:val="en-US" w:eastAsia="en-US"/>
        </w:rPr>
        <w:t xml:space="preserve"> fishery removal data are available, catch includes all fishery removals, including retained catch and discard losses. Discard losses will be determined by multiplying the appropriate </w:t>
      </w:r>
      <w:r w:rsidR="005304A2">
        <w:rPr>
          <w:lang w:val="en-US" w:eastAsia="en-US"/>
        </w:rPr>
        <w:t>handling</w:t>
      </w:r>
      <w:r w:rsidRPr="003B06FC">
        <w:rPr>
          <w:lang w:val="en-US" w:eastAsia="en-US"/>
        </w:rPr>
        <w:t xml:space="preserve"> mortality rate by observer estimates of bycatch discards.  For stocks where only retained catch information is available, the overfishing level is set for and compared to the retained catch” (FR/Vol. 73, No. 116, 33926).  </w:t>
      </w:r>
      <w:r>
        <w:rPr>
          <w:lang w:val="en-US" w:eastAsia="en-US"/>
        </w:rPr>
        <w:t xml:space="preserve">That compares with the specification of NPFMC (2007) that the </w:t>
      </w:r>
      <w:r w:rsidR="00DE7CDE" w:rsidRPr="003B06FC">
        <w:t xml:space="preserve">OFL </w:t>
      </w:r>
      <w:r>
        <w:t>“</w:t>
      </w:r>
      <w:r w:rsidR="00DE7CDE" w:rsidRPr="003B06FC">
        <w:t>represent</w:t>
      </w:r>
      <w:r>
        <w:t>[</w:t>
      </w:r>
      <w:r w:rsidR="00DE7CDE" w:rsidRPr="003B06FC">
        <w:t>s</w:t>
      </w:r>
      <w:r>
        <w:t>]</w:t>
      </w:r>
      <w:r w:rsidR="00DE7CDE" w:rsidRPr="003B06FC">
        <w:t xml:space="preserve"> the average retained catch from a time period determined to be representative of the pr</w:t>
      </w:r>
      <w:r w:rsidRPr="003B06FC">
        <w:t>oduction potential of the stock</w:t>
      </w:r>
      <w:r>
        <w:t>.</w:t>
      </w:r>
      <w:r w:rsidR="00DE7CDE" w:rsidRPr="003B06FC">
        <w:t>”</w:t>
      </w:r>
    </w:p>
    <w:p w:rsidR="00DE7CDE" w:rsidRPr="003B06FC" w:rsidRDefault="00DE7CDE" w:rsidP="003B06FC">
      <w:pPr>
        <w:autoSpaceDE w:val="0"/>
        <w:autoSpaceDN w:val="0"/>
        <w:adjustRightInd w:val="0"/>
      </w:pPr>
    </w:p>
    <w:p w:rsidR="000F1B1E" w:rsidRDefault="007B5B81" w:rsidP="000F1B1E">
      <w:pPr>
        <w:numPr>
          <w:ilvl w:val="1"/>
          <w:numId w:val="10"/>
        </w:numPr>
        <w:tabs>
          <w:tab w:val="clear" w:pos="1440"/>
          <w:tab w:val="num" w:pos="360"/>
        </w:tabs>
        <w:ind w:left="360"/>
        <w:jc w:val="both"/>
      </w:pPr>
      <w:r w:rsidRPr="004635D2">
        <w:rPr>
          <w:b/>
          <w:i/>
          <w:u w:val="single"/>
        </w:rPr>
        <w:t>Basis for projecting MMB to the time of mating</w:t>
      </w:r>
      <w:bookmarkStart w:id="0" w:name="OLE_LINK2"/>
      <w:bookmarkStart w:id="1" w:name="OLE_LINK3"/>
      <w:r w:rsidR="00DE7CDE" w:rsidRPr="004635D2">
        <w:rPr>
          <w:b/>
          <w:i/>
        </w:rPr>
        <w:t>:</w:t>
      </w:r>
      <w:bookmarkEnd w:id="0"/>
      <w:bookmarkEnd w:id="1"/>
      <w:r w:rsidR="002B5415">
        <w:rPr>
          <w:b/>
        </w:rPr>
        <w:t xml:space="preserve">  </w:t>
      </w:r>
      <w:r w:rsidR="00463C23">
        <w:t>Not applicable</w:t>
      </w:r>
      <w:r w:rsidR="002B5415">
        <w:t xml:space="preserve"> for Tier 5 stock</w:t>
      </w:r>
      <w:r w:rsidR="00463C23">
        <w:t>.</w:t>
      </w:r>
    </w:p>
    <w:p w:rsidR="000F1B1E" w:rsidRPr="000F1B1E" w:rsidRDefault="000F1B1E" w:rsidP="000F1B1E">
      <w:pPr>
        <w:jc w:val="both"/>
      </w:pPr>
      <w:r>
        <w:br w:type="page"/>
      </w:r>
    </w:p>
    <w:p w:rsidR="000F1B1E" w:rsidRPr="000F1B1E" w:rsidRDefault="007B5B81" w:rsidP="000F1B1E">
      <w:pPr>
        <w:numPr>
          <w:ilvl w:val="1"/>
          <w:numId w:val="10"/>
        </w:numPr>
        <w:tabs>
          <w:tab w:val="clear" w:pos="1440"/>
          <w:tab w:val="num" w:pos="360"/>
        </w:tabs>
        <w:ind w:left="360"/>
        <w:jc w:val="both"/>
      </w:pPr>
      <w:r w:rsidRPr="000F1B1E">
        <w:rPr>
          <w:b/>
          <w:i/>
          <w:u w:val="single"/>
        </w:rPr>
        <w:lastRenderedPageBreak/>
        <w:t>Specification of F</w:t>
      </w:r>
      <w:r w:rsidRPr="000F1B1E">
        <w:rPr>
          <w:b/>
          <w:i/>
          <w:u w:val="single"/>
          <w:vertAlign w:val="subscript"/>
        </w:rPr>
        <w:t>OFL</w:t>
      </w:r>
      <w:r w:rsidRPr="000F1B1E">
        <w:rPr>
          <w:b/>
          <w:i/>
          <w:u w:val="single"/>
        </w:rPr>
        <w:t>, OFL, and other applicable measures (if any) relevant to determining whether the stock is overfished or if overfishing is occurring</w:t>
      </w:r>
      <w:r w:rsidR="00DE7CDE" w:rsidRPr="000F1B1E">
        <w:rPr>
          <w:b/>
          <w:i/>
        </w:rPr>
        <w:t>:</w:t>
      </w:r>
      <w:r w:rsidR="004635D2">
        <w:t xml:space="preserve">  See table below.</w:t>
      </w:r>
      <w:r w:rsidR="000F1B1E" w:rsidRPr="00C15249">
        <w:t xml:space="preserve"> </w:t>
      </w:r>
      <w:r w:rsidR="00C15249">
        <w:t xml:space="preserve"> Although the retained and total catch for 201</w:t>
      </w:r>
      <w:r w:rsidR="0020111F">
        <w:t>2</w:t>
      </w:r>
      <w:r w:rsidR="00C15249">
        <w:t xml:space="preserve"> cannot be presented here due to the confidentiality of data, the author can report that total catch in 201</w:t>
      </w:r>
      <w:r w:rsidR="0020111F">
        <w:t>2</w:t>
      </w:r>
      <w:r w:rsidR="00C15249">
        <w:t xml:space="preserve"> did not exceed the 201</w:t>
      </w:r>
      <w:r w:rsidR="0020111F">
        <w:t>2</w:t>
      </w:r>
      <w:r w:rsidR="00C15249">
        <w:t xml:space="preserve"> OFL.</w:t>
      </w:r>
      <w:r w:rsidR="00B0503A">
        <w:t xml:space="preserve">  Values for the 201</w:t>
      </w:r>
      <w:r w:rsidR="0020111F">
        <w:t>4</w:t>
      </w:r>
      <w:r w:rsidR="00B0503A">
        <w:t xml:space="preserve"> OFL and ABC are the author’s recommendations.</w:t>
      </w:r>
    </w:p>
    <w:tbl>
      <w:tblPr>
        <w:tblW w:w="4722" w:type="pct"/>
        <w:tblInd w:w="288" w:type="dxa"/>
        <w:tblLook w:val="0000"/>
      </w:tblPr>
      <w:tblGrid>
        <w:gridCol w:w="872"/>
        <w:gridCol w:w="870"/>
        <w:gridCol w:w="1070"/>
        <w:gridCol w:w="840"/>
        <w:gridCol w:w="1416"/>
        <w:gridCol w:w="1416"/>
        <w:gridCol w:w="1122"/>
        <w:gridCol w:w="1122"/>
      </w:tblGrid>
      <w:tr w:rsidR="00430E80" w:rsidRPr="00C8044B" w:rsidTr="006C79D8">
        <w:trPr>
          <w:trHeight w:val="437"/>
        </w:trPr>
        <w:tc>
          <w:tcPr>
            <w:tcW w:w="500" w:type="pct"/>
            <w:tcBorders>
              <w:top w:val="single" w:sz="12" w:space="0" w:color="auto"/>
              <w:left w:val="nil"/>
              <w:bottom w:val="single" w:sz="12" w:space="0" w:color="auto"/>
              <w:right w:val="nil"/>
            </w:tcBorders>
            <w:shd w:val="clear" w:color="auto" w:fill="auto"/>
            <w:vAlign w:val="center"/>
          </w:tcPr>
          <w:p w:rsidR="00430E80" w:rsidRPr="00A36539" w:rsidRDefault="00430E80" w:rsidP="006C79D8">
            <w:pPr>
              <w:keepNext/>
              <w:jc w:val="center"/>
              <w:rPr>
                <w:b/>
                <w:bCs/>
                <w:szCs w:val="22"/>
              </w:rPr>
            </w:pPr>
            <w:proofErr w:type="spellStart"/>
            <w:r w:rsidRPr="00A36539">
              <w:rPr>
                <w:b/>
                <w:bCs/>
                <w:szCs w:val="22"/>
              </w:rPr>
              <w:t>Year</w:t>
            </w:r>
            <w:r w:rsidRPr="00A36539">
              <w:rPr>
                <w:rFonts w:ascii="Times New Roman Bold" w:hAnsi="Times New Roman Bold"/>
                <w:b/>
                <w:bCs/>
                <w:vertAlign w:val="superscript"/>
              </w:rPr>
              <w:t>a</w:t>
            </w:r>
            <w:proofErr w:type="spellEnd"/>
          </w:p>
        </w:tc>
        <w:tc>
          <w:tcPr>
            <w:tcW w:w="498" w:type="pct"/>
            <w:tcBorders>
              <w:top w:val="single" w:sz="12" w:space="0" w:color="auto"/>
              <w:left w:val="nil"/>
              <w:bottom w:val="single" w:sz="12" w:space="0" w:color="auto"/>
              <w:right w:val="nil"/>
            </w:tcBorders>
          </w:tcPr>
          <w:p w:rsidR="00430E80" w:rsidRPr="00A36539" w:rsidRDefault="00430E80" w:rsidP="006C79D8">
            <w:pPr>
              <w:keepNext/>
              <w:jc w:val="center"/>
              <w:rPr>
                <w:b/>
                <w:bCs/>
                <w:szCs w:val="22"/>
              </w:rPr>
            </w:pPr>
          </w:p>
          <w:p w:rsidR="00430E80" w:rsidRPr="00A36539" w:rsidRDefault="00430E80" w:rsidP="006C79D8">
            <w:pPr>
              <w:keepNext/>
              <w:jc w:val="center"/>
              <w:rPr>
                <w:b/>
                <w:bCs/>
                <w:szCs w:val="22"/>
              </w:rPr>
            </w:pPr>
            <w:r w:rsidRPr="00A36539">
              <w:rPr>
                <w:b/>
                <w:bCs/>
                <w:szCs w:val="22"/>
              </w:rPr>
              <w:t>MSST</w:t>
            </w:r>
          </w:p>
        </w:tc>
        <w:tc>
          <w:tcPr>
            <w:tcW w:w="613" w:type="pct"/>
            <w:tcBorders>
              <w:top w:val="single" w:sz="12" w:space="0" w:color="auto"/>
              <w:left w:val="nil"/>
              <w:bottom w:val="single" w:sz="12" w:space="0" w:color="auto"/>
              <w:right w:val="nil"/>
            </w:tcBorders>
          </w:tcPr>
          <w:p w:rsidR="00430E80" w:rsidRPr="00A36539" w:rsidRDefault="00430E80" w:rsidP="006C79D8">
            <w:pPr>
              <w:keepNext/>
              <w:jc w:val="center"/>
              <w:rPr>
                <w:b/>
                <w:bCs/>
                <w:szCs w:val="22"/>
              </w:rPr>
            </w:pPr>
            <w:r w:rsidRPr="00A36539">
              <w:rPr>
                <w:b/>
                <w:bCs/>
                <w:szCs w:val="22"/>
              </w:rPr>
              <w:t>Biomass (MMB)</w:t>
            </w:r>
          </w:p>
        </w:tc>
        <w:tc>
          <w:tcPr>
            <w:tcW w:w="481" w:type="pct"/>
            <w:tcBorders>
              <w:top w:val="single" w:sz="12" w:space="0" w:color="auto"/>
              <w:left w:val="nil"/>
              <w:bottom w:val="single" w:sz="12" w:space="0" w:color="auto"/>
              <w:right w:val="nil"/>
            </w:tcBorders>
            <w:shd w:val="clear" w:color="auto" w:fill="auto"/>
            <w:vAlign w:val="center"/>
          </w:tcPr>
          <w:p w:rsidR="00430E80" w:rsidRPr="00415592" w:rsidRDefault="00430E80" w:rsidP="006C79D8">
            <w:pPr>
              <w:keepNext/>
              <w:jc w:val="center"/>
              <w:rPr>
                <w:b/>
                <w:bCs/>
                <w:szCs w:val="22"/>
              </w:rPr>
            </w:pPr>
            <w:proofErr w:type="spellStart"/>
            <w:r w:rsidRPr="00415592">
              <w:rPr>
                <w:b/>
                <w:bCs/>
                <w:szCs w:val="22"/>
              </w:rPr>
              <w:t>GHL</w:t>
            </w:r>
            <w:r w:rsidRPr="00415592">
              <w:rPr>
                <w:rFonts w:ascii="Times New Roman Bold" w:hAnsi="Times New Roman Bold"/>
                <w:b/>
                <w:bCs/>
                <w:vertAlign w:val="superscript"/>
              </w:rPr>
              <w:t>b</w:t>
            </w:r>
            <w:proofErr w:type="spellEnd"/>
          </w:p>
        </w:tc>
        <w:tc>
          <w:tcPr>
            <w:tcW w:w="811" w:type="pct"/>
            <w:tcBorders>
              <w:top w:val="single" w:sz="12" w:space="0" w:color="auto"/>
              <w:left w:val="nil"/>
              <w:bottom w:val="single" w:sz="12" w:space="0" w:color="auto"/>
              <w:right w:val="nil"/>
            </w:tcBorders>
            <w:shd w:val="clear" w:color="auto" w:fill="auto"/>
            <w:vAlign w:val="center"/>
          </w:tcPr>
          <w:p w:rsidR="00430E80" w:rsidRPr="00415592" w:rsidRDefault="00430E80" w:rsidP="006C79D8">
            <w:pPr>
              <w:keepNext/>
              <w:jc w:val="center"/>
              <w:rPr>
                <w:b/>
                <w:bCs/>
                <w:szCs w:val="22"/>
              </w:rPr>
            </w:pPr>
            <w:r w:rsidRPr="00415592">
              <w:rPr>
                <w:b/>
                <w:bCs/>
                <w:szCs w:val="22"/>
              </w:rPr>
              <w:t xml:space="preserve">Retained </w:t>
            </w:r>
            <w:proofErr w:type="spellStart"/>
            <w:r w:rsidRPr="00415592">
              <w:rPr>
                <w:b/>
                <w:bCs/>
                <w:szCs w:val="22"/>
              </w:rPr>
              <w:t>Catch</w:t>
            </w:r>
            <w:r>
              <w:rPr>
                <w:rFonts w:ascii="Times New Roman Bold" w:hAnsi="Times New Roman Bold"/>
                <w:b/>
                <w:bCs/>
                <w:szCs w:val="22"/>
                <w:vertAlign w:val="superscript"/>
              </w:rPr>
              <w:t>c</w:t>
            </w:r>
            <w:proofErr w:type="spellEnd"/>
          </w:p>
        </w:tc>
        <w:tc>
          <w:tcPr>
            <w:tcW w:w="811" w:type="pct"/>
            <w:tcBorders>
              <w:top w:val="single" w:sz="12" w:space="0" w:color="auto"/>
              <w:left w:val="nil"/>
              <w:bottom w:val="single" w:sz="12" w:space="0" w:color="auto"/>
              <w:right w:val="nil"/>
            </w:tcBorders>
          </w:tcPr>
          <w:p w:rsidR="00430E80" w:rsidRPr="00415592" w:rsidRDefault="00430E80" w:rsidP="006C79D8">
            <w:pPr>
              <w:keepNext/>
              <w:jc w:val="center"/>
              <w:rPr>
                <w:b/>
                <w:bCs/>
                <w:szCs w:val="22"/>
              </w:rPr>
            </w:pPr>
            <w:r w:rsidRPr="00415592">
              <w:rPr>
                <w:b/>
                <w:bCs/>
                <w:szCs w:val="22"/>
              </w:rPr>
              <w:t xml:space="preserve">Total </w:t>
            </w:r>
            <w:proofErr w:type="spellStart"/>
            <w:r w:rsidRPr="00415592">
              <w:rPr>
                <w:b/>
                <w:bCs/>
                <w:szCs w:val="22"/>
              </w:rPr>
              <w:t>Catch</w:t>
            </w:r>
            <w:r w:rsidRPr="00415592">
              <w:rPr>
                <w:rFonts w:ascii="Times New Roman Bold" w:hAnsi="Times New Roman Bold"/>
                <w:b/>
                <w:bCs/>
                <w:szCs w:val="22"/>
                <w:vertAlign w:val="superscript"/>
              </w:rPr>
              <w:t>c,d</w:t>
            </w:r>
            <w:proofErr w:type="spellEnd"/>
          </w:p>
        </w:tc>
        <w:tc>
          <w:tcPr>
            <w:tcW w:w="643" w:type="pct"/>
            <w:tcBorders>
              <w:top w:val="single" w:sz="12" w:space="0" w:color="auto"/>
              <w:left w:val="nil"/>
              <w:bottom w:val="single" w:sz="12" w:space="0" w:color="auto"/>
              <w:right w:val="nil"/>
            </w:tcBorders>
            <w:vAlign w:val="center"/>
          </w:tcPr>
          <w:p w:rsidR="00430E80" w:rsidRPr="00A36539" w:rsidRDefault="00430E80" w:rsidP="006C79D8">
            <w:pPr>
              <w:keepNext/>
              <w:jc w:val="center"/>
              <w:rPr>
                <w:b/>
                <w:bCs/>
                <w:szCs w:val="22"/>
              </w:rPr>
            </w:pPr>
            <w:proofErr w:type="spellStart"/>
            <w:r w:rsidRPr="00A36539">
              <w:rPr>
                <w:b/>
                <w:bCs/>
                <w:szCs w:val="22"/>
              </w:rPr>
              <w:t>OFL</w:t>
            </w:r>
            <w:r>
              <w:rPr>
                <w:rFonts w:ascii="Times New Roman Bold" w:hAnsi="Times New Roman Bold"/>
                <w:b/>
                <w:bCs/>
                <w:szCs w:val="22"/>
                <w:vertAlign w:val="superscript"/>
              </w:rPr>
              <w:t>c,e</w:t>
            </w:r>
            <w:proofErr w:type="spellEnd"/>
          </w:p>
        </w:tc>
        <w:tc>
          <w:tcPr>
            <w:tcW w:w="643" w:type="pct"/>
            <w:tcBorders>
              <w:top w:val="single" w:sz="12" w:space="0" w:color="auto"/>
              <w:left w:val="nil"/>
              <w:bottom w:val="single" w:sz="12" w:space="0" w:color="auto"/>
              <w:right w:val="nil"/>
            </w:tcBorders>
          </w:tcPr>
          <w:p w:rsidR="00430E80" w:rsidRPr="00DB608C" w:rsidRDefault="00430E80" w:rsidP="006C79D8">
            <w:pPr>
              <w:keepNext/>
              <w:spacing w:before="120"/>
              <w:jc w:val="center"/>
              <w:rPr>
                <w:b/>
                <w:bCs/>
                <w:szCs w:val="22"/>
                <w:vertAlign w:val="superscript"/>
              </w:rPr>
            </w:pPr>
            <w:proofErr w:type="spellStart"/>
            <w:r>
              <w:rPr>
                <w:b/>
                <w:bCs/>
                <w:szCs w:val="22"/>
              </w:rPr>
              <w:t>ABC</w:t>
            </w:r>
            <w:r>
              <w:rPr>
                <w:b/>
                <w:bCs/>
                <w:szCs w:val="22"/>
                <w:vertAlign w:val="superscript"/>
              </w:rPr>
              <w:t>c,e</w:t>
            </w:r>
            <w:proofErr w:type="spellEnd"/>
          </w:p>
        </w:tc>
      </w:tr>
      <w:tr w:rsidR="00430E80" w:rsidRPr="00C8044B" w:rsidTr="006C79D8">
        <w:trPr>
          <w:trHeight w:val="291"/>
        </w:trPr>
        <w:tc>
          <w:tcPr>
            <w:tcW w:w="500" w:type="pct"/>
            <w:tcBorders>
              <w:top w:val="nil"/>
              <w:left w:val="nil"/>
              <w:bottom w:val="nil"/>
              <w:right w:val="nil"/>
            </w:tcBorders>
            <w:shd w:val="clear" w:color="auto" w:fill="auto"/>
            <w:vAlign w:val="center"/>
          </w:tcPr>
          <w:p w:rsidR="00430E80" w:rsidRPr="00A36539" w:rsidRDefault="00430E80" w:rsidP="006C79D8">
            <w:pPr>
              <w:keepNext/>
              <w:jc w:val="center"/>
              <w:rPr>
                <w:szCs w:val="22"/>
              </w:rPr>
            </w:pPr>
            <w:r w:rsidRPr="00A36539">
              <w:rPr>
                <w:szCs w:val="22"/>
              </w:rPr>
              <w:t>20</w:t>
            </w:r>
            <w:r>
              <w:rPr>
                <w:szCs w:val="22"/>
              </w:rPr>
              <w:t>10</w:t>
            </w:r>
          </w:p>
        </w:tc>
        <w:tc>
          <w:tcPr>
            <w:tcW w:w="498" w:type="pct"/>
            <w:tcBorders>
              <w:top w:val="nil"/>
              <w:left w:val="nil"/>
              <w:bottom w:val="nil"/>
              <w:right w:val="nil"/>
            </w:tcBorders>
          </w:tcPr>
          <w:p w:rsidR="00430E80" w:rsidRPr="00A36539" w:rsidRDefault="00430E80" w:rsidP="006C79D8">
            <w:pPr>
              <w:keepNext/>
              <w:jc w:val="center"/>
              <w:rPr>
                <w:szCs w:val="22"/>
              </w:rPr>
            </w:pPr>
            <w:r w:rsidRPr="00A36539">
              <w:rPr>
                <w:szCs w:val="22"/>
              </w:rPr>
              <w:t>N/A</w:t>
            </w:r>
          </w:p>
        </w:tc>
        <w:tc>
          <w:tcPr>
            <w:tcW w:w="613" w:type="pct"/>
            <w:tcBorders>
              <w:top w:val="nil"/>
              <w:left w:val="nil"/>
              <w:bottom w:val="nil"/>
              <w:right w:val="nil"/>
            </w:tcBorders>
          </w:tcPr>
          <w:p w:rsidR="00430E80" w:rsidRPr="00A36539" w:rsidRDefault="00430E80" w:rsidP="006C79D8">
            <w:pPr>
              <w:jc w:val="center"/>
            </w:pPr>
            <w:r w:rsidRPr="00A36539">
              <w:rPr>
                <w:szCs w:val="22"/>
              </w:rPr>
              <w:t>N/A</w:t>
            </w:r>
          </w:p>
        </w:tc>
        <w:tc>
          <w:tcPr>
            <w:tcW w:w="481"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r w:rsidRPr="00415592">
              <w:rPr>
                <w:szCs w:val="22"/>
              </w:rPr>
              <w:t>0.150</w:t>
            </w:r>
          </w:p>
        </w:tc>
        <w:tc>
          <w:tcPr>
            <w:tcW w:w="811" w:type="pct"/>
            <w:tcBorders>
              <w:top w:val="nil"/>
              <w:left w:val="nil"/>
              <w:bottom w:val="nil"/>
              <w:right w:val="nil"/>
            </w:tcBorders>
            <w:vAlign w:val="center"/>
          </w:tcPr>
          <w:p w:rsidR="00430E80" w:rsidRPr="00415592" w:rsidRDefault="00430E80" w:rsidP="006C79D8">
            <w:pPr>
              <w:keepNext/>
              <w:jc w:val="center"/>
              <w:rPr>
                <w:szCs w:val="22"/>
              </w:rPr>
            </w:pPr>
            <w:proofErr w:type="spellStart"/>
            <w:r>
              <w:rPr>
                <w:szCs w:val="22"/>
              </w:rPr>
              <w:t>Conf.</w:t>
            </w:r>
            <w:r w:rsidRPr="0081405F">
              <w:rPr>
                <w:szCs w:val="22"/>
                <w:vertAlign w:val="superscript"/>
              </w:rPr>
              <w:t>f</w:t>
            </w:r>
            <w:proofErr w:type="spellEnd"/>
          </w:p>
        </w:tc>
        <w:tc>
          <w:tcPr>
            <w:tcW w:w="811"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proofErr w:type="spellStart"/>
            <w:r>
              <w:rPr>
                <w:szCs w:val="22"/>
              </w:rPr>
              <w:t>Conf.</w:t>
            </w:r>
            <w:r w:rsidRPr="0081405F">
              <w:rPr>
                <w:szCs w:val="22"/>
                <w:vertAlign w:val="superscript"/>
              </w:rPr>
              <w:t>f</w:t>
            </w:r>
            <w:proofErr w:type="spellEnd"/>
          </w:p>
        </w:tc>
        <w:tc>
          <w:tcPr>
            <w:tcW w:w="643" w:type="pct"/>
            <w:tcBorders>
              <w:top w:val="nil"/>
              <w:left w:val="nil"/>
              <w:bottom w:val="nil"/>
              <w:right w:val="nil"/>
            </w:tcBorders>
            <w:vAlign w:val="center"/>
          </w:tcPr>
          <w:p w:rsidR="00430E80" w:rsidRPr="00A36539" w:rsidRDefault="00430E80" w:rsidP="006C79D8">
            <w:pPr>
              <w:keepNext/>
              <w:jc w:val="center"/>
              <w:rPr>
                <w:szCs w:val="22"/>
              </w:rPr>
            </w:pPr>
            <w:r w:rsidRPr="00A36539">
              <w:rPr>
                <w:szCs w:val="22"/>
              </w:rPr>
              <w:t>0.17</w:t>
            </w:r>
            <w:r>
              <w:rPr>
                <w:szCs w:val="22"/>
              </w:rPr>
              <w:t xml:space="preserve"> R</w:t>
            </w:r>
          </w:p>
        </w:tc>
        <w:tc>
          <w:tcPr>
            <w:tcW w:w="643" w:type="pct"/>
            <w:tcBorders>
              <w:top w:val="nil"/>
              <w:left w:val="nil"/>
              <w:bottom w:val="nil"/>
              <w:right w:val="nil"/>
            </w:tcBorders>
          </w:tcPr>
          <w:p w:rsidR="00430E80" w:rsidRPr="00A36539" w:rsidRDefault="00430E80" w:rsidP="006C79D8">
            <w:pPr>
              <w:keepNext/>
              <w:jc w:val="center"/>
              <w:rPr>
                <w:szCs w:val="22"/>
              </w:rPr>
            </w:pPr>
            <w:r>
              <w:rPr>
                <w:szCs w:val="22"/>
              </w:rPr>
              <w:t>N/A</w:t>
            </w:r>
          </w:p>
        </w:tc>
      </w:tr>
      <w:tr w:rsidR="00430E80" w:rsidRPr="00C8044B" w:rsidTr="006C79D8">
        <w:trPr>
          <w:trHeight w:val="291"/>
        </w:trPr>
        <w:tc>
          <w:tcPr>
            <w:tcW w:w="500" w:type="pct"/>
            <w:tcBorders>
              <w:top w:val="nil"/>
              <w:left w:val="nil"/>
              <w:bottom w:val="nil"/>
              <w:right w:val="nil"/>
            </w:tcBorders>
            <w:shd w:val="clear" w:color="auto" w:fill="auto"/>
            <w:vAlign w:val="center"/>
          </w:tcPr>
          <w:p w:rsidR="00430E80" w:rsidRPr="00A36539" w:rsidRDefault="00430E80" w:rsidP="006C79D8">
            <w:pPr>
              <w:keepNext/>
              <w:jc w:val="center"/>
              <w:rPr>
                <w:szCs w:val="22"/>
              </w:rPr>
            </w:pPr>
            <w:r>
              <w:rPr>
                <w:szCs w:val="22"/>
              </w:rPr>
              <w:t>2011</w:t>
            </w:r>
          </w:p>
        </w:tc>
        <w:tc>
          <w:tcPr>
            <w:tcW w:w="498" w:type="pct"/>
            <w:tcBorders>
              <w:top w:val="nil"/>
              <w:left w:val="nil"/>
              <w:bottom w:val="nil"/>
              <w:right w:val="nil"/>
            </w:tcBorders>
          </w:tcPr>
          <w:p w:rsidR="00430E80" w:rsidRPr="00A36539" w:rsidRDefault="00430E80" w:rsidP="006C79D8">
            <w:pPr>
              <w:keepNext/>
              <w:jc w:val="center"/>
              <w:rPr>
                <w:szCs w:val="22"/>
              </w:rPr>
            </w:pPr>
            <w:r>
              <w:rPr>
                <w:szCs w:val="22"/>
              </w:rPr>
              <w:t>N/A</w:t>
            </w:r>
          </w:p>
        </w:tc>
        <w:tc>
          <w:tcPr>
            <w:tcW w:w="613" w:type="pct"/>
            <w:tcBorders>
              <w:top w:val="nil"/>
              <w:left w:val="nil"/>
              <w:bottom w:val="nil"/>
              <w:right w:val="nil"/>
            </w:tcBorders>
          </w:tcPr>
          <w:p w:rsidR="00430E80" w:rsidRPr="00A36539" w:rsidRDefault="00430E80" w:rsidP="006C79D8">
            <w:pPr>
              <w:jc w:val="center"/>
              <w:rPr>
                <w:szCs w:val="22"/>
              </w:rPr>
            </w:pPr>
            <w:r>
              <w:rPr>
                <w:szCs w:val="22"/>
              </w:rPr>
              <w:t>N/A</w:t>
            </w:r>
          </w:p>
        </w:tc>
        <w:tc>
          <w:tcPr>
            <w:tcW w:w="481"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r>
              <w:rPr>
                <w:szCs w:val="22"/>
              </w:rPr>
              <w:t>0.150</w:t>
            </w:r>
          </w:p>
        </w:tc>
        <w:tc>
          <w:tcPr>
            <w:tcW w:w="811" w:type="pct"/>
            <w:tcBorders>
              <w:top w:val="nil"/>
              <w:left w:val="nil"/>
              <w:bottom w:val="nil"/>
              <w:right w:val="nil"/>
            </w:tcBorders>
            <w:vAlign w:val="center"/>
          </w:tcPr>
          <w:p w:rsidR="00430E80" w:rsidRPr="00415592" w:rsidRDefault="00430E80" w:rsidP="006C79D8">
            <w:pPr>
              <w:keepNext/>
              <w:jc w:val="center"/>
              <w:rPr>
                <w:szCs w:val="22"/>
              </w:rPr>
            </w:pPr>
            <w:proofErr w:type="spellStart"/>
            <w:r>
              <w:rPr>
                <w:szCs w:val="22"/>
              </w:rPr>
              <w:t>Conf.</w:t>
            </w:r>
            <w:r w:rsidRPr="0081405F">
              <w:rPr>
                <w:szCs w:val="22"/>
                <w:vertAlign w:val="superscript"/>
              </w:rPr>
              <w:t>f</w:t>
            </w:r>
            <w:proofErr w:type="spellEnd"/>
          </w:p>
        </w:tc>
        <w:tc>
          <w:tcPr>
            <w:tcW w:w="811"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proofErr w:type="spellStart"/>
            <w:r>
              <w:rPr>
                <w:szCs w:val="22"/>
              </w:rPr>
              <w:t>Conf.</w:t>
            </w:r>
            <w:r w:rsidRPr="0081405F">
              <w:rPr>
                <w:szCs w:val="22"/>
                <w:vertAlign w:val="superscript"/>
              </w:rPr>
              <w:t>f</w:t>
            </w:r>
            <w:proofErr w:type="spellEnd"/>
          </w:p>
        </w:tc>
        <w:tc>
          <w:tcPr>
            <w:tcW w:w="643" w:type="pct"/>
            <w:tcBorders>
              <w:top w:val="nil"/>
              <w:left w:val="nil"/>
              <w:bottom w:val="nil"/>
              <w:right w:val="nil"/>
            </w:tcBorders>
            <w:vAlign w:val="center"/>
          </w:tcPr>
          <w:p w:rsidR="00430E80" w:rsidRPr="00A36539" w:rsidRDefault="00430E80" w:rsidP="006C79D8">
            <w:pPr>
              <w:keepNext/>
              <w:jc w:val="center"/>
              <w:rPr>
                <w:szCs w:val="22"/>
              </w:rPr>
            </w:pPr>
            <w:r w:rsidRPr="00A36539">
              <w:rPr>
                <w:szCs w:val="22"/>
              </w:rPr>
              <w:t>0.1</w:t>
            </w:r>
            <w:r>
              <w:rPr>
                <w:szCs w:val="22"/>
              </w:rPr>
              <w:t>8 T</w:t>
            </w:r>
          </w:p>
        </w:tc>
        <w:tc>
          <w:tcPr>
            <w:tcW w:w="643" w:type="pct"/>
            <w:tcBorders>
              <w:top w:val="nil"/>
              <w:left w:val="nil"/>
              <w:bottom w:val="nil"/>
              <w:right w:val="nil"/>
            </w:tcBorders>
          </w:tcPr>
          <w:p w:rsidR="00430E80" w:rsidRPr="00A36539" w:rsidRDefault="00430E80" w:rsidP="006C79D8">
            <w:pPr>
              <w:keepNext/>
              <w:jc w:val="center"/>
              <w:rPr>
                <w:szCs w:val="22"/>
              </w:rPr>
            </w:pPr>
            <w:r>
              <w:rPr>
                <w:szCs w:val="22"/>
              </w:rPr>
              <w:t>N/A</w:t>
            </w:r>
          </w:p>
        </w:tc>
      </w:tr>
      <w:tr w:rsidR="00430E80" w:rsidRPr="00C8044B" w:rsidTr="006C79D8">
        <w:trPr>
          <w:trHeight w:val="291"/>
        </w:trPr>
        <w:tc>
          <w:tcPr>
            <w:tcW w:w="500"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2012</w:t>
            </w:r>
          </w:p>
        </w:tc>
        <w:tc>
          <w:tcPr>
            <w:tcW w:w="498" w:type="pct"/>
            <w:tcBorders>
              <w:top w:val="nil"/>
              <w:left w:val="nil"/>
              <w:bottom w:val="nil"/>
              <w:right w:val="nil"/>
            </w:tcBorders>
          </w:tcPr>
          <w:p w:rsidR="00430E80" w:rsidRDefault="00430E80" w:rsidP="006C79D8">
            <w:pPr>
              <w:keepNext/>
              <w:jc w:val="center"/>
              <w:rPr>
                <w:szCs w:val="22"/>
              </w:rPr>
            </w:pPr>
            <w:r>
              <w:rPr>
                <w:szCs w:val="22"/>
              </w:rPr>
              <w:t>N/A</w:t>
            </w:r>
          </w:p>
        </w:tc>
        <w:tc>
          <w:tcPr>
            <w:tcW w:w="613" w:type="pct"/>
            <w:tcBorders>
              <w:top w:val="nil"/>
              <w:left w:val="nil"/>
              <w:bottom w:val="nil"/>
              <w:right w:val="nil"/>
            </w:tcBorders>
          </w:tcPr>
          <w:p w:rsidR="00430E80" w:rsidRDefault="00430E80" w:rsidP="006C79D8">
            <w:pPr>
              <w:jc w:val="center"/>
              <w:rPr>
                <w:szCs w:val="22"/>
              </w:rPr>
            </w:pPr>
            <w:r>
              <w:rPr>
                <w:szCs w:val="22"/>
              </w:rPr>
              <w:t>N/A</w:t>
            </w:r>
          </w:p>
        </w:tc>
        <w:tc>
          <w:tcPr>
            <w:tcW w:w="481"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0.150</w:t>
            </w:r>
          </w:p>
        </w:tc>
        <w:tc>
          <w:tcPr>
            <w:tcW w:w="811" w:type="pct"/>
            <w:tcBorders>
              <w:top w:val="nil"/>
              <w:left w:val="nil"/>
              <w:bottom w:val="nil"/>
              <w:right w:val="nil"/>
            </w:tcBorders>
            <w:vAlign w:val="center"/>
          </w:tcPr>
          <w:p w:rsidR="00430E80" w:rsidRDefault="00430E80" w:rsidP="006C79D8">
            <w:pPr>
              <w:keepNext/>
              <w:jc w:val="center"/>
              <w:rPr>
                <w:szCs w:val="22"/>
              </w:rPr>
            </w:pPr>
            <w:proofErr w:type="spellStart"/>
            <w:r>
              <w:rPr>
                <w:szCs w:val="22"/>
              </w:rPr>
              <w:t>Conf.</w:t>
            </w:r>
            <w:r w:rsidRPr="0081405F">
              <w:rPr>
                <w:szCs w:val="22"/>
                <w:vertAlign w:val="superscript"/>
              </w:rPr>
              <w:t>f</w:t>
            </w:r>
            <w:proofErr w:type="spellEnd"/>
          </w:p>
        </w:tc>
        <w:tc>
          <w:tcPr>
            <w:tcW w:w="811" w:type="pct"/>
            <w:tcBorders>
              <w:top w:val="nil"/>
              <w:left w:val="nil"/>
              <w:bottom w:val="nil"/>
              <w:right w:val="nil"/>
            </w:tcBorders>
            <w:shd w:val="clear" w:color="auto" w:fill="auto"/>
            <w:vAlign w:val="center"/>
          </w:tcPr>
          <w:p w:rsidR="00430E80" w:rsidRDefault="00430E80" w:rsidP="006C79D8">
            <w:pPr>
              <w:keepNext/>
              <w:jc w:val="center"/>
              <w:rPr>
                <w:szCs w:val="22"/>
              </w:rPr>
            </w:pPr>
            <w:proofErr w:type="spellStart"/>
            <w:r>
              <w:rPr>
                <w:szCs w:val="22"/>
              </w:rPr>
              <w:t>Conf.</w:t>
            </w:r>
            <w:r w:rsidRPr="0081405F">
              <w:rPr>
                <w:szCs w:val="22"/>
                <w:vertAlign w:val="superscript"/>
              </w:rPr>
              <w:t>f</w:t>
            </w:r>
            <w:proofErr w:type="spellEnd"/>
          </w:p>
        </w:tc>
        <w:tc>
          <w:tcPr>
            <w:tcW w:w="643" w:type="pct"/>
            <w:tcBorders>
              <w:top w:val="nil"/>
              <w:left w:val="nil"/>
              <w:bottom w:val="nil"/>
              <w:right w:val="nil"/>
            </w:tcBorders>
            <w:vAlign w:val="center"/>
          </w:tcPr>
          <w:p w:rsidR="00430E80" w:rsidRPr="002835A4" w:rsidRDefault="00430E80" w:rsidP="006C79D8">
            <w:pPr>
              <w:keepNext/>
              <w:jc w:val="center"/>
              <w:rPr>
                <w:szCs w:val="22"/>
              </w:rPr>
            </w:pPr>
            <w:r w:rsidRPr="002835A4">
              <w:rPr>
                <w:szCs w:val="22"/>
              </w:rPr>
              <w:t>0.20 T</w:t>
            </w:r>
          </w:p>
        </w:tc>
        <w:tc>
          <w:tcPr>
            <w:tcW w:w="643" w:type="pct"/>
            <w:tcBorders>
              <w:top w:val="nil"/>
              <w:left w:val="nil"/>
              <w:bottom w:val="nil"/>
              <w:right w:val="nil"/>
            </w:tcBorders>
          </w:tcPr>
          <w:p w:rsidR="00430E80" w:rsidRPr="002835A4" w:rsidRDefault="00430E80" w:rsidP="006C79D8">
            <w:pPr>
              <w:keepNext/>
              <w:jc w:val="center"/>
              <w:rPr>
                <w:szCs w:val="22"/>
              </w:rPr>
            </w:pPr>
            <w:r w:rsidRPr="002835A4">
              <w:rPr>
                <w:szCs w:val="22"/>
              </w:rPr>
              <w:t>0.</w:t>
            </w:r>
            <w:r>
              <w:rPr>
                <w:szCs w:val="22"/>
              </w:rPr>
              <w:t>18</w:t>
            </w:r>
            <w:r w:rsidRPr="002835A4">
              <w:rPr>
                <w:szCs w:val="22"/>
              </w:rPr>
              <w:t xml:space="preserve"> T</w:t>
            </w:r>
          </w:p>
        </w:tc>
      </w:tr>
      <w:tr w:rsidR="00430E80" w:rsidRPr="00C8044B" w:rsidTr="006C79D8">
        <w:trPr>
          <w:trHeight w:val="291"/>
        </w:trPr>
        <w:tc>
          <w:tcPr>
            <w:tcW w:w="500"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2013</w:t>
            </w:r>
          </w:p>
        </w:tc>
        <w:tc>
          <w:tcPr>
            <w:tcW w:w="498" w:type="pct"/>
            <w:tcBorders>
              <w:top w:val="nil"/>
              <w:left w:val="nil"/>
              <w:bottom w:val="nil"/>
              <w:right w:val="nil"/>
            </w:tcBorders>
            <w:vAlign w:val="center"/>
          </w:tcPr>
          <w:p w:rsidR="00430E80" w:rsidRDefault="00430E80" w:rsidP="006C79D8">
            <w:pPr>
              <w:keepNext/>
              <w:jc w:val="center"/>
              <w:rPr>
                <w:szCs w:val="22"/>
              </w:rPr>
            </w:pPr>
            <w:r>
              <w:rPr>
                <w:szCs w:val="22"/>
              </w:rPr>
              <w:t>N/A</w:t>
            </w:r>
          </w:p>
        </w:tc>
        <w:tc>
          <w:tcPr>
            <w:tcW w:w="613" w:type="pct"/>
            <w:tcBorders>
              <w:top w:val="nil"/>
              <w:left w:val="nil"/>
              <w:bottom w:val="nil"/>
              <w:right w:val="nil"/>
            </w:tcBorders>
            <w:vAlign w:val="center"/>
          </w:tcPr>
          <w:p w:rsidR="00430E80" w:rsidRDefault="00430E80" w:rsidP="006C79D8">
            <w:pPr>
              <w:jc w:val="center"/>
              <w:rPr>
                <w:szCs w:val="22"/>
              </w:rPr>
            </w:pPr>
            <w:r>
              <w:rPr>
                <w:szCs w:val="22"/>
              </w:rPr>
              <w:t>N/A</w:t>
            </w:r>
          </w:p>
        </w:tc>
        <w:tc>
          <w:tcPr>
            <w:tcW w:w="481"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0.150</w:t>
            </w:r>
          </w:p>
        </w:tc>
        <w:tc>
          <w:tcPr>
            <w:tcW w:w="811" w:type="pct"/>
            <w:tcBorders>
              <w:top w:val="nil"/>
              <w:left w:val="nil"/>
              <w:bottom w:val="nil"/>
              <w:right w:val="nil"/>
            </w:tcBorders>
            <w:vAlign w:val="center"/>
          </w:tcPr>
          <w:p w:rsidR="00430E80" w:rsidRDefault="00430E80" w:rsidP="006C79D8">
            <w:pPr>
              <w:keepNext/>
              <w:jc w:val="center"/>
              <w:rPr>
                <w:szCs w:val="22"/>
              </w:rPr>
            </w:pPr>
          </w:p>
        </w:tc>
        <w:tc>
          <w:tcPr>
            <w:tcW w:w="811" w:type="pct"/>
            <w:tcBorders>
              <w:top w:val="nil"/>
              <w:left w:val="nil"/>
              <w:bottom w:val="nil"/>
              <w:right w:val="nil"/>
            </w:tcBorders>
            <w:shd w:val="clear" w:color="auto" w:fill="auto"/>
            <w:vAlign w:val="center"/>
          </w:tcPr>
          <w:p w:rsidR="00430E80" w:rsidRDefault="00430E80" w:rsidP="006C79D8">
            <w:pPr>
              <w:keepNext/>
              <w:jc w:val="center"/>
              <w:rPr>
                <w:szCs w:val="22"/>
              </w:rPr>
            </w:pPr>
          </w:p>
        </w:tc>
        <w:tc>
          <w:tcPr>
            <w:tcW w:w="643" w:type="pct"/>
            <w:tcBorders>
              <w:top w:val="nil"/>
              <w:left w:val="nil"/>
              <w:bottom w:val="nil"/>
              <w:right w:val="nil"/>
            </w:tcBorders>
            <w:vAlign w:val="center"/>
          </w:tcPr>
          <w:p w:rsidR="00430E80" w:rsidRPr="002835A4" w:rsidRDefault="00430E80" w:rsidP="006C79D8">
            <w:pPr>
              <w:keepNext/>
              <w:jc w:val="center"/>
              <w:rPr>
                <w:szCs w:val="22"/>
              </w:rPr>
            </w:pPr>
            <w:r w:rsidRPr="002835A4">
              <w:rPr>
                <w:szCs w:val="22"/>
              </w:rPr>
              <w:t>0.20 T</w:t>
            </w:r>
          </w:p>
        </w:tc>
        <w:tc>
          <w:tcPr>
            <w:tcW w:w="643" w:type="pct"/>
            <w:tcBorders>
              <w:top w:val="nil"/>
              <w:left w:val="nil"/>
              <w:bottom w:val="nil"/>
              <w:right w:val="nil"/>
            </w:tcBorders>
          </w:tcPr>
          <w:p w:rsidR="00430E80" w:rsidRPr="002835A4" w:rsidRDefault="00430E80" w:rsidP="006C79D8">
            <w:pPr>
              <w:keepNext/>
              <w:jc w:val="center"/>
              <w:rPr>
                <w:szCs w:val="22"/>
              </w:rPr>
            </w:pPr>
            <w:r w:rsidRPr="002835A4">
              <w:rPr>
                <w:szCs w:val="22"/>
              </w:rPr>
              <w:t>0.</w:t>
            </w:r>
            <w:r>
              <w:rPr>
                <w:szCs w:val="22"/>
              </w:rPr>
              <w:t xml:space="preserve">18 </w:t>
            </w:r>
            <w:r w:rsidRPr="002835A4">
              <w:rPr>
                <w:szCs w:val="22"/>
              </w:rPr>
              <w:t>T</w:t>
            </w:r>
          </w:p>
        </w:tc>
      </w:tr>
      <w:tr w:rsidR="00430E80" w:rsidRPr="00C8044B" w:rsidTr="006C79D8">
        <w:trPr>
          <w:trHeight w:val="291"/>
        </w:trPr>
        <w:tc>
          <w:tcPr>
            <w:tcW w:w="500" w:type="pct"/>
            <w:tcBorders>
              <w:top w:val="nil"/>
              <w:left w:val="nil"/>
              <w:bottom w:val="single" w:sz="12" w:space="0" w:color="auto"/>
              <w:right w:val="nil"/>
            </w:tcBorders>
            <w:shd w:val="clear" w:color="auto" w:fill="auto"/>
            <w:vAlign w:val="center"/>
          </w:tcPr>
          <w:p w:rsidR="00430E80" w:rsidRDefault="00430E80" w:rsidP="006C79D8">
            <w:pPr>
              <w:keepNext/>
              <w:jc w:val="center"/>
              <w:rPr>
                <w:szCs w:val="22"/>
              </w:rPr>
            </w:pPr>
            <w:r>
              <w:rPr>
                <w:szCs w:val="22"/>
              </w:rPr>
              <w:t>2014</w:t>
            </w:r>
          </w:p>
        </w:tc>
        <w:tc>
          <w:tcPr>
            <w:tcW w:w="498" w:type="pct"/>
            <w:tcBorders>
              <w:top w:val="nil"/>
              <w:left w:val="nil"/>
              <w:bottom w:val="single" w:sz="12" w:space="0" w:color="auto"/>
              <w:right w:val="nil"/>
            </w:tcBorders>
            <w:vAlign w:val="center"/>
          </w:tcPr>
          <w:p w:rsidR="00430E80" w:rsidRDefault="00430E80" w:rsidP="006C79D8">
            <w:pPr>
              <w:keepNext/>
              <w:jc w:val="center"/>
              <w:rPr>
                <w:szCs w:val="22"/>
              </w:rPr>
            </w:pPr>
            <w:r>
              <w:rPr>
                <w:szCs w:val="22"/>
              </w:rPr>
              <w:t>N/A</w:t>
            </w:r>
          </w:p>
        </w:tc>
        <w:tc>
          <w:tcPr>
            <w:tcW w:w="613" w:type="pct"/>
            <w:tcBorders>
              <w:top w:val="nil"/>
              <w:left w:val="nil"/>
              <w:bottom w:val="single" w:sz="12" w:space="0" w:color="auto"/>
              <w:right w:val="nil"/>
            </w:tcBorders>
            <w:vAlign w:val="center"/>
          </w:tcPr>
          <w:p w:rsidR="00430E80" w:rsidRDefault="00430E80" w:rsidP="006C79D8">
            <w:pPr>
              <w:jc w:val="center"/>
              <w:rPr>
                <w:szCs w:val="22"/>
              </w:rPr>
            </w:pPr>
            <w:r>
              <w:rPr>
                <w:szCs w:val="22"/>
              </w:rPr>
              <w:t>N/A</w:t>
            </w:r>
          </w:p>
        </w:tc>
        <w:tc>
          <w:tcPr>
            <w:tcW w:w="481" w:type="pct"/>
            <w:tcBorders>
              <w:top w:val="nil"/>
              <w:left w:val="nil"/>
              <w:bottom w:val="single" w:sz="12" w:space="0" w:color="auto"/>
              <w:right w:val="nil"/>
            </w:tcBorders>
            <w:shd w:val="clear" w:color="auto" w:fill="auto"/>
            <w:vAlign w:val="center"/>
          </w:tcPr>
          <w:p w:rsidR="00430E80" w:rsidRDefault="00430E80" w:rsidP="006C79D8">
            <w:pPr>
              <w:keepNext/>
              <w:jc w:val="center"/>
              <w:rPr>
                <w:szCs w:val="22"/>
              </w:rPr>
            </w:pPr>
          </w:p>
        </w:tc>
        <w:tc>
          <w:tcPr>
            <w:tcW w:w="811" w:type="pct"/>
            <w:tcBorders>
              <w:top w:val="nil"/>
              <w:left w:val="nil"/>
              <w:bottom w:val="single" w:sz="12" w:space="0" w:color="auto"/>
              <w:right w:val="nil"/>
            </w:tcBorders>
            <w:vAlign w:val="center"/>
          </w:tcPr>
          <w:p w:rsidR="00430E80" w:rsidRDefault="00430E80" w:rsidP="006C79D8">
            <w:pPr>
              <w:keepNext/>
              <w:jc w:val="center"/>
              <w:rPr>
                <w:szCs w:val="22"/>
              </w:rPr>
            </w:pPr>
          </w:p>
        </w:tc>
        <w:tc>
          <w:tcPr>
            <w:tcW w:w="811" w:type="pct"/>
            <w:tcBorders>
              <w:top w:val="nil"/>
              <w:left w:val="nil"/>
              <w:bottom w:val="single" w:sz="12" w:space="0" w:color="auto"/>
              <w:right w:val="nil"/>
            </w:tcBorders>
            <w:shd w:val="clear" w:color="auto" w:fill="auto"/>
            <w:vAlign w:val="center"/>
          </w:tcPr>
          <w:p w:rsidR="00430E80" w:rsidRDefault="00430E80" w:rsidP="006C79D8">
            <w:pPr>
              <w:keepNext/>
              <w:jc w:val="center"/>
              <w:rPr>
                <w:szCs w:val="22"/>
              </w:rPr>
            </w:pPr>
          </w:p>
        </w:tc>
        <w:tc>
          <w:tcPr>
            <w:tcW w:w="643" w:type="pct"/>
            <w:tcBorders>
              <w:top w:val="nil"/>
              <w:left w:val="nil"/>
              <w:bottom w:val="single" w:sz="12" w:space="0" w:color="auto"/>
              <w:right w:val="nil"/>
            </w:tcBorders>
            <w:vAlign w:val="center"/>
          </w:tcPr>
          <w:p w:rsidR="00430E80" w:rsidRDefault="00430E80" w:rsidP="006C79D8">
            <w:pPr>
              <w:keepNext/>
              <w:jc w:val="center"/>
              <w:rPr>
                <w:szCs w:val="22"/>
              </w:rPr>
            </w:pPr>
            <w:r w:rsidRPr="002835A4">
              <w:rPr>
                <w:szCs w:val="22"/>
              </w:rPr>
              <w:t>0.20 T</w:t>
            </w:r>
          </w:p>
        </w:tc>
        <w:tc>
          <w:tcPr>
            <w:tcW w:w="643" w:type="pct"/>
            <w:tcBorders>
              <w:top w:val="nil"/>
              <w:left w:val="nil"/>
              <w:bottom w:val="single" w:sz="12" w:space="0" w:color="auto"/>
              <w:right w:val="nil"/>
            </w:tcBorders>
          </w:tcPr>
          <w:p w:rsidR="00430E80" w:rsidRDefault="00430E80" w:rsidP="006C79D8">
            <w:pPr>
              <w:keepNext/>
              <w:jc w:val="center"/>
              <w:rPr>
                <w:szCs w:val="22"/>
              </w:rPr>
            </w:pPr>
            <w:r w:rsidRPr="002835A4">
              <w:rPr>
                <w:szCs w:val="22"/>
              </w:rPr>
              <w:t>0.</w:t>
            </w:r>
            <w:r>
              <w:rPr>
                <w:szCs w:val="22"/>
              </w:rPr>
              <w:t xml:space="preserve">18 </w:t>
            </w:r>
            <w:r w:rsidRPr="002835A4">
              <w:rPr>
                <w:szCs w:val="22"/>
              </w:rPr>
              <w:t>T</w:t>
            </w:r>
          </w:p>
        </w:tc>
      </w:tr>
    </w:tbl>
    <w:p w:rsidR="00430E80" w:rsidRPr="004E61AB" w:rsidRDefault="00430E80" w:rsidP="00430E80">
      <w:pPr>
        <w:numPr>
          <w:ilvl w:val="0"/>
          <w:numId w:val="40"/>
        </w:numPr>
        <w:rPr>
          <w:sz w:val="18"/>
          <w:szCs w:val="20"/>
        </w:rPr>
      </w:pPr>
      <w:r w:rsidRPr="004E61AB">
        <w:rPr>
          <w:sz w:val="18"/>
          <w:szCs w:val="20"/>
        </w:rPr>
        <w:t>Season is based on a calendar year.</w:t>
      </w:r>
    </w:p>
    <w:p w:rsidR="00430E80" w:rsidRPr="004E61AB" w:rsidRDefault="00430E80" w:rsidP="00430E80">
      <w:pPr>
        <w:numPr>
          <w:ilvl w:val="0"/>
          <w:numId w:val="40"/>
        </w:numPr>
        <w:rPr>
          <w:sz w:val="18"/>
          <w:szCs w:val="20"/>
        </w:rPr>
      </w:pPr>
      <w:r w:rsidRPr="004E61AB">
        <w:rPr>
          <w:sz w:val="18"/>
          <w:szCs w:val="20"/>
        </w:rPr>
        <w:t xml:space="preserve">Guideline harvest level expressed in millions of pounds. </w:t>
      </w:r>
    </w:p>
    <w:p w:rsidR="00430E80" w:rsidRPr="004E61AB" w:rsidRDefault="00430E80" w:rsidP="00430E80">
      <w:pPr>
        <w:numPr>
          <w:ilvl w:val="0"/>
          <w:numId w:val="40"/>
        </w:numPr>
        <w:jc w:val="both"/>
        <w:rPr>
          <w:sz w:val="22"/>
        </w:rPr>
      </w:pPr>
      <w:r w:rsidRPr="004E61AB">
        <w:rPr>
          <w:sz w:val="18"/>
          <w:szCs w:val="20"/>
        </w:rPr>
        <w:t>Millions of pounds.</w:t>
      </w:r>
    </w:p>
    <w:p w:rsidR="00430E80" w:rsidRPr="004E61AB" w:rsidRDefault="00430E80" w:rsidP="00430E80">
      <w:pPr>
        <w:numPr>
          <w:ilvl w:val="0"/>
          <w:numId w:val="40"/>
        </w:numPr>
        <w:jc w:val="both"/>
        <w:rPr>
          <w:sz w:val="22"/>
        </w:rPr>
      </w:pPr>
      <w:r w:rsidRPr="004E61AB">
        <w:rPr>
          <w:sz w:val="18"/>
          <w:szCs w:val="20"/>
        </w:rPr>
        <w:t>Total retained catch plus estimated bycatch mortality during crab fisheries only. Bycatch mortality due to groundfish fisheries is not included here because available data is summarized by “crab fishery year” rather than calendar year; estimates of annual bycatch mortality during 1991/92–2010/11 groundfish fisheries are ≤0.019-million pounds, with an average of 0.006-million pounds.</w:t>
      </w:r>
    </w:p>
    <w:p w:rsidR="00430E80" w:rsidRPr="004E61AB" w:rsidRDefault="00430E80" w:rsidP="00430E80">
      <w:pPr>
        <w:numPr>
          <w:ilvl w:val="0"/>
          <w:numId w:val="40"/>
        </w:numPr>
        <w:jc w:val="both"/>
        <w:rPr>
          <w:sz w:val="22"/>
        </w:rPr>
      </w:pPr>
      <w:r w:rsidRPr="004E61AB">
        <w:rPr>
          <w:sz w:val="18"/>
          <w:szCs w:val="20"/>
        </w:rPr>
        <w:t>Noted as “R” for retained-catch-only OFL and “T” for total-catch OFL and ABC.</w:t>
      </w:r>
    </w:p>
    <w:p w:rsidR="00430E80" w:rsidRPr="004E61AB" w:rsidRDefault="00430E80" w:rsidP="00430E80">
      <w:pPr>
        <w:numPr>
          <w:ilvl w:val="0"/>
          <w:numId w:val="40"/>
        </w:numPr>
        <w:jc w:val="both"/>
        <w:rPr>
          <w:sz w:val="22"/>
        </w:rPr>
      </w:pPr>
      <w:r w:rsidRPr="004E61AB">
        <w:rPr>
          <w:sz w:val="18"/>
          <w:szCs w:val="20"/>
        </w:rPr>
        <w:t>Catch statistics are confidential under Sec. 16.05.815 (SOA statute): ≤2 vessels participated in each season.</w:t>
      </w:r>
    </w:p>
    <w:p w:rsidR="00430E80" w:rsidRPr="007A649D" w:rsidRDefault="00430E80" w:rsidP="00430E80">
      <w:pPr>
        <w:ind w:left="720"/>
        <w:jc w:val="both"/>
      </w:pPr>
    </w:p>
    <w:tbl>
      <w:tblPr>
        <w:tblW w:w="4585" w:type="pct"/>
        <w:tblInd w:w="378" w:type="dxa"/>
        <w:tblLook w:val="0000"/>
      </w:tblPr>
      <w:tblGrid>
        <w:gridCol w:w="804"/>
        <w:gridCol w:w="872"/>
        <w:gridCol w:w="1081"/>
        <w:gridCol w:w="839"/>
        <w:gridCol w:w="1415"/>
        <w:gridCol w:w="1415"/>
        <w:gridCol w:w="1025"/>
        <w:gridCol w:w="1024"/>
      </w:tblGrid>
      <w:tr w:rsidR="00430E80" w:rsidRPr="007A649D" w:rsidTr="006C79D8">
        <w:trPr>
          <w:trHeight w:val="437"/>
        </w:trPr>
        <w:tc>
          <w:tcPr>
            <w:tcW w:w="474" w:type="pct"/>
            <w:tcBorders>
              <w:top w:val="single" w:sz="12" w:space="0" w:color="auto"/>
              <w:left w:val="nil"/>
              <w:bottom w:val="single" w:sz="12" w:space="0" w:color="auto"/>
              <w:right w:val="nil"/>
            </w:tcBorders>
            <w:shd w:val="clear" w:color="auto" w:fill="auto"/>
            <w:vAlign w:val="center"/>
          </w:tcPr>
          <w:p w:rsidR="00430E80" w:rsidRPr="007A649D" w:rsidRDefault="00430E80" w:rsidP="006C79D8">
            <w:pPr>
              <w:keepNext/>
              <w:jc w:val="center"/>
              <w:rPr>
                <w:b/>
                <w:bCs/>
                <w:szCs w:val="22"/>
              </w:rPr>
            </w:pPr>
            <w:proofErr w:type="spellStart"/>
            <w:r w:rsidRPr="007A649D">
              <w:rPr>
                <w:b/>
                <w:bCs/>
                <w:szCs w:val="22"/>
              </w:rPr>
              <w:t>Year</w:t>
            </w:r>
            <w:r w:rsidRPr="007A649D">
              <w:rPr>
                <w:rFonts w:ascii="Times New Roman Bold" w:hAnsi="Times New Roman Bold"/>
                <w:b/>
                <w:bCs/>
                <w:vertAlign w:val="superscript"/>
              </w:rPr>
              <w:t>a</w:t>
            </w:r>
            <w:proofErr w:type="spellEnd"/>
          </w:p>
        </w:tc>
        <w:tc>
          <w:tcPr>
            <w:tcW w:w="514" w:type="pct"/>
            <w:tcBorders>
              <w:top w:val="single" w:sz="12" w:space="0" w:color="auto"/>
              <w:left w:val="nil"/>
              <w:bottom w:val="single" w:sz="12" w:space="0" w:color="auto"/>
              <w:right w:val="nil"/>
            </w:tcBorders>
          </w:tcPr>
          <w:p w:rsidR="00430E80" w:rsidRPr="007A649D" w:rsidRDefault="00430E80" w:rsidP="006C79D8">
            <w:pPr>
              <w:keepNext/>
              <w:jc w:val="center"/>
              <w:rPr>
                <w:b/>
                <w:bCs/>
                <w:szCs w:val="22"/>
              </w:rPr>
            </w:pPr>
          </w:p>
          <w:p w:rsidR="00430E80" w:rsidRPr="007A649D" w:rsidRDefault="00430E80" w:rsidP="006C79D8">
            <w:pPr>
              <w:keepNext/>
              <w:jc w:val="center"/>
              <w:rPr>
                <w:b/>
                <w:bCs/>
                <w:szCs w:val="22"/>
              </w:rPr>
            </w:pPr>
            <w:r w:rsidRPr="007A649D">
              <w:rPr>
                <w:b/>
                <w:bCs/>
                <w:szCs w:val="22"/>
              </w:rPr>
              <w:t>MSST</w:t>
            </w:r>
          </w:p>
        </w:tc>
        <w:tc>
          <w:tcPr>
            <w:tcW w:w="638" w:type="pct"/>
            <w:tcBorders>
              <w:top w:val="single" w:sz="12" w:space="0" w:color="auto"/>
              <w:left w:val="nil"/>
              <w:bottom w:val="single" w:sz="12" w:space="0" w:color="auto"/>
              <w:right w:val="nil"/>
            </w:tcBorders>
          </w:tcPr>
          <w:p w:rsidR="00430E80" w:rsidRPr="007A649D" w:rsidRDefault="00430E80" w:rsidP="006C79D8">
            <w:pPr>
              <w:keepNext/>
              <w:jc w:val="center"/>
              <w:rPr>
                <w:b/>
                <w:bCs/>
                <w:szCs w:val="22"/>
              </w:rPr>
            </w:pPr>
            <w:r w:rsidRPr="007A649D">
              <w:rPr>
                <w:b/>
                <w:bCs/>
                <w:szCs w:val="22"/>
              </w:rPr>
              <w:t>Biomass</w:t>
            </w:r>
          </w:p>
          <w:p w:rsidR="00430E80" w:rsidRPr="007A649D" w:rsidRDefault="00430E80" w:rsidP="006C79D8">
            <w:pPr>
              <w:keepNext/>
              <w:jc w:val="center"/>
              <w:rPr>
                <w:b/>
                <w:bCs/>
                <w:szCs w:val="22"/>
              </w:rPr>
            </w:pPr>
            <w:r w:rsidRPr="007A649D">
              <w:rPr>
                <w:b/>
                <w:bCs/>
                <w:szCs w:val="22"/>
              </w:rPr>
              <w:t>(MMB)</w:t>
            </w:r>
          </w:p>
        </w:tc>
        <w:tc>
          <w:tcPr>
            <w:tcW w:w="495" w:type="pct"/>
            <w:tcBorders>
              <w:top w:val="single" w:sz="12" w:space="0" w:color="auto"/>
              <w:left w:val="nil"/>
              <w:bottom w:val="single" w:sz="12" w:space="0" w:color="auto"/>
              <w:right w:val="nil"/>
            </w:tcBorders>
            <w:shd w:val="clear" w:color="auto" w:fill="auto"/>
            <w:vAlign w:val="center"/>
          </w:tcPr>
          <w:p w:rsidR="00430E80" w:rsidRPr="007A649D" w:rsidRDefault="00430E80" w:rsidP="006C79D8">
            <w:pPr>
              <w:keepNext/>
              <w:jc w:val="center"/>
              <w:rPr>
                <w:b/>
                <w:bCs/>
                <w:szCs w:val="22"/>
              </w:rPr>
            </w:pPr>
            <w:proofErr w:type="spellStart"/>
            <w:r w:rsidRPr="007A649D">
              <w:rPr>
                <w:b/>
                <w:bCs/>
                <w:szCs w:val="22"/>
              </w:rPr>
              <w:t>GHL</w:t>
            </w:r>
            <w:r w:rsidRPr="007A649D">
              <w:rPr>
                <w:rFonts w:ascii="Times New Roman Bold" w:hAnsi="Times New Roman Bold"/>
                <w:b/>
                <w:bCs/>
                <w:vertAlign w:val="superscript"/>
              </w:rPr>
              <w:t>b</w:t>
            </w:r>
            <w:proofErr w:type="spellEnd"/>
          </w:p>
        </w:tc>
        <w:tc>
          <w:tcPr>
            <w:tcW w:w="835" w:type="pct"/>
            <w:tcBorders>
              <w:top w:val="single" w:sz="12" w:space="0" w:color="auto"/>
              <w:left w:val="nil"/>
              <w:bottom w:val="single" w:sz="12" w:space="0" w:color="auto"/>
              <w:right w:val="nil"/>
            </w:tcBorders>
            <w:shd w:val="clear" w:color="auto" w:fill="auto"/>
            <w:vAlign w:val="center"/>
          </w:tcPr>
          <w:p w:rsidR="00430E80" w:rsidRPr="007A649D" w:rsidRDefault="00430E80" w:rsidP="006C79D8">
            <w:pPr>
              <w:keepNext/>
              <w:jc w:val="center"/>
              <w:rPr>
                <w:b/>
                <w:bCs/>
                <w:szCs w:val="22"/>
              </w:rPr>
            </w:pPr>
            <w:r w:rsidRPr="007A649D">
              <w:rPr>
                <w:b/>
                <w:bCs/>
                <w:szCs w:val="22"/>
              </w:rPr>
              <w:t>Retained</w:t>
            </w:r>
          </w:p>
          <w:p w:rsidR="00430E80" w:rsidRPr="007A649D" w:rsidRDefault="00430E80" w:rsidP="006C79D8">
            <w:pPr>
              <w:keepNext/>
              <w:jc w:val="center"/>
              <w:rPr>
                <w:b/>
                <w:bCs/>
                <w:szCs w:val="22"/>
              </w:rPr>
            </w:pPr>
            <w:proofErr w:type="spellStart"/>
            <w:r w:rsidRPr="007A649D">
              <w:rPr>
                <w:b/>
                <w:bCs/>
                <w:szCs w:val="22"/>
              </w:rPr>
              <w:t>Catch</w:t>
            </w:r>
            <w:r w:rsidRPr="007A649D">
              <w:rPr>
                <w:rFonts w:ascii="Times New Roman Bold" w:hAnsi="Times New Roman Bold"/>
                <w:b/>
                <w:bCs/>
                <w:szCs w:val="22"/>
                <w:vertAlign w:val="superscript"/>
              </w:rPr>
              <w:t>c</w:t>
            </w:r>
            <w:proofErr w:type="spellEnd"/>
          </w:p>
        </w:tc>
        <w:tc>
          <w:tcPr>
            <w:tcW w:w="835" w:type="pct"/>
            <w:tcBorders>
              <w:top w:val="single" w:sz="12" w:space="0" w:color="auto"/>
              <w:left w:val="nil"/>
              <w:bottom w:val="single" w:sz="12" w:space="0" w:color="auto"/>
              <w:right w:val="nil"/>
            </w:tcBorders>
          </w:tcPr>
          <w:p w:rsidR="00430E80" w:rsidRPr="007A649D" w:rsidRDefault="00430E80" w:rsidP="006C79D8">
            <w:pPr>
              <w:keepNext/>
              <w:jc w:val="center"/>
              <w:rPr>
                <w:b/>
                <w:bCs/>
                <w:szCs w:val="22"/>
              </w:rPr>
            </w:pPr>
            <w:r w:rsidRPr="007A649D">
              <w:rPr>
                <w:b/>
                <w:bCs/>
                <w:szCs w:val="22"/>
              </w:rPr>
              <w:t>Total</w:t>
            </w:r>
          </w:p>
          <w:p w:rsidR="00430E80" w:rsidRPr="007A649D" w:rsidRDefault="00430E80" w:rsidP="006C79D8">
            <w:pPr>
              <w:keepNext/>
              <w:jc w:val="center"/>
              <w:rPr>
                <w:b/>
                <w:bCs/>
                <w:szCs w:val="22"/>
              </w:rPr>
            </w:pPr>
            <w:proofErr w:type="spellStart"/>
            <w:r w:rsidRPr="007A649D">
              <w:rPr>
                <w:b/>
                <w:bCs/>
                <w:szCs w:val="22"/>
              </w:rPr>
              <w:t>Catch</w:t>
            </w:r>
            <w:r w:rsidRPr="007A649D">
              <w:rPr>
                <w:rFonts w:ascii="Times New Roman Bold" w:hAnsi="Times New Roman Bold"/>
                <w:b/>
                <w:bCs/>
                <w:szCs w:val="22"/>
                <w:vertAlign w:val="superscript"/>
              </w:rPr>
              <w:t>c,d</w:t>
            </w:r>
            <w:proofErr w:type="spellEnd"/>
          </w:p>
        </w:tc>
        <w:tc>
          <w:tcPr>
            <w:tcW w:w="605" w:type="pct"/>
            <w:tcBorders>
              <w:top w:val="single" w:sz="12" w:space="0" w:color="auto"/>
              <w:left w:val="nil"/>
              <w:bottom w:val="single" w:sz="12" w:space="0" w:color="auto"/>
              <w:right w:val="nil"/>
            </w:tcBorders>
            <w:vAlign w:val="center"/>
          </w:tcPr>
          <w:p w:rsidR="00430E80" w:rsidRPr="007A649D" w:rsidRDefault="00430E80" w:rsidP="006C79D8">
            <w:pPr>
              <w:keepNext/>
              <w:jc w:val="center"/>
              <w:rPr>
                <w:b/>
                <w:bCs/>
                <w:szCs w:val="22"/>
              </w:rPr>
            </w:pPr>
            <w:proofErr w:type="spellStart"/>
            <w:r w:rsidRPr="007A649D">
              <w:rPr>
                <w:b/>
                <w:bCs/>
                <w:szCs w:val="22"/>
              </w:rPr>
              <w:t>OFL</w:t>
            </w:r>
            <w:r w:rsidRPr="007A649D">
              <w:rPr>
                <w:rFonts w:ascii="Times New Roman Bold" w:hAnsi="Times New Roman Bold"/>
                <w:b/>
                <w:bCs/>
                <w:szCs w:val="22"/>
                <w:vertAlign w:val="superscript"/>
              </w:rPr>
              <w:t>c,e</w:t>
            </w:r>
            <w:proofErr w:type="spellEnd"/>
          </w:p>
        </w:tc>
        <w:tc>
          <w:tcPr>
            <w:tcW w:w="604" w:type="pct"/>
            <w:tcBorders>
              <w:top w:val="single" w:sz="12" w:space="0" w:color="auto"/>
              <w:left w:val="nil"/>
              <w:bottom w:val="single" w:sz="12" w:space="0" w:color="auto"/>
              <w:right w:val="nil"/>
            </w:tcBorders>
          </w:tcPr>
          <w:p w:rsidR="00430E80" w:rsidRPr="00DB608C" w:rsidRDefault="00430E80" w:rsidP="006C79D8">
            <w:pPr>
              <w:keepNext/>
              <w:spacing w:before="120"/>
              <w:jc w:val="center"/>
              <w:rPr>
                <w:b/>
                <w:bCs/>
                <w:szCs w:val="22"/>
                <w:vertAlign w:val="superscript"/>
              </w:rPr>
            </w:pPr>
            <w:proofErr w:type="spellStart"/>
            <w:r>
              <w:rPr>
                <w:b/>
                <w:bCs/>
                <w:szCs w:val="22"/>
              </w:rPr>
              <w:t>ABC</w:t>
            </w:r>
            <w:r>
              <w:rPr>
                <w:b/>
                <w:bCs/>
                <w:szCs w:val="22"/>
                <w:vertAlign w:val="superscript"/>
              </w:rPr>
              <w:t>c,e</w:t>
            </w:r>
            <w:proofErr w:type="spellEnd"/>
          </w:p>
        </w:tc>
      </w:tr>
      <w:tr w:rsidR="00430E80" w:rsidRPr="00C8044B" w:rsidTr="006C79D8">
        <w:trPr>
          <w:trHeight w:val="291"/>
        </w:trPr>
        <w:tc>
          <w:tcPr>
            <w:tcW w:w="474" w:type="pct"/>
            <w:tcBorders>
              <w:top w:val="nil"/>
              <w:left w:val="nil"/>
              <w:bottom w:val="nil"/>
              <w:right w:val="nil"/>
            </w:tcBorders>
            <w:shd w:val="clear" w:color="auto" w:fill="auto"/>
            <w:vAlign w:val="center"/>
          </w:tcPr>
          <w:p w:rsidR="00430E80" w:rsidRPr="00A36539" w:rsidRDefault="00430E80" w:rsidP="006C79D8">
            <w:pPr>
              <w:keepNext/>
              <w:jc w:val="center"/>
              <w:rPr>
                <w:szCs w:val="22"/>
              </w:rPr>
            </w:pPr>
            <w:r w:rsidRPr="00A36539">
              <w:rPr>
                <w:szCs w:val="22"/>
              </w:rPr>
              <w:t>20</w:t>
            </w:r>
            <w:r>
              <w:rPr>
                <w:szCs w:val="22"/>
              </w:rPr>
              <w:t>10</w:t>
            </w:r>
          </w:p>
        </w:tc>
        <w:tc>
          <w:tcPr>
            <w:tcW w:w="514" w:type="pct"/>
            <w:tcBorders>
              <w:top w:val="nil"/>
              <w:left w:val="nil"/>
              <w:bottom w:val="nil"/>
              <w:right w:val="nil"/>
            </w:tcBorders>
          </w:tcPr>
          <w:p w:rsidR="00430E80" w:rsidRPr="00A36539" w:rsidRDefault="00430E80" w:rsidP="006C79D8">
            <w:pPr>
              <w:keepNext/>
              <w:jc w:val="center"/>
              <w:rPr>
                <w:szCs w:val="22"/>
              </w:rPr>
            </w:pPr>
            <w:r w:rsidRPr="00A36539">
              <w:rPr>
                <w:szCs w:val="22"/>
              </w:rPr>
              <w:t>N/A</w:t>
            </w:r>
          </w:p>
        </w:tc>
        <w:tc>
          <w:tcPr>
            <w:tcW w:w="638" w:type="pct"/>
            <w:tcBorders>
              <w:top w:val="nil"/>
              <w:left w:val="nil"/>
              <w:bottom w:val="nil"/>
              <w:right w:val="nil"/>
            </w:tcBorders>
          </w:tcPr>
          <w:p w:rsidR="00430E80" w:rsidRPr="00A36539" w:rsidRDefault="00430E80" w:rsidP="006C79D8">
            <w:pPr>
              <w:jc w:val="center"/>
            </w:pPr>
            <w:r w:rsidRPr="00A36539">
              <w:rPr>
                <w:szCs w:val="22"/>
              </w:rPr>
              <w:t>N/A</w:t>
            </w:r>
          </w:p>
        </w:tc>
        <w:tc>
          <w:tcPr>
            <w:tcW w:w="495"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r>
              <w:rPr>
                <w:szCs w:val="22"/>
              </w:rPr>
              <w:t>68</w:t>
            </w:r>
          </w:p>
        </w:tc>
        <w:tc>
          <w:tcPr>
            <w:tcW w:w="835" w:type="pct"/>
            <w:tcBorders>
              <w:top w:val="nil"/>
              <w:left w:val="nil"/>
              <w:bottom w:val="nil"/>
              <w:right w:val="nil"/>
            </w:tcBorders>
            <w:vAlign w:val="center"/>
          </w:tcPr>
          <w:p w:rsidR="00430E80" w:rsidRPr="00415592" w:rsidRDefault="00430E80" w:rsidP="006C79D8">
            <w:pPr>
              <w:keepNext/>
              <w:jc w:val="center"/>
              <w:rPr>
                <w:szCs w:val="22"/>
              </w:rPr>
            </w:pPr>
            <w:r>
              <w:rPr>
                <w:szCs w:val="22"/>
              </w:rPr>
              <w:t>Conf.</w:t>
            </w:r>
            <w:r w:rsidRPr="0081405F">
              <w:rPr>
                <w:szCs w:val="22"/>
                <w:vertAlign w:val="superscript"/>
              </w:rPr>
              <w:t xml:space="preserve"> f</w:t>
            </w:r>
          </w:p>
        </w:tc>
        <w:tc>
          <w:tcPr>
            <w:tcW w:w="835"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r>
              <w:rPr>
                <w:szCs w:val="22"/>
              </w:rPr>
              <w:t>Conf.</w:t>
            </w:r>
            <w:r w:rsidRPr="0081405F">
              <w:rPr>
                <w:szCs w:val="22"/>
                <w:vertAlign w:val="superscript"/>
              </w:rPr>
              <w:t xml:space="preserve"> f</w:t>
            </w:r>
          </w:p>
        </w:tc>
        <w:tc>
          <w:tcPr>
            <w:tcW w:w="605" w:type="pct"/>
            <w:tcBorders>
              <w:top w:val="nil"/>
              <w:left w:val="nil"/>
              <w:bottom w:val="nil"/>
              <w:right w:val="nil"/>
            </w:tcBorders>
            <w:vAlign w:val="center"/>
          </w:tcPr>
          <w:p w:rsidR="00430E80" w:rsidRPr="00A36539" w:rsidRDefault="00430E80" w:rsidP="006C79D8">
            <w:pPr>
              <w:keepNext/>
              <w:jc w:val="center"/>
              <w:rPr>
                <w:szCs w:val="22"/>
              </w:rPr>
            </w:pPr>
            <w:r>
              <w:rPr>
                <w:szCs w:val="22"/>
              </w:rPr>
              <w:t>77 R</w:t>
            </w:r>
          </w:p>
        </w:tc>
        <w:tc>
          <w:tcPr>
            <w:tcW w:w="604" w:type="pct"/>
            <w:tcBorders>
              <w:top w:val="nil"/>
              <w:left w:val="nil"/>
              <w:bottom w:val="nil"/>
              <w:right w:val="nil"/>
            </w:tcBorders>
          </w:tcPr>
          <w:p w:rsidR="00430E80" w:rsidRPr="00A36539" w:rsidRDefault="00430E80" w:rsidP="006C79D8">
            <w:pPr>
              <w:keepNext/>
              <w:jc w:val="center"/>
              <w:rPr>
                <w:szCs w:val="22"/>
              </w:rPr>
            </w:pPr>
            <w:r>
              <w:rPr>
                <w:szCs w:val="22"/>
              </w:rPr>
              <w:t>N/A</w:t>
            </w:r>
          </w:p>
        </w:tc>
      </w:tr>
      <w:tr w:rsidR="00430E80" w:rsidRPr="00C8044B" w:rsidTr="006C79D8">
        <w:trPr>
          <w:trHeight w:val="291"/>
        </w:trPr>
        <w:tc>
          <w:tcPr>
            <w:tcW w:w="474" w:type="pct"/>
            <w:tcBorders>
              <w:top w:val="nil"/>
              <w:left w:val="nil"/>
              <w:bottom w:val="nil"/>
              <w:right w:val="nil"/>
            </w:tcBorders>
            <w:shd w:val="clear" w:color="auto" w:fill="auto"/>
            <w:vAlign w:val="center"/>
          </w:tcPr>
          <w:p w:rsidR="00430E80" w:rsidRPr="00A36539" w:rsidRDefault="00430E80" w:rsidP="006C79D8">
            <w:pPr>
              <w:keepNext/>
              <w:jc w:val="center"/>
              <w:rPr>
                <w:szCs w:val="22"/>
              </w:rPr>
            </w:pPr>
            <w:r>
              <w:rPr>
                <w:szCs w:val="22"/>
              </w:rPr>
              <w:t>2011</w:t>
            </w:r>
          </w:p>
        </w:tc>
        <w:tc>
          <w:tcPr>
            <w:tcW w:w="514" w:type="pct"/>
            <w:tcBorders>
              <w:top w:val="nil"/>
              <w:left w:val="nil"/>
              <w:bottom w:val="nil"/>
              <w:right w:val="nil"/>
            </w:tcBorders>
          </w:tcPr>
          <w:p w:rsidR="00430E80" w:rsidRPr="00A36539" w:rsidRDefault="00430E80" w:rsidP="006C79D8">
            <w:pPr>
              <w:keepNext/>
              <w:jc w:val="center"/>
              <w:rPr>
                <w:szCs w:val="22"/>
              </w:rPr>
            </w:pPr>
            <w:r>
              <w:rPr>
                <w:szCs w:val="22"/>
              </w:rPr>
              <w:t>N/A</w:t>
            </w:r>
          </w:p>
        </w:tc>
        <w:tc>
          <w:tcPr>
            <w:tcW w:w="638" w:type="pct"/>
            <w:tcBorders>
              <w:top w:val="nil"/>
              <w:left w:val="nil"/>
              <w:bottom w:val="nil"/>
              <w:right w:val="nil"/>
            </w:tcBorders>
          </w:tcPr>
          <w:p w:rsidR="00430E80" w:rsidRPr="00A36539" w:rsidRDefault="00430E80" w:rsidP="006C79D8">
            <w:pPr>
              <w:jc w:val="center"/>
              <w:rPr>
                <w:szCs w:val="22"/>
              </w:rPr>
            </w:pPr>
            <w:r>
              <w:rPr>
                <w:szCs w:val="22"/>
              </w:rPr>
              <w:t>N/A</w:t>
            </w:r>
          </w:p>
        </w:tc>
        <w:tc>
          <w:tcPr>
            <w:tcW w:w="495"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r>
              <w:rPr>
                <w:szCs w:val="22"/>
              </w:rPr>
              <w:t>68</w:t>
            </w:r>
          </w:p>
        </w:tc>
        <w:tc>
          <w:tcPr>
            <w:tcW w:w="835" w:type="pct"/>
            <w:tcBorders>
              <w:top w:val="nil"/>
              <w:left w:val="nil"/>
              <w:bottom w:val="nil"/>
              <w:right w:val="nil"/>
            </w:tcBorders>
            <w:vAlign w:val="center"/>
          </w:tcPr>
          <w:p w:rsidR="00430E80" w:rsidRPr="00415592" w:rsidRDefault="00430E80" w:rsidP="006C79D8">
            <w:pPr>
              <w:keepNext/>
              <w:jc w:val="center"/>
              <w:rPr>
                <w:szCs w:val="22"/>
              </w:rPr>
            </w:pPr>
            <w:r>
              <w:rPr>
                <w:szCs w:val="22"/>
              </w:rPr>
              <w:t>Conf.</w:t>
            </w:r>
            <w:r w:rsidRPr="0081405F">
              <w:rPr>
                <w:szCs w:val="22"/>
                <w:vertAlign w:val="superscript"/>
              </w:rPr>
              <w:t xml:space="preserve"> f</w:t>
            </w:r>
          </w:p>
        </w:tc>
        <w:tc>
          <w:tcPr>
            <w:tcW w:w="835" w:type="pct"/>
            <w:tcBorders>
              <w:top w:val="nil"/>
              <w:left w:val="nil"/>
              <w:bottom w:val="nil"/>
              <w:right w:val="nil"/>
            </w:tcBorders>
            <w:shd w:val="clear" w:color="auto" w:fill="auto"/>
            <w:vAlign w:val="center"/>
          </w:tcPr>
          <w:p w:rsidR="00430E80" w:rsidRPr="00415592" w:rsidRDefault="00430E80" w:rsidP="006C79D8">
            <w:pPr>
              <w:keepNext/>
              <w:jc w:val="center"/>
              <w:rPr>
                <w:szCs w:val="22"/>
              </w:rPr>
            </w:pPr>
            <w:r>
              <w:rPr>
                <w:szCs w:val="22"/>
              </w:rPr>
              <w:t>Conf.</w:t>
            </w:r>
            <w:r w:rsidRPr="0081405F">
              <w:rPr>
                <w:szCs w:val="22"/>
                <w:vertAlign w:val="superscript"/>
              </w:rPr>
              <w:t xml:space="preserve"> f</w:t>
            </w:r>
          </w:p>
        </w:tc>
        <w:tc>
          <w:tcPr>
            <w:tcW w:w="605" w:type="pct"/>
            <w:tcBorders>
              <w:top w:val="nil"/>
              <w:left w:val="nil"/>
              <w:bottom w:val="nil"/>
              <w:right w:val="nil"/>
            </w:tcBorders>
            <w:vAlign w:val="center"/>
          </w:tcPr>
          <w:p w:rsidR="00430E80" w:rsidRPr="00A36539" w:rsidRDefault="00430E80" w:rsidP="006C79D8">
            <w:pPr>
              <w:keepNext/>
              <w:jc w:val="center"/>
              <w:rPr>
                <w:szCs w:val="22"/>
              </w:rPr>
            </w:pPr>
            <w:r>
              <w:rPr>
                <w:szCs w:val="22"/>
              </w:rPr>
              <w:t>82 T</w:t>
            </w:r>
          </w:p>
        </w:tc>
        <w:tc>
          <w:tcPr>
            <w:tcW w:w="604" w:type="pct"/>
            <w:tcBorders>
              <w:top w:val="nil"/>
              <w:left w:val="nil"/>
              <w:bottom w:val="nil"/>
              <w:right w:val="nil"/>
            </w:tcBorders>
          </w:tcPr>
          <w:p w:rsidR="00430E80" w:rsidRPr="00A36539" w:rsidRDefault="00430E80" w:rsidP="006C79D8">
            <w:pPr>
              <w:keepNext/>
              <w:jc w:val="center"/>
              <w:rPr>
                <w:szCs w:val="22"/>
              </w:rPr>
            </w:pPr>
            <w:r>
              <w:rPr>
                <w:szCs w:val="22"/>
              </w:rPr>
              <w:t>N/A</w:t>
            </w:r>
          </w:p>
        </w:tc>
      </w:tr>
      <w:tr w:rsidR="00430E80" w:rsidRPr="00C8044B" w:rsidTr="006C79D8">
        <w:trPr>
          <w:trHeight w:val="291"/>
        </w:trPr>
        <w:tc>
          <w:tcPr>
            <w:tcW w:w="474"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2012</w:t>
            </w:r>
          </w:p>
        </w:tc>
        <w:tc>
          <w:tcPr>
            <w:tcW w:w="514" w:type="pct"/>
            <w:tcBorders>
              <w:top w:val="nil"/>
              <w:left w:val="nil"/>
              <w:bottom w:val="nil"/>
              <w:right w:val="nil"/>
            </w:tcBorders>
          </w:tcPr>
          <w:p w:rsidR="00430E80" w:rsidRDefault="00430E80" w:rsidP="006C79D8">
            <w:pPr>
              <w:keepNext/>
              <w:jc w:val="center"/>
              <w:rPr>
                <w:szCs w:val="22"/>
              </w:rPr>
            </w:pPr>
            <w:r>
              <w:rPr>
                <w:szCs w:val="22"/>
              </w:rPr>
              <w:t>N/A</w:t>
            </w:r>
          </w:p>
        </w:tc>
        <w:tc>
          <w:tcPr>
            <w:tcW w:w="638" w:type="pct"/>
            <w:tcBorders>
              <w:top w:val="nil"/>
              <w:left w:val="nil"/>
              <w:bottom w:val="nil"/>
              <w:right w:val="nil"/>
            </w:tcBorders>
          </w:tcPr>
          <w:p w:rsidR="00430E80" w:rsidRDefault="00430E80" w:rsidP="006C79D8">
            <w:pPr>
              <w:jc w:val="center"/>
              <w:rPr>
                <w:szCs w:val="22"/>
              </w:rPr>
            </w:pPr>
            <w:r>
              <w:rPr>
                <w:szCs w:val="22"/>
              </w:rPr>
              <w:t>N/A</w:t>
            </w:r>
          </w:p>
        </w:tc>
        <w:tc>
          <w:tcPr>
            <w:tcW w:w="495"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68</w:t>
            </w:r>
          </w:p>
        </w:tc>
        <w:tc>
          <w:tcPr>
            <w:tcW w:w="835" w:type="pct"/>
            <w:tcBorders>
              <w:top w:val="nil"/>
              <w:left w:val="nil"/>
              <w:bottom w:val="nil"/>
              <w:right w:val="nil"/>
            </w:tcBorders>
            <w:vAlign w:val="center"/>
          </w:tcPr>
          <w:p w:rsidR="00430E80" w:rsidRDefault="00430E80" w:rsidP="006C79D8">
            <w:pPr>
              <w:keepNext/>
              <w:jc w:val="center"/>
              <w:rPr>
                <w:szCs w:val="22"/>
              </w:rPr>
            </w:pPr>
            <w:r>
              <w:rPr>
                <w:szCs w:val="22"/>
              </w:rPr>
              <w:t>Conf.</w:t>
            </w:r>
            <w:r w:rsidRPr="0081405F">
              <w:rPr>
                <w:szCs w:val="22"/>
                <w:vertAlign w:val="superscript"/>
              </w:rPr>
              <w:t xml:space="preserve"> f</w:t>
            </w:r>
          </w:p>
        </w:tc>
        <w:tc>
          <w:tcPr>
            <w:tcW w:w="835"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Conf.</w:t>
            </w:r>
            <w:r w:rsidRPr="0081405F">
              <w:rPr>
                <w:szCs w:val="22"/>
                <w:vertAlign w:val="superscript"/>
              </w:rPr>
              <w:t xml:space="preserve"> f</w:t>
            </w:r>
          </w:p>
        </w:tc>
        <w:tc>
          <w:tcPr>
            <w:tcW w:w="605" w:type="pct"/>
            <w:tcBorders>
              <w:top w:val="nil"/>
              <w:left w:val="nil"/>
              <w:bottom w:val="nil"/>
              <w:right w:val="nil"/>
            </w:tcBorders>
            <w:vAlign w:val="center"/>
          </w:tcPr>
          <w:p w:rsidR="00430E80" w:rsidRPr="00DB608C" w:rsidRDefault="00430E80" w:rsidP="006C79D8">
            <w:pPr>
              <w:keepNext/>
              <w:jc w:val="center"/>
              <w:rPr>
                <w:szCs w:val="22"/>
                <w:highlight w:val="yellow"/>
              </w:rPr>
            </w:pPr>
            <w:r>
              <w:rPr>
                <w:szCs w:val="22"/>
              </w:rPr>
              <w:t>91</w:t>
            </w:r>
            <w:r w:rsidRPr="001B3A3A">
              <w:rPr>
                <w:szCs w:val="22"/>
              </w:rPr>
              <w:t xml:space="preserve"> T</w:t>
            </w:r>
          </w:p>
        </w:tc>
        <w:tc>
          <w:tcPr>
            <w:tcW w:w="604" w:type="pct"/>
            <w:tcBorders>
              <w:top w:val="nil"/>
              <w:left w:val="nil"/>
              <w:bottom w:val="nil"/>
              <w:right w:val="nil"/>
            </w:tcBorders>
          </w:tcPr>
          <w:p w:rsidR="00430E80" w:rsidRPr="00DB608C" w:rsidRDefault="00430E80" w:rsidP="006C79D8">
            <w:pPr>
              <w:keepNext/>
              <w:jc w:val="center"/>
              <w:rPr>
                <w:szCs w:val="22"/>
                <w:highlight w:val="yellow"/>
              </w:rPr>
            </w:pPr>
            <w:r>
              <w:rPr>
                <w:szCs w:val="22"/>
              </w:rPr>
              <w:t>82</w:t>
            </w:r>
            <w:r w:rsidRPr="001B3A3A">
              <w:rPr>
                <w:szCs w:val="22"/>
              </w:rPr>
              <w:t xml:space="preserve"> T</w:t>
            </w:r>
          </w:p>
        </w:tc>
      </w:tr>
      <w:tr w:rsidR="00430E80" w:rsidRPr="00C8044B" w:rsidTr="006C79D8">
        <w:trPr>
          <w:trHeight w:val="291"/>
        </w:trPr>
        <w:tc>
          <w:tcPr>
            <w:tcW w:w="474"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2013</w:t>
            </w:r>
          </w:p>
        </w:tc>
        <w:tc>
          <w:tcPr>
            <w:tcW w:w="514" w:type="pct"/>
            <w:tcBorders>
              <w:top w:val="nil"/>
              <w:left w:val="nil"/>
              <w:bottom w:val="nil"/>
              <w:right w:val="nil"/>
            </w:tcBorders>
          </w:tcPr>
          <w:p w:rsidR="00430E80" w:rsidRDefault="00430E80" w:rsidP="006C79D8">
            <w:pPr>
              <w:keepNext/>
              <w:jc w:val="center"/>
              <w:rPr>
                <w:szCs w:val="22"/>
              </w:rPr>
            </w:pPr>
            <w:r>
              <w:rPr>
                <w:szCs w:val="22"/>
              </w:rPr>
              <w:t>N/A</w:t>
            </w:r>
          </w:p>
        </w:tc>
        <w:tc>
          <w:tcPr>
            <w:tcW w:w="638" w:type="pct"/>
            <w:tcBorders>
              <w:top w:val="nil"/>
              <w:left w:val="nil"/>
              <w:bottom w:val="nil"/>
              <w:right w:val="nil"/>
            </w:tcBorders>
          </w:tcPr>
          <w:p w:rsidR="00430E80" w:rsidRDefault="00430E80" w:rsidP="006C79D8">
            <w:pPr>
              <w:jc w:val="center"/>
              <w:rPr>
                <w:szCs w:val="22"/>
              </w:rPr>
            </w:pPr>
            <w:r>
              <w:rPr>
                <w:szCs w:val="22"/>
              </w:rPr>
              <w:t>N/A</w:t>
            </w:r>
          </w:p>
        </w:tc>
        <w:tc>
          <w:tcPr>
            <w:tcW w:w="495" w:type="pct"/>
            <w:tcBorders>
              <w:top w:val="nil"/>
              <w:left w:val="nil"/>
              <w:bottom w:val="nil"/>
              <w:right w:val="nil"/>
            </w:tcBorders>
            <w:shd w:val="clear" w:color="auto" w:fill="auto"/>
            <w:vAlign w:val="center"/>
          </w:tcPr>
          <w:p w:rsidR="00430E80" w:rsidRDefault="00430E80" w:rsidP="006C79D8">
            <w:pPr>
              <w:keepNext/>
              <w:jc w:val="center"/>
              <w:rPr>
                <w:szCs w:val="22"/>
              </w:rPr>
            </w:pPr>
            <w:r>
              <w:rPr>
                <w:szCs w:val="22"/>
              </w:rPr>
              <w:t>68</w:t>
            </w:r>
          </w:p>
        </w:tc>
        <w:tc>
          <w:tcPr>
            <w:tcW w:w="835" w:type="pct"/>
            <w:tcBorders>
              <w:top w:val="nil"/>
              <w:left w:val="nil"/>
              <w:bottom w:val="nil"/>
              <w:right w:val="nil"/>
            </w:tcBorders>
            <w:vAlign w:val="center"/>
          </w:tcPr>
          <w:p w:rsidR="00430E80" w:rsidRDefault="00430E80" w:rsidP="006C79D8">
            <w:pPr>
              <w:keepNext/>
              <w:jc w:val="center"/>
              <w:rPr>
                <w:szCs w:val="22"/>
              </w:rPr>
            </w:pPr>
          </w:p>
        </w:tc>
        <w:tc>
          <w:tcPr>
            <w:tcW w:w="835" w:type="pct"/>
            <w:tcBorders>
              <w:top w:val="nil"/>
              <w:left w:val="nil"/>
              <w:bottom w:val="nil"/>
              <w:right w:val="nil"/>
            </w:tcBorders>
            <w:shd w:val="clear" w:color="auto" w:fill="auto"/>
            <w:vAlign w:val="center"/>
          </w:tcPr>
          <w:p w:rsidR="00430E80" w:rsidRDefault="00430E80" w:rsidP="006C79D8">
            <w:pPr>
              <w:keepNext/>
              <w:jc w:val="center"/>
              <w:rPr>
                <w:szCs w:val="22"/>
              </w:rPr>
            </w:pPr>
          </w:p>
        </w:tc>
        <w:tc>
          <w:tcPr>
            <w:tcW w:w="605" w:type="pct"/>
            <w:tcBorders>
              <w:top w:val="nil"/>
              <w:left w:val="nil"/>
              <w:bottom w:val="nil"/>
              <w:right w:val="nil"/>
            </w:tcBorders>
            <w:vAlign w:val="center"/>
          </w:tcPr>
          <w:p w:rsidR="00430E80" w:rsidRPr="001B3A3A" w:rsidRDefault="00430E80" w:rsidP="006C79D8">
            <w:pPr>
              <w:keepNext/>
              <w:jc w:val="center"/>
              <w:rPr>
                <w:szCs w:val="22"/>
              </w:rPr>
            </w:pPr>
            <w:r>
              <w:rPr>
                <w:szCs w:val="22"/>
              </w:rPr>
              <w:t>91</w:t>
            </w:r>
            <w:r w:rsidRPr="001B3A3A">
              <w:rPr>
                <w:szCs w:val="22"/>
              </w:rPr>
              <w:t xml:space="preserve"> T</w:t>
            </w:r>
          </w:p>
        </w:tc>
        <w:tc>
          <w:tcPr>
            <w:tcW w:w="604" w:type="pct"/>
            <w:tcBorders>
              <w:top w:val="nil"/>
              <w:left w:val="nil"/>
              <w:bottom w:val="nil"/>
              <w:right w:val="nil"/>
            </w:tcBorders>
          </w:tcPr>
          <w:p w:rsidR="00430E80" w:rsidRPr="001B3A3A" w:rsidRDefault="00430E80" w:rsidP="006C79D8">
            <w:pPr>
              <w:keepNext/>
              <w:jc w:val="center"/>
              <w:rPr>
                <w:szCs w:val="22"/>
              </w:rPr>
            </w:pPr>
            <w:r>
              <w:rPr>
                <w:szCs w:val="22"/>
              </w:rPr>
              <w:t>82</w:t>
            </w:r>
            <w:r w:rsidRPr="001B3A3A">
              <w:rPr>
                <w:szCs w:val="22"/>
              </w:rPr>
              <w:t xml:space="preserve"> T</w:t>
            </w:r>
          </w:p>
        </w:tc>
      </w:tr>
      <w:tr w:rsidR="00430E80" w:rsidRPr="00C8044B" w:rsidTr="006C79D8">
        <w:trPr>
          <w:trHeight w:val="291"/>
        </w:trPr>
        <w:tc>
          <w:tcPr>
            <w:tcW w:w="474" w:type="pct"/>
            <w:tcBorders>
              <w:top w:val="nil"/>
              <w:left w:val="nil"/>
              <w:bottom w:val="single" w:sz="12" w:space="0" w:color="auto"/>
              <w:right w:val="nil"/>
            </w:tcBorders>
            <w:shd w:val="clear" w:color="auto" w:fill="auto"/>
            <w:vAlign w:val="center"/>
          </w:tcPr>
          <w:p w:rsidR="00430E80" w:rsidRDefault="00430E80" w:rsidP="006C79D8">
            <w:pPr>
              <w:keepNext/>
              <w:jc w:val="center"/>
              <w:rPr>
                <w:szCs w:val="22"/>
              </w:rPr>
            </w:pPr>
            <w:r>
              <w:rPr>
                <w:szCs w:val="22"/>
              </w:rPr>
              <w:t>2014</w:t>
            </w:r>
          </w:p>
        </w:tc>
        <w:tc>
          <w:tcPr>
            <w:tcW w:w="514" w:type="pct"/>
            <w:tcBorders>
              <w:top w:val="nil"/>
              <w:left w:val="nil"/>
              <w:bottom w:val="single" w:sz="12" w:space="0" w:color="auto"/>
              <w:right w:val="nil"/>
            </w:tcBorders>
          </w:tcPr>
          <w:p w:rsidR="00430E80" w:rsidRDefault="00430E80" w:rsidP="006C79D8">
            <w:pPr>
              <w:keepNext/>
              <w:jc w:val="center"/>
              <w:rPr>
                <w:szCs w:val="22"/>
              </w:rPr>
            </w:pPr>
            <w:r>
              <w:rPr>
                <w:szCs w:val="22"/>
              </w:rPr>
              <w:t>N/A</w:t>
            </w:r>
          </w:p>
        </w:tc>
        <w:tc>
          <w:tcPr>
            <w:tcW w:w="638" w:type="pct"/>
            <w:tcBorders>
              <w:top w:val="nil"/>
              <w:left w:val="nil"/>
              <w:bottom w:val="single" w:sz="12" w:space="0" w:color="auto"/>
              <w:right w:val="nil"/>
            </w:tcBorders>
          </w:tcPr>
          <w:p w:rsidR="00430E80" w:rsidRDefault="00430E80" w:rsidP="006C79D8">
            <w:pPr>
              <w:jc w:val="center"/>
              <w:rPr>
                <w:szCs w:val="22"/>
              </w:rPr>
            </w:pPr>
            <w:r>
              <w:rPr>
                <w:szCs w:val="22"/>
              </w:rPr>
              <w:t>N/A</w:t>
            </w:r>
          </w:p>
        </w:tc>
        <w:tc>
          <w:tcPr>
            <w:tcW w:w="495" w:type="pct"/>
            <w:tcBorders>
              <w:top w:val="nil"/>
              <w:left w:val="nil"/>
              <w:bottom w:val="single" w:sz="12" w:space="0" w:color="auto"/>
              <w:right w:val="nil"/>
            </w:tcBorders>
            <w:shd w:val="clear" w:color="auto" w:fill="auto"/>
            <w:vAlign w:val="center"/>
          </w:tcPr>
          <w:p w:rsidR="00430E80" w:rsidRDefault="00430E80" w:rsidP="006C79D8">
            <w:pPr>
              <w:keepNext/>
              <w:jc w:val="center"/>
              <w:rPr>
                <w:szCs w:val="22"/>
              </w:rPr>
            </w:pPr>
          </w:p>
        </w:tc>
        <w:tc>
          <w:tcPr>
            <w:tcW w:w="835" w:type="pct"/>
            <w:tcBorders>
              <w:top w:val="nil"/>
              <w:left w:val="nil"/>
              <w:bottom w:val="single" w:sz="12" w:space="0" w:color="auto"/>
              <w:right w:val="nil"/>
            </w:tcBorders>
            <w:vAlign w:val="center"/>
          </w:tcPr>
          <w:p w:rsidR="00430E80" w:rsidRDefault="00430E80" w:rsidP="006C79D8">
            <w:pPr>
              <w:keepNext/>
              <w:jc w:val="center"/>
              <w:rPr>
                <w:szCs w:val="22"/>
              </w:rPr>
            </w:pPr>
          </w:p>
        </w:tc>
        <w:tc>
          <w:tcPr>
            <w:tcW w:w="835" w:type="pct"/>
            <w:tcBorders>
              <w:top w:val="nil"/>
              <w:left w:val="nil"/>
              <w:bottom w:val="single" w:sz="12" w:space="0" w:color="auto"/>
              <w:right w:val="nil"/>
            </w:tcBorders>
            <w:shd w:val="clear" w:color="auto" w:fill="auto"/>
            <w:vAlign w:val="center"/>
          </w:tcPr>
          <w:p w:rsidR="00430E80" w:rsidRDefault="00430E80" w:rsidP="006C79D8">
            <w:pPr>
              <w:keepNext/>
              <w:jc w:val="center"/>
              <w:rPr>
                <w:szCs w:val="22"/>
              </w:rPr>
            </w:pPr>
          </w:p>
        </w:tc>
        <w:tc>
          <w:tcPr>
            <w:tcW w:w="605" w:type="pct"/>
            <w:tcBorders>
              <w:top w:val="nil"/>
              <w:left w:val="nil"/>
              <w:bottom w:val="single" w:sz="12" w:space="0" w:color="auto"/>
              <w:right w:val="nil"/>
            </w:tcBorders>
            <w:vAlign w:val="center"/>
          </w:tcPr>
          <w:p w:rsidR="00430E80" w:rsidRDefault="00430E80" w:rsidP="006C79D8">
            <w:pPr>
              <w:keepNext/>
              <w:jc w:val="center"/>
              <w:rPr>
                <w:szCs w:val="22"/>
              </w:rPr>
            </w:pPr>
            <w:r>
              <w:rPr>
                <w:szCs w:val="22"/>
              </w:rPr>
              <w:t>91</w:t>
            </w:r>
            <w:r w:rsidRPr="001B3A3A">
              <w:rPr>
                <w:szCs w:val="22"/>
              </w:rPr>
              <w:t xml:space="preserve"> T</w:t>
            </w:r>
          </w:p>
        </w:tc>
        <w:tc>
          <w:tcPr>
            <w:tcW w:w="604" w:type="pct"/>
            <w:tcBorders>
              <w:top w:val="nil"/>
              <w:left w:val="nil"/>
              <w:bottom w:val="single" w:sz="12" w:space="0" w:color="auto"/>
              <w:right w:val="nil"/>
            </w:tcBorders>
          </w:tcPr>
          <w:p w:rsidR="00430E80" w:rsidRDefault="00430E80" w:rsidP="006C79D8">
            <w:pPr>
              <w:keepNext/>
              <w:jc w:val="center"/>
              <w:rPr>
                <w:szCs w:val="22"/>
              </w:rPr>
            </w:pPr>
            <w:r>
              <w:rPr>
                <w:szCs w:val="22"/>
              </w:rPr>
              <w:t>82</w:t>
            </w:r>
            <w:r w:rsidRPr="001B3A3A">
              <w:rPr>
                <w:szCs w:val="22"/>
              </w:rPr>
              <w:t xml:space="preserve"> T</w:t>
            </w:r>
          </w:p>
        </w:tc>
      </w:tr>
    </w:tbl>
    <w:p w:rsidR="00430E80" w:rsidRPr="004E61AB" w:rsidRDefault="00430E80" w:rsidP="00430E80">
      <w:pPr>
        <w:numPr>
          <w:ilvl w:val="0"/>
          <w:numId w:val="41"/>
        </w:numPr>
        <w:rPr>
          <w:sz w:val="18"/>
          <w:szCs w:val="20"/>
        </w:rPr>
      </w:pPr>
      <w:r w:rsidRPr="004E61AB">
        <w:rPr>
          <w:sz w:val="18"/>
          <w:szCs w:val="20"/>
        </w:rPr>
        <w:t>Season is based on a calendar year.</w:t>
      </w:r>
    </w:p>
    <w:p w:rsidR="00430E80" w:rsidRPr="004E61AB" w:rsidRDefault="00430E80" w:rsidP="00430E80">
      <w:pPr>
        <w:numPr>
          <w:ilvl w:val="0"/>
          <w:numId w:val="41"/>
        </w:numPr>
        <w:rPr>
          <w:sz w:val="18"/>
          <w:szCs w:val="20"/>
        </w:rPr>
      </w:pPr>
      <w:r w:rsidRPr="004E61AB">
        <w:rPr>
          <w:sz w:val="18"/>
          <w:szCs w:val="20"/>
        </w:rPr>
        <w:t xml:space="preserve">Guideline harvest level expressed in t. </w:t>
      </w:r>
    </w:p>
    <w:p w:rsidR="00430E80" w:rsidRPr="004E61AB" w:rsidRDefault="00430E80" w:rsidP="00430E80">
      <w:pPr>
        <w:numPr>
          <w:ilvl w:val="0"/>
          <w:numId w:val="41"/>
        </w:numPr>
        <w:rPr>
          <w:sz w:val="18"/>
          <w:szCs w:val="20"/>
        </w:rPr>
      </w:pPr>
      <w:r w:rsidRPr="004E61AB">
        <w:rPr>
          <w:sz w:val="18"/>
          <w:szCs w:val="20"/>
        </w:rPr>
        <w:t>Metric tons.</w:t>
      </w:r>
    </w:p>
    <w:p w:rsidR="00430E80" w:rsidRPr="004E61AB" w:rsidRDefault="00430E80" w:rsidP="00430E80">
      <w:pPr>
        <w:numPr>
          <w:ilvl w:val="0"/>
          <w:numId w:val="41"/>
        </w:numPr>
        <w:rPr>
          <w:sz w:val="18"/>
          <w:szCs w:val="20"/>
        </w:rPr>
      </w:pPr>
      <w:r w:rsidRPr="004E61AB">
        <w:rPr>
          <w:sz w:val="18"/>
          <w:szCs w:val="20"/>
        </w:rPr>
        <w:t>Total retained catch plus estimated bycatch mortality of discarded bycatch during crab fisheries only. Bycatch mortality due to groundfish fisheries is not included here because available data is summarized by “crab fishery year” rather than calendar year; estimates of annual bycatch mortality during 1991/92–2010/11 groundfish fisheries are ≤9 t, with an average of 3 t.</w:t>
      </w:r>
    </w:p>
    <w:p w:rsidR="00430E80" w:rsidRPr="004E61AB" w:rsidRDefault="00430E80" w:rsidP="00430E80">
      <w:pPr>
        <w:numPr>
          <w:ilvl w:val="0"/>
          <w:numId w:val="41"/>
        </w:numPr>
        <w:jc w:val="both"/>
        <w:rPr>
          <w:sz w:val="22"/>
        </w:rPr>
      </w:pPr>
      <w:r w:rsidRPr="004E61AB">
        <w:rPr>
          <w:sz w:val="18"/>
          <w:szCs w:val="20"/>
        </w:rPr>
        <w:t>Noted as “R” for retained-catch-only OFL and “T” for total-catch OFL and ABC.</w:t>
      </w:r>
    </w:p>
    <w:p w:rsidR="00430E80" w:rsidRPr="004E61AB" w:rsidRDefault="00430E80" w:rsidP="00430E80">
      <w:pPr>
        <w:numPr>
          <w:ilvl w:val="0"/>
          <w:numId w:val="41"/>
        </w:numPr>
        <w:jc w:val="both"/>
        <w:rPr>
          <w:sz w:val="18"/>
          <w:szCs w:val="20"/>
        </w:rPr>
      </w:pPr>
      <w:r w:rsidRPr="004E61AB">
        <w:rPr>
          <w:sz w:val="18"/>
          <w:szCs w:val="20"/>
        </w:rPr>
        <w:t>Catch statistics are confidential under Sec. 16.05.815 (SOA statute): ≤2 vessels participated in each season.</w:t>
      </w:r>
    </w:p>
    <w:p w:rsidR="00AE0ECD" w:rsidRDefault="00AE0ECD" w:rsidP="00AE0ECD"/>
    <w:p w:rsidR="000F1B1E" w:rsidRDefault="000F1B1E" w:rsidP="00151451">
      <w:pPr>
        <w:numPr>
          <w:ilvl w:val="0"/>
          <w:numId w:val="10"/>
        </w:numPr>
        <w:tabs>
          <w:tab w:val="clear" w:pos="720"/>
          <w:tab w:val="num" w:pos="360"/>
        </w:tabs>
        <w:ind w:left="360"/>
        <w:jc w:val="both"/>
        <w:rPr>
          <w:b/>
        </w:rPr>
      </w:pPr>
      <w:r>
        <w:rPr>
          <w:b/>
        </w:rPr>
        <w:t>Specification of the retained-catch portion of the total-catch OFL:</w:t>
      </w:r>
    </w:p>
    <w:p w:rsidR="000F1B1E" w:rsidRPr="000F1B1E" w:rsidRDefault="000F1B1E" w:rsidP="000F1B1E">
      <w:pPr>
        <w:numPr>
          <w:ilvl w:val="1"/>
          <w:numId w:val="10"/>
        </w:numPr>
        <w:jc w:val="both"/>
        <w:rPr>
          <w:b/>
        </w:rPr>
      </w:pPr>
      <w:r>
        <w:rPr>
          <w:b/>
        </w:rPr>
        <w:t>Equation for recommended retained-portion of total-catch OFL.</w:t>
      </w:r>
    </w:p>
    <w:p w:rsidR="000F1B1E" w:rsidRDefault="000F1B1E" w:rsidP="000F1B1E">
      <w:pPr>
        <w:ind w:left="1080"/>
        <w:jc w:val="both"/>
      </w:pPr>
      <w:r w:rsidRPr="000F1B1E">
        <w:t>R</w:t>
      </w:r>
      <w:r>
        <w:t xml:space="preserve">etained-catch portion </w:t>
      </w:r>
      <w:r>
        <w:tab/>
        <w:t xml:space="preserve">= average retained catch during 1993–1998 </w:t>
      </w:r>
    </w:p>
    <w:p w:rsidR="000F1B1E" w:rsidRDefault="00571C83" w:rsidP="000F1B1E">
      <w:pPr>
        <w:ind w:left="3240" w:firstLine="360"/>
        <w:jc w:val="both"/>
      </w:pPr>
      <w:proofErr w:type="gramStart"/>
      <w:r>
        <w:t xml:space="preserve">= 173,722 pounds </w:t>
      </w:r>
      <w:r w:rsidR="000F1B1E">
        <w:t>(0.17-million pounds</w:t>
      </w:r>
      <w:r w:rsidR="00CD2F96" w:rsidRPr="007B2A71">
        <w:t xml:space="preserve">; </w:t>
      </w:r>
      <w:r w:rsidR="007B2A71" w:rsidRPr="007B2A71">
        <w:t>79</w:t>
      </w:r>
      <w:r w:rsidR="00CD2F96" w:rsidRPr="007B2A71">
        <w:t xml:space="preserve"> t</w:t>
      </w:r>
      <w:r w:rsidR="000F1B1E" w:rsidRPr="007B2A71">
        <w:t>).</w:t>
      </w:r>
      <w:proofErr w:type="gramEnd"/>
    </w:p>
    <w:p w:rsidR="000F1B1E" w:rsidRPr="000F1B1E" w:rsidRDefault="000F1B1E" w:rsidP="000F1B1E">
      <w:pPr>
        <w:ind w:left="3240" w:firstLine="360"/>
        <w:jc w:val="both"/>
      </w:pPr>
    </w:p>
    <w:p w:rsidR="004E250A" w:rsidRDefault="004E250A" w:rsidP="004E250A">
      <w:pPr>
        <w:numPr>
          <w:ilvl w:val="0"/>
          <w:numId w:val="10"/>
        </w:numPr>
        <w:tabs>
          <w:tab w:val="clear" w:pos="720"/>
          <w:tab w:val="num" w:pos="360"/>
        </w:tabs>
        <w:ind w:left="360"/>
        <w:jc w:val="both"/>
        <w:rPr>
          <w:b/>
        </w:rPr>
      </w:pPr>
      <w:r>
        <w:rPr>
          <w:b/>
          <w:u w:val="single"/>
        </w:rPr>
        <w:t>Recommended F</w:t>
      </w:r>
      <w:r>
        <w:rPr>
          <w:b/>
          <w:u w:val="single"/>
          <w:vertAlign w:val="subscript"/>
        </w:rPr>
        <w:t>OFL</w:t>
      </w:r>
      <w:r>
        <w:rPr>
          <w:b/>
          <w:u w:val="single"/>
        </w:rPr>
        <w:t>, OFL total catch and the retained portion for the coming year</w:t>
      </w:r>
      <w:r w:rsidRPr="004635D2">
        <w:rPr>
          <w:b/>
        </w:rPr>
        <w:t>:</w:t>
      </w:r>
    </w:p>
    <w:p w:rsidR="00683836" w:rsidRPr="00AB12B9" w:rsidRDefault="004E250A" w:rsidP="004E250A">
      <w:pPr>
        <w:ind w:left="360"/>
        <w:jc w:val="both"/>
      </w:pPr>
      <w:r>
        <w:t xml:space="preserve">See sections </w:t>
      </w:r>
      <w:r w:rsidRPr="0054371D">
        <w:rPr>
          <w:b/>
          <w:i/>
        </w:rPr>
        <w:t>F.3</w:t>
      </w:r>
      <w:r>
        <w:t xml:space="preserve"> and </w:t>
      </w:r>
      <w:r w:rsidRPr="0054371D">
        <w:rPr>
          <w:b/>
          <w:i/>
        </w:rPr>
        <w:t>F.4</w:t>
      </w:r>
      <w:r>
        <w:t>, above; no F</w:t>
      </w:r>
      <w:r>
        <w:rPr>
          <w:vertAlign w:val="subscript"/>
        </w:rPr>
        <w:t xml:space="preserve">OFL </w:t>
      </w:r>
      <w:r>
        <w:t>is recommended for a Tier 5 stock.</w:t>
      </w:r>
    </w:p>
    <w:p w:rsidR="006612F0" w:rsidRDefault="006612F0" w:rsidP="006612F0">
      <w:pPr>
        <w:pStyle w:val="Heading2"/>
        <w:jc w:val="both"/>
        <w:rPr>
          <w:i/>
          <w:sz w:val="24"/>
        </w:rPr>
      </w:pPr>
      <w:r>
        <w:rPr>
          <w:i/>
          <w:sz w:val="24"/>
        </w:rPr>
        <w:t>G</w:t>
      </w:r>
      <w:r w:rsidRPr="00AB12B9">
        <w:rPr>
          <w:i/>
          <w:sz w:val="24"/>
        </w:rPr>
        <w:t xml:space="preserve">. </w:t>
      </w:r>
      <w:r>
        <w:rPr>
          <w:i/>
          <w:sz w:val="24"/>
        </w:rPr>
        <w:t>Calculation of ABC</w:t>
      </w:r>
    </w:p>
    <w:p w:rsidR="006612F0" w:rsidRDefault="006612F0" w:rsidP="00491BDE">
      <w:pPr>
        <w:jc w:val="both"/>
        <w:rPr>
          <w:lang w:val="en-US" w:eastAsia="en-US"/>
        </w:rPr>
      </w:pPr>
      <w:r w:rsidRPr="00623D64">
        <w:rPr>
          <w:b/>
          <w:lang w:val="en-US" w:eastAsia="en-US"/>
        </w:rPr>
        <w:t xml:space="preserve">1. PDF of OFL. </w:t>
      </w:r>
      <w:r w:rsidRPr="00623D64">
        <w:rPr>
          <w:lang w:val="en-US" w:eastAsia="en-US"/>
        </w:rPr>
        <w:t xml:space="preserve"> </w:t>
      </w:r>
      <w:r w:rsidR="003527FC">
        <w:rPr>
          <w:lang w:val="en-US" w:eastAsia="en-US"/>
        </w:rPr>
        <w:t>A b</w:t>
      </w:r>
      <w:r w:rsidR="00491BDE" w:rsidRPr="00623D64">
        <w:rPr>
          <w:lang w:val="en-US" w:eastAsia="en-US"/>
        </w:rPr>
        <w:t xml:space="preserve">ootstrap estimates of the sampling distribution (assuming no error in estimation of bycatch) of the </w:t>
      </w:r>
      <w:r w:rsidR="003527FC">
        <w:rPr>
          <w:lang w:val="en-US" w:eastAsia="en-US"/>
        </w:rPr>
        <w:t xml:space="preserve">status quo </w:t>
      </w:r>
      <w:r w:rsidR="00491BDE" w:rsidRPr="00623D64">
        <w:rPr>
          <w:lang w:val="en-US" w:eastAsia="en-US"/>
        </w:rPr>
        <w:t>Alternative 1</w:t>
      </w:r>
      <w:r w:rsidR="00511A3C">
        <w:rPr>
          <w:lang w:val="en-US" w:eastAsia="en-US"/>
        </w:rPr>
        <w:t xml:space="preserve"> </w:t>
      </w:r>
      <w:r w:rsidR="003527FC">
        <w:rPr>
          <w:lang w:val="en-US" w:eastAsia="en-US"/>
        </w:rPr>
        <w:t>OFL</w:t>
      </w:r>
      <w:r w:rsidR="00491BDE" w:rsidRPr="00623D64">
        <w:rPr>
          <w:lang w:val="en-US" w:eastAsia="en-US"/>
        </w:rPr>
        <w:t xml:space="preserve"> </w:t>
      </w:r>
      <w:r w:rsidR="003527FC">
        <w:rPr>
          <w:lang w:val="en-US" w:eastAsia="en-US"/>
        </w:rPr>
        <w:t>is</w:t>
      </w:r>
      <w:r w:rsidR="00491BDE" w:rsidRPr="00623D64">
        <w:rPr>
          <w:lang w:val="en-US" w:eastAsia="en-US"/>
        </w:rPr>
        <w:t xml:space="preserve"> shown in </w:t>
      </w:r>
      <w:r w:rsidR="00491BDE" w:rsidRPr="00A44AAC">
        <w:rPr>
          <w:lang w:val="en-US" w:eastAsia="en-US"/>
        </w:rPr>
        <w:t xml:space="preserve">Figure </w:t>
      </w:r>
      <w:r w:rsidR="00A44AAC">
        <w:rPr>
          <w:lang w:val="en-US" w:eastAsia="en-US"/>
        </w:rPr>
        <w:t>2</w:t>
      </w:r>
      <w:r w:rsidR="00491BDE" w:rsidRPr="00623D64">
        <w:rPr>
          <w:lang w:val="en-US" w:eastAsia="en-US"/>
        </w:rPr>
        <w:t xml:space="preserve"> (1,000 samples drawn with replacement independently from each of the </w:t>
      </w:r>
      <w:r w:rsidR="00623D64" w:rsidRPr="00623D64">
        <w:rPr>
          <w:lang w:val="en-US" w:eastAsia="en-US"/>
        </w:rPr>
        <w:t>four</w:t>
      </w:r>
      <w:r w:rsidR="00491BDE" w:rsidRPr="00623D64">
        <w:rPr>
          <w:lang w:val="en-US" w:eastAsia="en-US"/>
        </w:rPr>
        <w:t xml:space="preserve"> columns of values in Table </w:t>
      </w:r>
      <w:r w:rsidR="00F75531">
        <w:rPr>
          <w:lang w:val="en-US" w:eastAsia="en-US"/>
        </w:rPr>
        <w:t>4</w:t>
      </w:r>
      <w:r w:rsidR="00491BDE" w:rsidRPr="00623D64">
        <w:rPr>
          <w:lang w:val="en-US" w:eastAsia="en-US"/>
        </w:rPr>
        <w:t xml:space="preserve"> to calculate </w:t>
      </w:r>
      <w:r w:rsidR="00491BDE" w:rsidRPr="00623D64">
        <w:t>R</w:t>
      </w:r>
      <w:r w:rsidR="00623D64" w:rsidRPr="00623D64">
        <w:rPr>
          <w:vertAlign w:val="subscript"/>
        </w:rPr>
        <w:t>2001-2010</w:t>
      </w:r>
      <w:r w:rsidR="00491BDE" w:rsidRPr="00623D64">
        <w:t xml:space="preserve">, </w:t>
      </w:r>
      <w:r w:rsidR="00491BDE" w:rsidRPr="00623D64">
        <w:rPr>
          <w:vertAlign w:val="subscript"/>
        </w:rPr>
        <w:t xml:space="preserve"> </w:t>
      </w:r>
      <w:r w:rsidR="00491BDE" w:rsidRPr="00623D64">
        <w:t>RET</w:t>
      </w:r>
      <w:r w:rsidR="00623D64" w:rsidRPr="00623D64">
        <w:rPr>
          <w:vertAlign w:val="subscript"/>
        </w:rPr>
        <w:t>1993-1998</w:t>
      </w:r>
      <w:r w:rsidR="00491BDE" w:rsidRPr="00623D64">
        <w:t xml:space="preserve">, </w:t>
      </w:r>
      <w:r w:rsidR="00623D64" w:rsidRPr="00623D64">
        <w:t>BM</w:t>
      </w:r>
      <w:r w:rsidR="00623D64" w:rsidRPr="00623D64">
        <w:rPr>
          <w:vertAlign w:val="subscript"/>
        </w:rPr>
        <w:t>NC,1994-1998</w:t>
      </w:r>
      <w:r w:rsidR="00623D64" w:rsidRPr="00623D64">
        <w:t>,</w:t>
      </w:r>
      <w:r w:rsidR="00623D64" w:rsidRPr="00623D64">
        <w:rPr>
          <w:vertAlign w:val="subscript"/>
        </w:rPr>
        <w:t xml:space="preserve"> </w:t>
      </w:r>
      <w:r w:rsidR="00623D64" w:rsidRPr="00623D64">
        <w:t xml:space="preserve"> </w:t>
      </w:r>
      <w:r w:rsidR="00491BDE" w:rsidRPr="00623D64">
        <w:t>BM</w:t>
      </w:r>
      <w:r w:rsidR="00491BDE" w:rsidRPr="00623D64">
        <w:rPr>
          <w:vertAlign w:val="subscript"/>
        </w:rPr>
        <w:t>GF,9</w:t>
      </w:r>
      <w:r w:rsidR="00623D64" w:rsidRPr="00623D64">
        <w:rPr>
          <w:vertAlign w:val="subscript"/>
        </w:rPr>
        <w:t>2</w:t>
      </w:r>
      <w:r w:rsidR="00491BDE" w:rsidRPr="00623D64">
        <w:rPr>
          <w:vertAlign w:val="subscript"/>
        </w:rPr>
        <w:t>/9</w:t>
      </w:r>
      <w:r w:rsidR="00623D64" w:rsidRPr="00623D64">
        <w:rPr>
          <w:vertAlign w:val="subscript"/>
        </w:rPr>
        <w:t>3</w:t>
      </w:r>
      <w:r w:rsidR="00491BDE" w:rsidRPr="00623D64">
        <w:rPr>
          <w:vertAlign w:val="subscript"/>
        </w:rPr>
        <w:t>-</w:t>
      </w:r>
      <w:r w:rsidR="00623D64" w:rsidRPr="00623D64">
        <w:rPr>
          <w:vertAlign w:val="subscript"/>
        </w:rPr>
        <w:t>98</w:t>
      </w:r>
      <w:r w:rsidR="00491BDE" w:rsidRPr="00623D64">
        <w:rPr>
          <w:vertAlign w:val="subscript"/>
        </w:rPr>
        <w:t>/</w:t>
      </w:r>
      <w:r w:rsidR="00623D64" w:rsidRPr="00623D64">
        <w:rPr>
          <w:vertAlign w:val="subscript"/>
        </w:rPr>
        <w:t>9</w:t>
      </w:r>
      <w:r w:rsidR="00491BDE" w:rsidRPr="00623D64">
        <w:rPr>
          <w:vertAlign w:val="subscript"/>
        </w:rPr>
        <w:t xml:space="preserve">9 </w:t>
      </w:r>
      <w:r w:rsidR="00491BDE" w:rsidRPr="00623D64">
        <w:t xml:space="preserve"> </w:t>
      </w:r>
      <w:r w:rsidR="00491BDE" w:rsidRPr="00623D64">
        <w:rPr>
          <w:lang w:val="en-US" w:eastAsia="en-US"/>
        </w:rPr>
        <w:t xml:space="preserve">and </w:t>
      </w:r>
      <w:r w:rsidR="00491BDE" w:rsidRPr="00623D64">
        <w:t>OFL</w:t>
      </w:r>
      <w:r w:rsidR="00623D64" w:rsidRPr="00623D64">
        <w:rPr>
          <w:vertAlign w:val="subscript"/>
        </w:rPr>
        <w:t>1,201</w:t>
      </w:r>
      <w:r w:rsidR="003527FC">
        <w:rPr>
          <w:vertAlign w:val="subscript"/>
        </w:rPr>
        <w:t>4</w:t>
      </w:r>
      <w:r w:rsidR="00623D64" w:rsidRPr="00623D64">
        <w:rPr>
          <w:lang w:val="en-US" w:eastAsia="en-US"/>
        </w:rPr>
        <w:t xml:space="preserve">). Table </w:t>
      </w:r>
      <w:r w:rsidR="00F75531">
        <w:rPr>
          <w:lang w:val="en-US" w:eastAsia="en-US"/>
        </w:rPr>
        <w:t>5</w:t>
      </w:r>
      <w:r w:rsidR="00623D64" w:rsidRPr="00623D64">
        <w:rPr>
          <w:lang w:val="en-US" w:eastAsia="en-US"/>
        </w:rPr>
        <w:t xml:space="preserve"> </w:t>
      </w:r>
      <w:r w:rsidR="00491BDE" w:rsidRPr="00623D64">
        <w:rPr>
          <w:lang w:val="en-US" w:eastAsia="en-US"/>
        </w:rPr>
        <w:t>provides statistics on the generated distributions.</w:t>
      </w:r>
    </w:p>
    <w:p w:rsidR="00623D64" w:rsidRDefault="00623D64" w:rsidP="00491BDE">
      <w:pPr>
        <w:jc w:val="both"/>
        <w:rPr>
          <w:lang w:val="en-US" w:eastAsia="en-US"/>
        </w:rPr>
      </w:pPr>
    </w:p>
    <w:p w:rsidR="006612F0" w:rsidRDefault="006612F0" w:rsidP="006612F0">
      <w:pPr>
        <w:rPr>
          <w:b/>
          <w:lang w:val="en-US" w:eastAsia="en-US"/>
        </w:rPr>
      </w:pPr>
      <w:r w:rsidRPr="006612F0">
        <w:rPr>
          <w:b/>
          <w:lang w:val="en-US" w:eastAsia="en-US"/>
        </w:rPr>
        <w:t>2. List of variables related to scientific uncertainty.</w:t>
      </w:r>
    </w:p>
    <w:p w:rsidR="006612F0" w:rsidRDefault="006612F0" w:rsidP="002F1A19">
      <w:pPr>
        <w:numPr>
          <w:ilvl w:val="0"/>
          <w:numId w:val="34"/>
        </w:numPr>
        <w:jc w:val="both"/>
        <w:rPr>
          <w:lang w:val="en-US" w:eastAsia="en-US"/>
        </w:rPr>
      </w:pPr>
      <w:r>
        <w:rPr>
          <w:lang w:val="en-US" w:eastAsia="en-US"/>
        </w:rPr>
        <w:t>Bycatch mortality rate in each fishery that bycatch occurs.</w:t>
      </w:r>
      <w:r w:rsidR="00281A76">
        <w:rPr>
          <w:lang w:val="en-US" w:eastAsia="en-US"/>
        </w:rPr>
        <w:t xml:space="preserve">  Note that for Tier 5 stocks, an increase in an assumed bycatch rate will increase the OFL (and hence the ABC)</w:t>
      </w:r>
      <w:r w:rsidR="008C4DFB">
        <w:rPr>
          <w:lang w:val="en-US" w:eastAsia="en-US"/>
        </w:rPr>
        <w:t>, but has no effect on the retained-catch portion of the OFL or the retained-catch portion of the ABC</w:t>
      </w:r>
      <w:r w:rsidR="00281A76">
        <w:rPr>
          <w:lang w:val="en-US" w:eastAsia="en-US"/>
        </w:rPr>
        <w:t xml:space="preserve">.  </w:t>
      </w:r>
    </w:p>
    <w:p w:rsidR="006612F0" w:rsidRDefault="006612F0" w:rsidP="002F1A19">
      <w:pPr>
        <w:numPr>
          <w:ilvl w:val="0"/>
          <w:numId w:val="34"/>
        </w:numPr>
        <w:jc w:val="both"/>
        <w:rPr>
          <w:lang w:val="en-US" w:eastAsia="en-US"/>
        </w:rPr>
      </w:pPr>
      <w:r>
        <w:rPr>
          <w:lang w:val="en-US" w:eastAsia="en-US"/>
        </w:rPr>
        <w:t>Estimated bycatch and bycatch mortality for each fishery that bycatch occurred in during 1993–1998.</w:t>
      </w:r>
    </w:p>
    <w:p w:rsidR="006612F0" w:rsidRPr="00623D64" w:rsidRDefault="006612F0" w:rsidP="002F1A19">
      <w:pPr>
        <w:numPr>
          <w:ilvl w:val="0"/>
          <w:numId w:val="34"/>
        </w:numPr>
        <w:jc w:val="both"/>
        <w:rPr>
          <w:lang w:val="en-US" w:eastAsia="en-US"/>
        </w:rPr>
      </w:pPr>
      <w:r>
        <w:rPr>
          <w:lang w:val="en-US" w:eastAsia="en-US"/>
        </w:rPr>
        <w:t xml:space="preserve">The time </w:t>
      </w:r>
      <w:proofErr w:type="gramStart"/>
      <w:r>
        <w:rPr>
          <w:lang w:val="en-US" w:eastAsia="en-US"/>
        </w:rPr>
        <w:t>period to compute the average catch</w:t>
      </w:r>
      <w:proofErr w:type="gramEnd"/>
      <w:r w:rsidR="00BD650D" w:rsidRPr="00BD650D">
        <w:rPr>
          <w:lang w:val="en-US" w:eastAsia="en-US"/>
        </w:rPr>
        <w:t xml:space="preserve"> </w:t>
      </w:r>
      <w:r w:rsidR="001C254A">
        <w:rPr>
          <w:lang w:val="en-US" w:eastAsia="en-US"/>
        </w:rPr>
        <w:t>under the</w:t>
      </w:r>
      <w:r w:rsidR="00BD650D">
        <w:rPr>
          <w:lang w:val="en-US" w:eastAsia="en-US"/>
        </w:rPr>
        <w:t xml:space="preserve"> assumption </w:t>
      </w:r>
      <w:r w:rsidR="001C254A">
        <w:rPr>
          <w:lang w:val="en-US" w:eastAsia="en-US"/>
        </w:rPr>
        <w:t>of</w:t>
      </w:r>
      <w:r w:rsidR="00BD650D">
        <w:rPr>
          <w:lang w:val="en-US" w:eastAsia="en-US"/>
        </w:rPr>
        <w:t xml:space="preserve"> represent</w:t>
      </w:r>
      <w:r w:rsidR="001C254A">
        <w:rPr>
          <w:lang w:val="en-US" w:eastAsia="en-US"/>
        </w:rPr>
        <w:t>ing</w:t>
      </w:r>
      <w:r w:rsidR="00BD650D">
        <w:rPr>
          <w:lang w:val="en-US" w:eastAsia="en-US"/>
        </w:rPr>
        <w:t xml:space="preserve"> “</w:t>
      </w:r>
      <w:r w:rsidR="00BD650D" w:rsidRPr="003B06FC">
        <w:t>a time period determined to be representative of the production potential of the stock</w:t>
      </w:r>
      <w:r w:rsidR="00BD650D">
        <w:t>.</w:t>
      </w:r>
      <w:r w:rsidR="00BD650D" w:rsidRPr="003B06FC">
        <w:t>”</w:t>
      </w:r>
    </w:p>
    <w:p w:rsidR="00623D64" w:rsidRDefault="00623D64" w:rsidP="00623D64">
      <w:pPr>
        <w:jc w:val="both"/>
        <w:rPr>
          <w:lang w:val="en-US" w:eastAsia="en-US"/>
        </w:rPr>
      </w:pPr>
    </w:p>
    <w:p w:rsidR="006612F0" w:rsidRDefault="006612F0" w:rsidP="006612F0">
      <w:pPr>
        <w:rPr>
          <w:lang w:val="en-US" w:eastAsia="en-US"/>
        </w:rPr>
      </w:pPr>
      <w:r w:rsidRPr="006612F0">
        <w:rPr>
          <w:b/>
          <w:lang w:val="en-US" w:eastAsia="en-US"/>
        </w:rPr>
        <w:t xml:space="preserve">3. List of </w:t>
      </w:r>
      <w:proofErr w:type="spellStart"/>
      <w:r w:rsidRPr="006612F0">
        <w:rPr>
          <w:b/>
          <w:lang w:val="en-US" w:eastAsia="en-US"/>
        </w:rPr>
        <w:t>addititional</w:t>
      </w:r>
      <w:proofErr w:type="spellEnd"/>
      <w:r w:rsidRPr="006612F0">
        <w:rPr>
          <w:b/>
          <w:lang w:val="en-US" w:eastAsia="en-US"/>
        </w:rPr>
        <w:t xml:space="preserve"> uncertainties for alternative sigma-b.</w:t>
      </w:r>
      <w:r>
        <w:rPr>
          <w:lang w:val="en-US" w:eastAsia="en-US"/>
        </w:rPr>
        <w:t xml:space="preserve">  Not applicable to this Tier 5 assessment.</w:t>
      </w:r>
    </w:p>
    <w:p w:rsidR="00491BDE" w:rsidRDefault="00491BDE" w:rsidP="006612F0">
      <w:pPr>
        <w:rPr>
          <w:lang w:val="en-US" w:eastAsia="en-US"/>
        </w:rPr>
      </w:pPr>
    </w:p>
    <w:p w:rsidR="006612F0" w:rsidRPr="006612F0" w:rsidRDefault="006612F0" w:rsidP="006612F0">
      <w:pPr>
        <w:rPr>
          <w:lang w:val="en-US" w:eastAsia="en-US"/>
        </w:rPr>
      </w:pPr>
      <w:r w:rsidRPr="006612F0">
        <w:rPr>
          <w:b/>
          <w:lang w:val="en-US" w:eastAsia="en-US"/>
        </w:rPr>
        <w:t>4. Author recommended ABC.</w:t>
      </w:r>
      <w:r w:rsidR="00A454D4">
        <w:rPr>
          <w:lang w:val="en-US" w:eastAsia="en-US"/>
        </w:rPr>
        <w:t xml:space="preserve">  </w:t>
      </w:r>
      <w:r w:rsidR="003527FC">
        <w:rPr>
          <w:lang w:val="en-US" w:eastAsia="en-US"/>
        </w:rPr>
        <w:t xml:space="preserve">10% buffer on OFL; i.e., ABC = </w:t>
      </w:r>
      <w:r w:rsidR="00A454D4">
        <w:rPr>
          <w:lang w:val="en-US" w:eastAsia="en-US"/>
        </w:rPr>
        <w:t>(1-0.1</w:t>
      </w:r>
      <w:proofErr w:type="gramStart"/>
      <w:r w:rsidR="00A454D4">
        <w:rPr>
          <w:lang w:val="en-US" w:eastAsia="en-US"/>
        </w:rPr>
        <w:t>)·</w:t>
      </w:r>
      <w:proofErr w:type="gramEnd"/>
      <w:r w:rsidR="008577A6">
        <w:rPr>
          <w:lang w:val="en-US" w:eastAsia="en-US"/>
        </w:rPr>
        <w:t>(</w:t>
      </w:r>
      <w:r w:rsidR="00121B97">
        <w:rPr>
          <w:lang w:val="en-US" w:eastAsia="en-US"/>
        </w:rPr>
        <w:t>204,612</w:t>
      </w:r>
      <w:r w:rsidR="008C4DFB">
        <w:rPr>
          <w:lang w:val="en-US" w:eastAsia="en-US"/>
        </w:rPr>
        <w:t xml:space="preserve"> pounds</w:t>
      </w:r>
      <w:r w:rsidR="008577A6">
        <w:rPr>
          <w:lang w:val="en-US" w:eastAsia="en-US"/>
        </w:rPr>
        <w:t>)</w:t>
      </w:r>
      <w:r w:rsidR="007107D1">
        <w:rPr>
          <w:lang w:val="en-US" w:eastAsia="en-US"/>
        </w:rPr>
        <w:t xml:space="preserve"> </w:t>
      </w:r>
      <w:r w:rsidR="007107D1" w:rsidRPr="007B2A71">
        <w:rPr>
          <w:lang w:val="en-US" w:eastAsia="en-US"/>
        </w:rPr>
        <w:t xml:space="preserve">= </w:t>
      </w:r>
      <w:r w:rsidR="00121B97" w:rsidRPr="007B2A71">
        <w:rPr>
          <w:lang w:val="en-US" w:eastAsia="en-US"/>
        </w:rPr>
        <w:t>0.18</w:t>
      </w:r>
      <w:r w:rsidR="00CD2F96" w:rsidRPr="007B2A71">
        <w:rPr>
          <w:lang w:val="en-US" w:eastAsia="en-US"/>
        </w:rPr>
        <w:t>-million pounds (</w:t>
      </w:r>
      <w:r w:rsidR="007B2A71" w:rsidRPr="007B2A71">
        <w:rPr>
          <w:lang w:val="en-US" w:eastAsia="en-US"/>
        </w:rPr>
        <w:t>82</w:t>
      </w:r>
      <w:r w:rsidR="00CD2F96" w:rsidRPr="007B2A71">
        <w:rPr>
          <w:lang w:val="en-US" w:eastAsia="en-US"/>
        </w:rPr>
        <w:t xml:space="preserve"> t).</w:t>
      </w:r>
    </w:p>
    <w:p w:rsidR="007B5B81" w:rsidRDefault="00DD6DFE" w:rsidP="007B5B81">
      <w:pPr>
        <w:pStyle w:val="Heading2"/>
        <w:jc w:val="both"/>
        <w:rPr>
          <w:i/>
          <w:sz w:val="24"/>
        </w:rPr>
      </w:pPr>
      <w:r>
        <w:rPr>
          <w:i/>
          <w:sz w:val="24"/>
        </w:rPr>
        <w:t>H</w:t>
      </w:r>
      <w:r w:rsidR="007B5B81" w:rsidRPr="00AB12B9">
        <w:rPr>
          <w:i/>
          <w:sz w:val="24"/>
        </w:rPr>
        <w:t>. Rebuilding Analyses</w:t>
      </w:r>
    </w:p>
    <w:p w:rsidR="004F5BF6" w:rsidRDefault="004635D2" w:rsidP="004F5BF6">
      <w:pPr>
        <w:rPr>
          <w:lang w:val="en-US" w:eastAsia="en-US"/>
        </w:rPr>
      </w:pPr>
      <w:r>
        <w:t>Entire section is n</w:t>
      </w:r>
      <w:r w:rsidR="00463C23">
        <w:t>ot applicable</w:t>
      </w:r>
      <w:r>
        <w:t>;</w:t>
      </w:r>
      <w:r w:rsidR="004F5BF6">
        <w:rPr>
          <w:lang w:val="en-US" w:eastAsia="en-US"/>
        </w:rPr>
        <w:t xml:space="preserve"> </w:t>
      </w:r>
      <w:r>
        <w:rPr>
          <w:lang w:val="en-US" w:eastAsia="en-US"/>
        </w:rPr>
        <w:t>t</w:t>
      </w:r>
      <w:r w:rsidR="004F5BF6">
        <w:rPr>
          <w:lang w:val="en-US" w:eastAsia="en-US"/>
        </w:rPr>
        <w:t>his stock has not been declared overfished.</w:t>
      </w:r>
    </w:p>
    <w:p w:rsidR="00F450E0" w:rsidRPr="004F5BF6" w:rsidRDefault="00F450E0" w:rsidP="004F5BF6">
      <w:pPr>
        <w:rPr>
          <w:lang w:val="en-US" w:eastAsia="en-US"/>
        </w:rPr>
      </w:pPr>
    </w:p>
    <w:p w:rsidR="007B5B81" w:rsidRPr="00AB12B9" w:rsidRDefault="00DD6DFE" w:rsidP="007B5B81">
      <w:pPr>
        <w:pStyle w:val="Heading3"/>
        <w:jc w:val="both"/>
        <w:rPr>
          <w:sz w:val="24"/>
        </w:rPr>
      </w:pPr>
      <w:r>
        <w:rPr>
          <w:sz w:val="24"/>
        </w:rPr>
        <w:t>I</w:t>
      </w:r>
      <w:r w:rsidR="007B5B81" w:rsidRPr="00AB12B9">
        <w:rPr>
          <w:sz w:val="24"/>
        </w:rPr>
        <w:t>. Data Gaps and Research Priorities</w:t>
      </w:r>
    </w:p>
    <w:p w:rsidR="000C0BE7" w:rsidRDefault="000C0BE7" w:rsidP="008B44BA">
      <w:pPr>
        <w:jc w:val="both"/>
      </w:pPr>
    </w:p>
    <w:p w:rsidR="008B44BA" w:rsidRDefault="00001EE5" w:rsidP="007B5B81">
      <w:pPr>
        <w:jc w:val="both"/>
      </w:pPr>
      <w:r>
        <w:t>D</w:t>
      </w:r>
      <w:r w:rsidR="0035653D">
        <w:t xml:space="preserve">ata from </w:t>
      </w:r>
      <w:r w:rsidR="006B42B0">
        <w:t xml:space="preserve">the </w:t>
      </w:r>
      <w:r w:rsidR="00511A3C">
        <w:t>2002, 2004, 2008, 2010</w:t>
      </w:r>
      <w:r w:rsidR="00CE723B">
        <w:t>,</w:t>
      </w:r>
      <w:r w:rsidR="00833A37">
        <w:t xml:space="preserve"> and 2012</w:t>
      </w:r>
      <w:r w:rsidR="00511A3C">
        <w:t xml:space="preserve"> </w:t>
      </w:r>
      <w:r w:rsidR="006B42B0">
        <w:t xml:space="preserve">NMFS-AFSC </w:t>
      </w:r>
      <w:r w:rsidR="0035653D">
        <w:t xml:space="preserve">eastern Bering Sea </w:t>
      </w:r>
      <w:r w:rsidR="006B42B0">
        <w:t xml:space="preserve">upper continental shelf trawl surveys </w:t>
      </w:r>
      <w:r w:rsidR="00CE723B">
        <w:t xml:space="preserve">are examined </w:t>
      </w:r>
      <w:r w:rsidR="006B42B0">
        <w:t xml:space="preserve">for their utility in </w:t>
      </w:r>
      <w:r w:rsidR="00CE723B">
        <w:t>determining overfishing levels and stock status by Gaeuman (2103)</w:t>
      </w:r>
      <w:r w:rsidR="00175A9A">
        <w:t xml:space="preserve">. </w:t>
      </w:r>
    </w:p>
    <w:p w:rsidR="00DD6DFE" w:rsidRPr="00AB12B9" w:rsidRDefault="00DD6DFE" w:rsidP="007B5B81">
      <w:pPr>
        <w:jc w:val="both"/>
      </w:pPr>
    </w:p>
    <w:p w:rsidR="00D860B4" w:rsidRDefault="00B96E43" w:rsidP="00FE4D1B">
      <w:pPr>
        <w:jc w:val="both"/>
        <w:rPr>
          <w:i/>
        </w:rPr>
      </w:pPr>
      <w:r w:rsidRPr="00B96E43">
        <w:t xml:space="preserve"> </w:t>
      </w:r>
    </w:p>
    <w:p w:rsidR="007B5B81" w:rsidRPr="00D860B4" w:rsidRDefault="00F62AD7" w:rsidP="00FE4D1B">
      <w:pPr>
        <w:pStyle w:val="Heading2"/>
        <w:spacing w:before="0" w:after="0"/>
        <w:jc w:val="both"/>
        <w:rPr>
          <w:i/>
          <w:sz w:val="24"/>
          <w:szCs w:val="24"/>
        </w:rPr>
      </w:pPr>
      <w:r>
        <w:rPr>
          <w:i/>
          <w:sz w:val="24"/>
          <w:szCs w:val="24"/>
        </w:rPr>
        <w:t>J</w:t>
      </w:r>
      <w:r w:rsidR="007B5B81" w:rsidRPr="00D860B4">
        <w:rPr>
          <w:i/>
          <w:sz w:val="24"/>
          <w:szCs w:val="24"/>
        </w:rPr>
        <w:t>. Literature Cited</w:t>
      </w:r>
    </w:p>
    <w:p w:rsidR="00D860B4" w:rsidRPr="00B00C77" w:rsidRDefault="00D60CDD" w:rsidP="008B78E9">
      <w:pPr>
        <w:pStyle w:val="Lit-Cited"/>
        <w:spacing w:after="0"/>
        <w:ind w:left="720" w:hanging="720"/>
        <w:rPr>
          <w:sz w:val="24"/>
          <w:szCs w:val="24"/>
        </w:rPr>
      </w:pPr>
      <w:proofErr w:type="gramStart"/>
      <w:r w:rsidRPr="00B00C77">
        <w:rPr>
          <w:sz w:val="24"/>
          <w:szCs w:val="24"/>
        </w:rPr>
        <w:t>Barnard, D. R.</w:t>
      </w:r>
      <w:r w:rsidR="005F7703">
        <w:rPr>
          <w:sz w:val="24"/>
          <w:szCs w:val="24"/>
        </w:rPr>
        <w:t>,</w:t>
      </w:r>
      <w:r w:rsidRPr="00B00C77">
        <w:rPr>
          <w:sz w:val="24"/>
          <w:szCs w:val="24"/>
        </w:rPr>
        <w:t xml:space="preserve"> and R. Burt.</w:t>
      </w:r>
      <w:proofErr w:type="gramEnd"/>
      <w:r w:rsidRPr="00B00C77">
        <w:rPr>
          <w:sz w:val="24"/>
          <w:szCs w:val="24"/>
        </w:rPr>
        <w:t xml:space="preserve"> 2004. Alaska Department of Fish and Game summary of the 200</w:t>
      </w:r>
      <w:r w:rsidR="009D45F7" w:rsidRPr="00B00C77">
        <w:rPr>
          <w:sz w:val="24"/>
          <w:szCs w:val="24"/>
        </w:rPr>
        <w:t>2</w:t>
      </w:r>
      <w:r w:rsidRPr="00B00C77">
        <w:rPr>
          <w:sz w:val="24"/>
          <w:szCs w:val="24"/>
        </w:rPr>
        <w:t xml:space="preserve"> mandatory shellfish observer program database for the </w:t>
      </w:r>
      <w:r w:rsidR="009D45F7" w:rsidRPr="00B00C77">
        <w:rPr>
          <w:sz w:val="24"/>
          <w:szCs w:val="24"/>
        </w:rPr>
        <w:t>general and CDQ</w:t>
      </w:r>
      <w:r w:rsidRPr="00B00C77">
        <w:rPr>
          <w:sz w:val="24"/>
          <w:szCs w:val="24"/>
        </w:rPr>
        <w:t xml:space="preserve"> crab fisheries. Alaska Department of Fish and Game, </w:t>
      </w:r>
      <w:r w:rsidR="009D45F7" w:rsidRPr="00B00C77">
        <w:rPr>
          <w:sz w:val="24"/>
          <w:szCs w:val="24"/>
        </w:rPr>
        <w:t>Regional Information Report</w:t>
      </w:r>
      <w:r w:rsidRPr="00B00C77">
        <w:rPr>
          <w:sz w:val="24"/>
          <w:szCs w:val="24"/>
        </w:rPr>
        <w:t xml:space="preserve"> No. </w:t>
      </w:r>
      <w:r w:rsidR="009D45F7" w:rsidRPr="00B00C77">
        <w:rPr>
          <w:sz w:val="24"/>
          <w:szCs w:val="24"/>
        </w:rPr>
        <w:t>4K04-27</w:t>
      </w:r>
      <w:r w:rsidRPr="00B00C77">
        <w:rPr>
          <w:sz w:val="24"/>
          <w:szCs w:val="24"/>
        </w:rPr>
        <w:t xml:space="preserve">, </w:t>
      </w:r>
      <w:r w:rsidR="009D45F7" w:rsidRPr="00B00C77">
        <w:rPr>
          <w:sz w:val="24"/>
          <w:szCs w:val="24"/>
        </w:rPr>
        <w:t>Kodiak</w:t>
      </w:r>
      <w:r w:rsidRPr="00B00C77">
        <w:rPr>
          <w:sz w:val="24"/>
          <w:szCs w:val="24"/>
        </w:rPr>
        <w:t>.</w:t>
      </w:r>
    </w:p>
    <w:p w:rsidR="00D860B4" w:rsidRPr="00B00C77" w:rsidRDefault="00D860B4" w:rsidP="008B78E9">
      <w:pPr>
        <w:pStyle w:val="Lit-Cited"/>
        <w:spacing w:after="0"/>
        <w:ind w:left="720" w:hanging="720"/>
        <w:rPr>
          <w:sz w:val="24"/>
          <w:szCs w:val="24"/>
          <w:highlight w:val="yellow"/>
        </w:rPr>
      </w:pPr>
    </w:p>
    <w:p w:rsidR="00B00C77" w:rsidRPr="00227644" w:rsidRDefault="00B00C77" w:rsidP="00B00C77">
      <w:pPr>
        <w:pStyle w:val="Heading2"/>
        <w:spacing w:before="0" w:after="0"/>
        <w:ind w:left="720" w:hanging="720"/>
        <w:jc w:val="both"/>
        <w:rPr>
          <w:rFonts w:ascii="Times New Roman" w:hAnsi="Times New Roman"/>
          <w:b w:val="0"/>
          <w:sz w:val="24"/>
          <w:szCs w:val="24"/>
        </w:rPr>
      </w:pPr>
      <w:proofErr w:type="gramStart"/>
      <w:r w:rsidRPr="00B00C77">
        <w:rPr>
          <w:rFonts w:ascii="Times New Roman" w:hAnsi="Times New Roman"/>
          <w:b w:val="0"/>
          <w:sz w:val="24"/>
          <w:szCs w:val="24"/>
        </w:rPr>
        <w:t>Barnard, D. R.</w:t>
      </w:r>
      <w:r w:rsidR="005F7703">
        <w:rPr>
          <w:rFonts w:ascii="Times New Roman" w:hAnsi="Times New Roman"/>
          <w:b w:val="0"/>
          <w:sz w:val="24"/>
          <w:szCs w:val="24"/>
        </w:rPr>
        <w:t>,</w:t>
      </w:r>
      <w:r w:rsidRPr="00B00C77">
        <w:rPr>
          <w:rFonts w:ascii="Times New Roman" w:hAnsi="Times New Roman"/>
          <w:b w:val="0"/>
          <w:sz w:val="24"/>
          <w:szCs w:val="24"/>
        </w:rPr>
        <w:t xml:space="preserve"> and R. Burt.</w:t>
      </w:r>
      <w:proofErr w:type="gramEnd"/>
      <w:r w:rsidRPr="00B00C77">
        <w:rPr>
          <w:rFonts w:ascii="Times New Roman" w:hAnsi="Times New Roman"/>
          <w:b w:val="0"/>
          <w:sz w:val="24"/>
          <w:szCs w:val="24"/>
        </w:rPr>
        <w:t xml:space="preserve"> 2006. Alaska Department of Fish and Game summary of the </w:t>
      </w:r>
      <w:proofErr w:type="gramStart"/>
      <w:r w:rsidRPr="00227644">
        <w:rPr>
          <w:rFonts w:ascii="Times New Roman" w:hAnsi="Times New Roman"/>
          <w:b w:val="0"/>
          <w:sz w:val="24"/>
          <w:szCs w:val="24"/>
        </w:rPr>
        <w:t>2005  mandatory</w:t>
      </w:r>
      <w:proofErr w:type="gramEnd"/>
      <w:r w:rsidRPr="00227644">
        <w:rPr>
          <w:rFonts w:ascii="Times New Roman" w:hAnsi="Times New Roman"/>
          <w:b w:val="0"/>
          <w:sz w:val="24"/>
          <w:szCs w:val="24"/>
        </w:rPr>
        <w:t xml:space="preserve"> shellfish observer program database for the non-rationalized crab fisheries. </w:t>
      </w:r>
      <w:proofErr w:type="gramStart"/>
      <w:r w:rsidRPr="00227644">
        <w:rPr>
          <w:rFonts w:ascii="Times New Roman" w:hAnsi="Times New Roman"/>
          <w:b w:val="0"/>
          <w:sz w:val="24"/>
          <w:szCs w:val="24"/>
        </w:rPr>
        <w:t>Alaska Department of Fish and Game, Fishery Data Series No. 06-36, Anchorage.</w:t>
      </w:r>
      <w:proofErr w:type="gramEnd"/>
    </w:p>
    <w:p w:rsidR="00B00C77" w:rsidRPr="00227644" w:rsidRDefault="00B00C77" w:rsidP="008B78E9">
      <w:pPr>
        <w:pStyle w:val="Lit-Cited"/>
        <w:spacing w:after="0"/>
        <w:ind w:left="720" w:hanging="720"/>
        <w:rPr>
          <w:sz w:val="24"/>
          <w:szCs w:val="24"/>
          <w:highlight w:val="yellow"/>
        </w:rPr>
      </w:pPr>
    </w:p>
    <w:p w:rsidR="00227644" w:rsidRPr="00227644" w:rsidRDefault="00227644" w:rsidP="00227644">
      <w:pPr>
        <w:pStyle w:val="Heading2"/>
        <w:spacing w:before="0" w:after="0"/>
        <w:ind w:left="720" w:hanging="720"/>
        <w:jc w:val="both"/>
        <w:rPr>
          <w:rFonts w:ascii="Times New Roman" w:hAnsi="Times New Roman"/>
          <w:b w:val="0"/>
          <w:sz w:val="24"/>
          <w:szCs w:val="24"/>
        </w:rPr>
      </w:pPr>
      <w:proofErr w:type="gramStart"/>
      <w:r w:rsidRPr="00227644">
        <w:rPr>
          <w:rFonts w:ascii="Times New Roman" w:hAnsi="Times New Roman"/>
          <w:b w:val="0"/>
          <w:sz w:val="24"/>
          <w:szCs w:val="24"/>
        </w:rPr>
        <w:t>Blau, S. F., and D. Pengilly.</w:t>
      </w:r>
      <w:proofErr w:type="gramEnd"/>
      <w:r w:rsidRPr="00227644">
        <w:rPr>
          <w:rFonts w:ascii="Times New Roman" w:hAnsi="Times New Roman"/>
          <w:b w:val="0"/>
          <w:sz w:val="24"/>
          <w:szCs w:val="24"/>
        </w:rPr>
        <w:t xml:space="preserve">  1994.  Findings from the 1991 Aleutian Islands golden king crab survey in the </w:t>
      </w:r>
      <w:smartTag w:uri="urn:schemas-microsoft-com:office:smarttags" w:element="PlaceName">
        <w:r w:rsidRPr="00227644">
          <w:rPr>
            <w:rFonts w:ascii="Times New Roman" w:hAnsi="Times New Roman"/>
            <w:b w:val="0"/>
            <w:sz w:val="24"/>
            <w:szCs w:val="24"/>
          </w:rPr>
          <w:t>Dutch</w:t>
        </w:r>
      </w:smartTag>
      <w:r w:rsidRPr="00227644">
        <w:rPr>
          <w:rFonts w:ascii="Times New Roman" w:hAnsi="Times New Roman"/>
          <w:b w:val="0"/>
          <w:sz w:val="24"/>
          <w:szCs w:val="24"/>
        </w:rPr>
        <w:t xml:space="preserve"> </w:t>
      </w:r>
      <w:smartTag w:uri="urn:schemas-microsoft-com:office:smarttags" w:element="PlaceType">
        <w:r w:rsidRPr="00227644">
          <w:rPr>
            <w:rFonts w:ascii="Times New Roman" w:hAnsi="Times New Roman"/>
            <w:b w:val="0"/>
            <w:sz w:val="24"/>
            <w:szCs w:val="24"/>
          </w:rPr>
          <w:t>Harbor</w:t>
        </w:r>
      </w:smartTag>
      <w:r w:rsidRPr="00227644">
        <w:rPr>
          <w:rFonts w:ascii="Times New Roman" w:hAnsi="Times New Roman"/>
          <w:b w:val="0"/>
          <w:sz w:val="24"/>
          <w:szCs w:val="24"/>
        </w:rPr>
        <w:t xml:space="preserve"> and </w:t>
      </w:r>
      <w:smartTag w:uri="urn:schemas-microsoft-com:office:smarttags" w:element="place">
        <w:r w:rsidRPr="00227644">
          <w:rPr>
            <w:rFonts w:ascii="Times New Roman" w:hAnsi="Times New Roman"/>
            <w:b w:val="0"/>
            <w:sz w:val="24"/>
            <w:szCs w:val="24"/>
          </w:rPr>
          <w:t>Adak</w:t>
        </w:r>
      </w:smartTag>
      <w:r w:rsidRPr="00227644">
        <w:rPr>
          <w:rFonts w:ascii="Times New Roman" w:hAnsi="Times New Roman"/>
          <w:b w:val="0"/>
          <w:sz w:val="24"/>
          <w:szCs w:val="24"/>
        </w:rPr>
        <w:t xml:space="preserve"> management areas including analysis of recovered tagged crabs.  </w:t>
      </w:r>
      <w:proofErr w:type="gramStart"/>
      <w:r w:rsidRPr="00227644">
        <w:rPr>
          <w:rFonts w:ascii="Times New Roman" w:hAnsi="Times New Roman"/>
          <w:b w:val="0"/>
          <w:sz w:val="24"/>
          <w:szCs w:val="24"/>
        </w:rPr>
        <w:t>Alaska Department of Fish and Game, Commercial Fisheries Management and Development Division, Regional Information Report 4K94-35, Kodiak.</w:t>
      </w:r>
      <w:proofErr w:type="gramEnd"/>
    </w:p>
    <w:p w:rsidR="00227644" w:rsidRPr="00227644" w:rsidRDefault="00227644" w:rsidP="00227644">
      <w:pPr>
        <w:ind w:left="720" w:hanging="720"/>
      </w:pPr>
    </w:p>
    <w:p w:rsidR="00227644" w:rsidRPr="00227644" w:rsidRDefault="00227644" w:rsidP="00227644">
      <w:pPr>
        <w:pStyle w:val="Heading2"/>
        <w:spacing w:before="0" w:after="0"/>
        <w:ind w:left="720" w:hanging="720"/>
        <w:jc w:val="both"/>
        <w:rPr>
          <w:rFonts w:ascii="Times New Roman" w:hAnsi="Times New Roman"/>
          <w:b w:val="0"/>
          <w:sz w:val="24"/>
          <w:szCs w:val="24"/>
        </w:rPr>
      </w:pPr>
      <w:r w:rsidRPr="00227644">
        <w:rPr>
          <w:rFonts w:ascii="Times New Roman" w:hAnsi="Times New Roman"/>
          <w:b w:val="0"/>
          <w:sz w:val="24"/>
          <w:szCs w:val="24"/>
        </w:rPr>
        <w:t xml:space="preserve">Blau, S. F., L. J. Watson, and </w:t>
      </w:r>
      <w:smartTag w:uri="urn:schemas-microsoft-com:office:smarttags" w:element="place">
        <w:r w:rsidRPr="00227644">
          <w:rPr>
            <w:rFonts w:ascii="Times New Roman" w:hAnsi="Times New Roman"/>
            <w:b w:val="0"/>
            <w:sz w:val="24"/>
            <w:szCs w:val="24"/>
          </w:rPr>
          <w:t>I.</w:t>
        </w:r>
      </w:smartTag>
      <w:r w:rsidRPr="00227644">
        <w:rPr>
          <w:rFonts w:ascii="Times New Roman" w:hAnsi="Times New Roman"/>
          <w:b w:val="0"/>
          <w:sz w:val="24"/>
          <w:szCs w:val="24"/>
        </w:rPr>
        <w:t xml:space="preserve"> Vining.  1998.  The 1997 </w:t>
      </w:r>
      <w:smartTag w:uri="urn:schemas-microsoft-com:office:smarttags" w:element="place">
        <w:r w:rsidRPr="00227644">
          <w:rPr>
            <w:rFonts w:ascii="Times New Roman" w:hAnsi="Times New Roman"/>
            <w:b w:val="0"/>
            <w:sz w:val="24"/>
            <w:szCs w:val="24"/>
          </w:rPr>
          <w:t>Aleutian Islands</w:t>
        </w:r>
      </w:smartTag>
      <w:r w:rsidRPr="00227644">
        <w:rPr>
          <w:rFonts w:ascii="Times New Roman" w:hAnsi="Times New Roman"/>
          <w:b w:val="0"/>
          <w:sz w:val="24"/>
          <w:szCs w:val="24"/>
        </w:rPr>
        <w:t xml:space="preserve"> golden king crab survey.  </w:t>
      </w:r>
      <w:proofErr w:type="gramStart"/>
      <w:r w:rsidRPr="00227644">
        <w:rPr>
          <w:rFonts w:ascii="Times New Roman" w:hAnsi="Times New Roman"/>
          <w:b w:val="0"/>
          <w:sz w:val="24"/>
          <w:szCs w:val="24"/>
        </w:rPr>
        <w:t>Alaska Department of Fish and Game, Commercial Fisheries Management and Development Division, Regional Information Report 4K98-30, Kodiak.</w:t>
      </w:r>
      <w:proofErr w:type="gramEnd"/>
    </w:p>
    <w:p w:rsidR="00227644" w:rsidRPr="00227644" w:rsidRDefault="00227644" w:rsidP="00227644"/>
    <w:p w:rsidR="00D15A3A" w:rsidRPr="00835750" w:rsidRDefault="00D15A3A" w:rsidP="008B78E9">
      <w:pPr>
        <w:pStyle w:val="Heading2"/>
        <w:spacing w:before="0" w:after="0"/>
        <w:ind w:left="720" w:hanging="720"/>
        <w:jc w:val="both"/>
        <w:rPr>
          <w:rFonts w:ascii="Times New Roman" w:hAnsi="Times New Roman"/>
          <w:b w:val="0"/>
          <w:sz w:val="24"/>
          <w:szCs w:val="24"/>
        </w:rPr>
      </w:pPr>
      <w:proofErr w:type="gramStart"/>
      <w:r w:rsidRPr="00835750">
        <w:rPr>
          <w:rFonts w:ascii="Times New Roman" w:hAnsi="Times New Roman"/>
          <w:b w:val="0"/>
          <w:sz w:val="24"/>
          <w:szCs w:val="24"/>
        </w:rPr>
        <w:lastRenderedPageBreak/>
        <w:t>Burt, R.</w:t>
      </w:r>
      <w:r w:rsidR="005B3CE2">
        <w:rPr>
          <w:rFonts w:ascii="Times New Roman" w:hAnsi="Times New Roman"/>
          <w:b w:val="0"/>
          <w:sz w:val="24"/>
          <w:szCs w:val="24"/>
        </w:rPr>
        <w:t>,</w:t>
      </w:r>
      <w:r w:rsidRPr="00835750">
        <w:rPr>
          <w:rFonts w:ascii="Times New Roman" w:hAnsi="Times New Roman"/>
          <w:b w:val="0"/>
          <w:sz w:val="24"/>
          <w:szCs w:val="24"/>
        </w:rPr>
        <w:t xml:space="preserve"> and D. R. Barnard.</w:t>
      </w:r>
      <w:proofErr w:type="gramEnd"/>
      <w:r w:rsidRPr="00835750">
        <w:rPr>
          <w:rFonts w:ascii="Times New Roman" w:hAnsi="Times New Roman"/>
          <w:b w:val="0"/>
          <w:sz w:val="24"/>
          <w:szCs w:val="24"/>
        </w:rPr>
        <w:t xml:space="preserve"> 2005. Alaska Department of Fish and Game summary of the 2003 mandatory shellfish observer program database for the general and CDQ fisheries. </w:t>
      </w:r>
      <w:proofErr w:type="gramStart"/>
      <w:r w:rsidRPr="00835750">
        <w:rPr>
          <w:rFonts w:ascii="Times New Roman" w:hAnsi="Times New Roman"/>
          <w:b w:val="0"/>
          <w:sz w:val="24"/>
          <w:szCs w:val="24"/>
        </w:rPr>
        <w:t>Alaska Department of Fish and Game, Fishery Data Series No. 05-05, Anchorage.</w:t>
      </w:r>
      <w:proofErr w:type="gramEnd"/>
    </w:p>
    <w:p w:rsidR="00C14F66" w:rsidRPr="00641FAA" w:rsidRDefault="00C14F66" w:rsidP="00C14F66">
      <w:pPr>
        <w:ind w:left="720" w:hanging="720"/>
        <w:jc w:val="both"/>
        <w:rPr>
          <w:szCs w:val="22"/>
        </w:rPr>
      </w:pPr>
    </w:p>
    <w:p w:rsidR="00C14F66" w:rsidRDefault="00C14F66" w:rsidP="00C14F66">
      <w:pPr>
        <w:ind w:left="720" w:hanging="720"/>
        <w:jc w:val="both"/>
        <w:rPr>
          <w:szCs w:val="22"/>
        </w:rPr>
      </w:pPr>
      <w:proofErr w:type="gramStart"/>
      <w:r w:rsidRPr="00641FAA">
        <w:rPr>
          <w:szCs w:val="22"/>
        </w:rPr>
        <w:t>Burt, R., and D. R. Bar</w:t>
      </w:r>
      <w:r>
        <w:rPr>
          <w:szCs w:val="22"/>
        </w:rPr>
        <w:t>n</w:t>
      </w:r>
      <w:r w:rsidRPr="00641FAA">
        <w:rPr>
          <w:szCs w:val="22"/>
        </w:rPr>
        <w:t>ard.</w:t>
      </w:r>
      <w:proofErr w:type="gramEnd"/>
      <w:r w:rsidRPr="00641FAA">
        <w:rPr>
          <w:szCs w:val="22"/>
        </w:rPr>
        <w:t xml:space="preserve">  2</w:t>
      </w:r>
      <w:r>
        <w:rPr>
          <w:szCs w:val="22"/>
        </w:rPr>
        <w:t>006</w:t>
      </w:r>
      <w:r w:rsidRPr="00641FAA">
        <w:rPr>
          <w:szCs w:val="22"/>
        </w:rPr>
        <w:t>.  Alaska Department of Fish and Game summary of the 200</w:t>
      </w:r>
      <w:r>
        <w:rPr>
          <w:szCs w:val="22"/>
        </w:rPr>
        <w:t>4</w:t>
      </w:r>
      <w:r w:rsidRPr="00641FAA">
        <w:rPr>
          <w:szCs w:val="22"/>
        </w:rPr>
        <w:t xml:space="preserve"> mandatory shellfish observer program database for the general and CDQ fisheries. </w:t>
      </w:r>
      <w:proofErr w:type="gramStart"/>
      <w:r w:rsidRPr="00641FAA">
        <w:rPr>
          <w:szCs w:val="22"/>
        </w:rPr>
        <w:t>Alaska Department of Fish and Game, Fishery Data Series No. 0</w:t>
      </w:r>
      <w:r>
        <w:rPr>
          <w:szCs w:val="22"/>
        </w:rPr>
        <w:t>6</w:t>
      </w:r>
      <w:r w:rsidRPr="00641FAA">
        <w:rPr>
          <w:szCs w:val="22"/>
        </w:rPr>
        <w:t>-0</w:t>
      </w:r>
      <w:r>
        <w:rPr>
          <w:szCs w:val="22"/>
        </w:rPr>
        <w:t>3</w:t>
      </w:r>
      <w:r w:rsidRPr="00641FAA">
        <w:rPr>
          <w:szCs w:val="22"/>
        </w:rPr>
        <w:t>, Anchorage.</w:t>
      </w:r>
      <w:proofErr w:type="gramEnd"/>
    </w:p>
    <w:p w:rsidR="0016488A" w:rsidRPr="00DB58AF" w:rsidRDefault="0016488A" w:rsidP="008B78E9">
      <w:pPr>
        <w:ind w:left="720" w:hanging="720"/>
        <w:jc w:val="both"/>
        <w:rPr>
          <w:highlight w:val="yellow"/>
        </w:rPr>
      </w:pPr>
    </w:p>
    <w:p w:rsidR="00700F7D" w:rsidRPr="000F70A5" w:rsidRDefault="00700F7D" w:rsidP="00700F7D">
      <w:pPr>
        <w:ind w:left="720" w:hanging="720"/>
        <w:jc w:val="both"/>
        <w:rPr>
          <w:szCs w:val="22"/>
        </w:rPr>
      </w:pPr>
      <w:proofErr w:type="gramStart"/>
      <w:r>
        <w:t>Byrne, L. C., and D. Pengilly.</w:t>
      </w:r>
      <w:proofErr w:type="gramEnd"/>
      <w:r>
        <w:t xml:space="preserve"> 1998. Evaluation of CPUE estimates for the 1995 crab fisheries of the Bering Sea and Aleutian Islands based on observer data.  </w:t>
      </w:r>
      <w:proofErr w:type="gramStart"/>
      <w:r>
        <w:t xml:space="preserve">Pages 61–74 </w:t>
      </w:r>
      <w:r w:rsidRPr="00830DCD">
        <w:rPr>
          <w:i/>
        </w:rPr>
        <w:t>in</w:t>
      </w:r>
      <w:r>
        <w:t xml:space="preserve">: Fishery stock assessment models, edited by F. Funk, T.J. Quinn II, J. Heifetz, J.N. </w:t>
      </w:r>
      <w:proofErr w:type="spellStart"/>
      <w:r>
        <w:t>Iannelli</w:t>
      </w:r>
      <w:proofErr w:type="spellEnd"/>
      <w:r>
        <w:t xml:space="preserve">, J.E. Powers, J.F. </w:t>
      </w:r>
      <w:proofErr w:type="spellStart"/>
      <w:r>
        <w:t>Schweigert</w:t>
      </w:r>
      <w:proofErr w:type="spellEnd"/>
      <w:r>
        <w:t>, P.J. Sullivan, and C.-I Zhang, Alaska Sea Grant College Program Report No.</w:t>
      </w:r>
      <w:proofErr w:type="gramEnd"/>
      <w:r>
        <w:t xml:space="preserve"> </w:t>
      </w:r>
      <w:proofErr w:type="gramStart"/>
      <w:r>
        <w:t>AK-SG-98-01, University of Alaska Fairbanks, 1998.</w:t>
      </w:r>
      <w:proofErr w:type="gramEnd"/>
      <w:r>
        <w:t xml:space="preserve"> </w:t>
      </w:r>
    </w:p>
    <w:p w:rsidR="00700F7D" w:rsidRDefault="00700F7D" w:rsidP="00700F7D">
      <w:pPr>
        <w:ind w:left="720" w:hanging="720"/>
        <w:jc w:val="both"/>
      </w:pPr>
    </w:p>
    <w:p w:rsidR="00AC27BB" w:rsidRPr="00DB58AF" w:rsidRDefault="00AC27BB" w:rsidP="00AC27BB">
      <w:pPr>
        <w:ind w:left="720" w:hanging="720"/>
        <w:jc w:val="both"/>
      </w:pPr>
      <w:proofErr w:type="gramStart"/>
      <w:r>
        <w:t>Fitch H.</w:t>
      </w:r>
      <w:r w:rsidRPr="00227644">
        <w:t xml:space="preserve">, </w:t>
      </w:r>
      <w:r>
        <w:t xml:space="preserve">M. </w:t>
      </w:r>
      <w:proofErr w:type="spellStart"/>
      <w:r>
        <w:t>Deiman</w:t>
      </w:r>
      <w:proofErr w:type="spellEnd"/>
      <w:r>
        <w:t xml:space="preserve">, </w:t>
      </w:r>
      <w:r w:rsidRPr="00227644">
        <w:t xml:space="preserve">J. </w:t>
      </w:r>
      <w:proofErr w:type="spellStart"/>
      <w:r w:rsidRPr="00227644">
        <w:t>Shaisnikoff</w:t>
      </w:r>
      <w:proofErr w:type="spellEnd"/>
      <w:r w:rsidRPr="00227644">
        <w:t>,</w:t>
      </w:r>
      <w:r>
        <w:t xml:space="preserve"> and </w:t>
      </w:r>
      <w:r w:rsidRPr="00227644">
        <w:t>K. Herring.</w:t>
      </w:r>
      <w:proofErr w:type="gramEnd"/>
      <w:r>
        <w:t xml:space="preserve"> 2012.</w:t>
      </w:r>
      <w:r w:rsidRPr="00227644">
        <w:t xml:space="preserve"> Annual management report for the commercial shellfish fisheries of the</w:t>
      </w:r>
      <w:r w:rsidRPr="00DB58AF">
        <w:t xml:space="preserve"> Bering Sea, 20</w:t>
      </w:r>
      <w:r>
        <w:t>10</w:t>
      </w:r>
      <w:r w:rsidRPr="00DB58AF">
        <w:t>/</w:t>
      </w:r>
      <w:r>
        <w:t>11</w:t>
      </w:r>
      <w:r w:rsidRPr="00DB58AF">
        <w:t xml:space="preserve">.  </w:t>
      </w:r>
      <w:proofErr w:type="gramStart"/>
      <w:r w:rsidRPr="00DB58AF">
        <w:t>Pages 7</w:t>
      </w:r>
      <w:r>
        <w:t>5</w:t>
      </w:r>
      <w:r w:rsidRPr="00DB58AF">
        <w:t>–1</w:t>
      </w:r>
      <w:r>
        <w:t>76</w:t>
      </w:r>
      <w:r w:rsidRPr="00DB58AF">
        <w:t xml:space="preserve"> </w:t>
      </w:r>
      <w:r w:rsidRPr="00DB58AF">
        <w:rPr>
          <w:i/>
        </w:rPr>
        <w:t>in</w:t>
      </w:r>
      <w:r w:rsidRPr="00DB58AF">
        <w:t xml:space="preserve"> </w:t>
      </w:r>
      <w:r>
        <w:t>Fitch, H</w:t>
      </w:r>
      <w:r w:rsidRPr="00DB58AF">
        <w:t xml:space="preserve">., M. Schwenzfeier, </w:t>
      </w:r>
      <w:r>
        <w:t>B. Baechler,</w:t>
      </w:r>
      <w:r w:rsidRPr="00DB58AF">
        <w:t xml:space="preserve"> </w:t>
      </w:r>
      <w:r>
        <w:t xml:space="preserve">T. Hartill, </w:t>
      </w:r>
      <w:r w:rsidRPr="00DB58AF">
        <w:t xml:space="preserve">M. Salmon, </w:t>
      </w:r>
      <w:r>
        <w:t xml:space="preserve">M. </w:t>
      </w:r>
      <w:proofErr w:type="spellStart"/>
      <w:r>
        <w:t>Deiman</w:t>
      </w:r>
      <w:proofErr w:type="spellEnd"/>
      <w:r>
        <w:t xml:space="preserve">, E. Evans, E. Henry, L. Wald, </w:t>
      </w:r>
      <w:r w:rsidRPr="00DB58AF">
        <w:t>J. Shaishnikoff,</w:t>
      </w:r>
      <w:r>
        <w:t xml:space="preserve"> </w:t>
      </w:r>
      <w:r w:rsidRPr="00DB58AF">
        <w:t xml:space="preserve">K. Herring, </w:t>
      </w:r>
      <w:r>
        <w:t xml:space="preserve">and </w:t>
      </w:r>
      <w:r w:rsidRPr="00227644">
        <w:t>K. Herring</w:t>
      </w:r>
      <w:r w:rsidRPr="00DB58AF">
        <w:t>.</w:t>
      </w:r>
      <w:proofErr w:type="gramEnd"/>
      <w:r w:rsidRPr="00DB58AF">
        <w:t xml:space="preserve">  20</w:t>
      </w:r>
      <w:r>
        <w:t>12</w:t>
      </w:r>
      <w:r w:rsidRPr="00DB58AF">
        <w:t>.  Annual management report for the commercial and subsistence shellfish fisheries of the Aleutian Islands, Bering Sea and the Westward Region’s Shellfish Observer Program, 20</w:t>
      </w:r>
      <w:r>
        <w:t>10</w:t>
      </w:r>
      <w:r w:rsidRPr="00DB58AF">
        <w:t>/</w:t>
      </w:r>
      <w:r>
        <w:t>11</w:t>
      </w:r>
      <w:r w:rsidRPr="00DB58AF">
        <w:t xml:space="preserve">.  Alaska Department of Fish and Game, Fishery Management Report No. </w:t>
      </w:r>
      <w:r>
        <w:t>12</w:t>
      </w:r>
      <w:r w:rsidRPr="00DB58AF">
        <w:t>-</w:t>
      </w:r>
      <w:r>
        <w:t>22</w:t>
      </w:r>
      <w:r w:rsidRPr="00DB58AF">
        <w:t>, Anchorage.</w:t>
      </w:r>
    </w:p>
    <w:p w:rsidR="00AC27BB" w:rsidRDefault="00AC27BB" w:rsidP="004B2054">
      <w:pPr>
        <w:ind w:left="720" w:hanging="720"/>
        <w:jc w:val="both"/>
      </w:pPr>
    </w:p>
    <w:p w:rsidR="004B2054" w:rsidRDefault="004B2054" w:rsidP="004B2054">
      <w:pPr>
        <w:ind w:left="720" w:hanging="720"/>
        <w:jc w:val="both"/>
      </w:pPr>
      <w:proofErr w:type="gramStart"/>
      <w:r w:rsidRPr="00C518DD">
        <w:t xml:space="preserve">Foy, R. J., </w:t>
      </w:r>
      <w:r w:rsidR="00086735">
        <w:t>201</w:t>
      </w:r>
      <w:r w:rsidR="00D447AA">
        <w:t>2</w:t>
      </w:r>
      <w:r>
        <w:t>a</w:t>
      </w:r>
      <w:r w:rsidRPr="00C518DD">
        <w:t>.</w:t>
      </w:r>
      <w:proofErr w:type="gramEnd"/>
      <w:r w:rsidRPr="00C518DD">
        <w:t xml:space="preserve">  </w:t>
      </w:r>
      <w:r w:rsidRPr="00C518DD">
        <w:rPr>
          <w:color w:val="000000"/>
        </w:rPr>
        <w:t>20</w:t>
      </w:r>
      <w:r w:rsidR="00086735">
        <w:rPr>
          <w:color w:val="000000"/>
        </w:rPr>
        <w:t>1</w:t>
      </w:r>
      <w:r w:rsidR="00D447AA">
        <w:rPr>
          <w:color w:val="000000"/>
        </w:rPr>
        <w:t>2</w:t>
      </w:r>
      <w:r w:rsidRPr="00C518DD">
        <w:rPr>
          <w:color w:val="000000"/>
        </w:rPr>
        <w:t xml:space="preserve"> Stock Assessment and Fishery Evaluation Repo</w:t>
      </w:r>
      <w:r>
        <w:rPr>
          <w:color w:val="000000"/>
        </w:rPr>
        <w:t>rt for the Pribilof Islands Blue</w:t>
      </w:r>
      <w:r w:rsidRPr="00C518DD">
        <w:rPr>
          <w:color w:val="000000"/>
        </w:rPr>
        <w:t xml:space="preserve"> King Crab Fisheries of the Bering Sea and Aleutian Islands Regions</w:t>
      </w:r>
      <w:r w:rsidRPr="00C518DD">
        <w:t xml:space="preserve">.  </w:t>
      </w:r>
      <w:proofErr w:type="gramStart"/>
      <w:r w:rsidR="000533A6" w:rsidRPr="000533A6">
        <w:rPr>
          <w:i/>
        </w:rPr>
        <w:t>in</w:t>
      </w:r>
      <w:proofErr w:type="gramEnd"/>
      <w:r>
        <w:t>: Stock Assessment and fishery Evaluation report for the King and Tanner Crab Fisheries of the Bering Sea and Aleutian Islands Regions: 201</w:t>
      </w:r>
      <w:r w:rsidR="00D447AA">
        <w:t>2</w:t>
      </w:r>
      <w:r>
        <w:t xml:space="preserve"> Crab SAFE.  </w:t>
      </w:r>
      <w:r w:rsidR="00086735">
        <w:t>NPFMC, Anchorage, September 201</w:t>
      </w:r>
      <w:r w:rsidR="00D447AA">
        <w:t>2</w:t>
      </w:r>
      <w:r>
        <w:t>.</w:t>
      </w:r>
    </w:p>
    <w:p w:rsidR="004B2054" w:rsidRDefault="004B2054" w:rsidP="004B2054">
      <w:pPr>
        <w:ind w:left="720" w:hanging="720"/>
        <w:jc w:val="both"/>
      </w:pPr>
    </w:p>
    <w:p w:rsidR="00F77A4F" w:rsidRDefault="00A47A7B" w:rsidP="004B2054">
      <w:pPr>
        <w:ind w:left="720" w:hanging="720"/>
        <w:jc w:val="both"/>
      </w:pPr>
      <w:proofErr w:type="gramStart"/>
      <w:r w:rsidRPr="00C518DD">
        <w:t xml:space="preserve">Foy, </w:t>
      </w:r>
      <w:r w:rsidR="0016488A" w:rsidRPr="00C518DD">
        <w:t xml:space="preserve">R. J., </w:t>
      </w:r>
      <w:r w:rsidR="004B2054">
        <w:t>201</w:t>
      </w:r>
      <w:r w:rsidR="00D447AA">
        <w:t>2</w:t>
      </w:r>
      <w:r w:rsidR="004B2054">
        <w:t>b</w:t>
      </w:r>
      <w:r w:rsidR="0016488A" w:rsidRPr="00C518DD">
        <w:t>.</w:t>
      </w:r>
      <w:proofErr w:type="gramEnd"/>
      <w:r w:rsidR="0016488A" w:rsidRPr="00C518DD">
        <w:t xml:space="preserve">  </w:t>
      </w:r>
      <w:r w:rsidR="0016488A" w:rsidRPr="00C518DD">
        <w:rPr>
          <w:color w:val="000000"/>
        </w:rPr>
        <w:t>20</w:t>
      </w:r>
      <w:r w:rsidR="004B2054">
        <w:rPr>
          <w:color w:val="000000"/>
        </w:rPr>
        <w:t>1</w:t>
      </w:r>
      <w:r w:rsidR="00D447AA">
        <w:rPr>
          <w:color w:val="000000"/>
        </w:rPr>
        <w:t>2</w:t>
      </w:r>
      <w:r w:rsidR="0016488A" w:rsidRPr="00C518DD">
        <w:rPr>
          <w:color w:val="000000"/>
        </w:rPr>
        <w:t xml:space="preserve"> Stock Assessment and Fishery Evaluation Repo</w:t>
      </w:r>
      <w:r w:rsidR="004B2054">
        <w:rPr>
          <w:color w:val="000000"/>
        </w:rPr>
        <w:t>rt for the Pribilof Islands Red</w:t>
      </w:r>
      <w:r w:rsidR="0016488A" w:rsidRPr="00C518DD">
        <w:rPr>
          <w:color w:val="000000"/>
        </w:rPr>
        <w:t xml:space="preserve"> King Crab Fisheries of the Bering Sea and Aleutian Islands Regions</w:t>
      </w:r>
      <w:r w:rsidR="0016488A" w:rsidRPr="00C518DD">
        <w:t xml:space="preserve">.  </w:t>
      </w:r>
      <w:proofErr w:type="gramStart"/>
      <w:r w:rsidR="000533A6" w:rsidRPr="000533A6">
        <w:rPr>
          <w:i/>
        </w:rPr>
        <w:t>in</w:t>
      </w:r>
      <w:proofErr w:type="gramEnd"/>
      <w:r w:rsidR="004B2054">
        <w:t>: Stock Assessment and fishery Evaluation report for the King and Tanner Crab Fisheries of the Bering Sea and Aleutian Islands Region</w:t>
      </w:r>
      <w:r w:rsidR="00086735">
        <w:t>s: 201</w:t>
      </w:r>
      <w:r w:rsidR="00D447AA">
        <w:t xml:space="preserve">2 </w:t>
      </w:r>
      <w:r w:rsidR="004B2054">
        <w:t xml:space="preserve">Crab SAFE.  </w:t>
      </w:r>
      <w:r w:rsidR="00086735">
        <w:t>NPFMC, Anchorage, September 201</w:t>
      </w:r>
      <w:r w:rsidR="00D447AA">
        <w:t>2</w:t>
      </w:r>
      <w:r w:rsidR="004B2054">
        <w:t>.</w:t>
      </w:r>
    </w:p>
    <w:p w:rsidR="00F77A4F" w:rsidRDefault="00F77A4F" w:rsidP="00F77A4F">
      <w:pPr>
        <w:ind w:left="720"/>
        <w:jc w:val="both"/>
      </w:pPr>
    </w:p>
    <w:p w:rsidR="00FD5877" w:rsidRDefault="00A36F6E" w:rsidP="00FD5877">
      <w:pPr>
        <w:ind w:left="720" w:hanging="720"/>
        <w:jc w:val="both"/>
        <w:rPr>
          <w:szCs w:val="22"/>
        </w:rPr>
      </w:pPr>
      <w:r>
        <w:rPr>
          <w:szCs w:val="22"/>
        </w:rPr>
        <w:t>Gaeuman, W. B. 2010. Summary of the</w:t>
      </w:r>
      <w:r w:rsidR="00FD5877">
        <w:rPr>
          <w:szCs w:val="22"/>
        </w:rPr>
        <w:t xml:space="preserve"> 2008/2009 Mandatory Crab Observer Program Database for the Bering Sea/Aleutian Islands commercial crab fisheries.  </w:t>
      </w:r>
      <w:proofErr w:type="gramStart"/>
      <w:r w:rsidR="00FD5877">
        <w:rPr>
          <w:szCs w:val="22"/>
        </w:rPr>
        <w:t>Alaska Department of Fish and Game, Fishery Data Series No. 10-01, Anchorage.</w:t>
      </w:r>
      <w:proofErr w:type="gramEnd"/>
    </w:p>
    <w:p w:rsidR="00A36F6E" w:rsidRDefault="00A36F6E" w:rsidP="001C4D2E">
      <w:pPr>
        <w:ind w:left="720" w:hanging="720"/>
        <w:jc w:val="both"/>
        <w:rPr>
          <w:szCs w:val="22"/>
        </w:rPr>
      </w:pPr>
    </w:p>
    <w:p w:rsidR="001C4D2E" w:rsidRDefault="001C4D2E" w:rsidP="001C4D2E">
      <w:pPr>
        <w:ind w:left="720" w:hanging="720"/>
        <w:jc w:val="both"/>
        <w:rPr>
          <w:szCs w:val="22"/>
        </w:rPr>
      </w:pPr>
      <w:r>
        <w:rPr>
          <w:szCs w:val="22"/>
        </w:rPr>
        <w:t xml:space="preserve">Gaeuman, W. B. 2011. Summary of the 2010/2011 Mandatory Crab Observer Program Database for the Bering Sea/Aleutian Islands commercial crab fisheries.  </w:t>
      </w:r>
      <w:proofErr w:type="gramStart"/>
      <w:r>
        <w:rPr>
          <w:szCs w:val="22"/>
        </w:rPr>
        <w:t>Alaska Department of Fish and Game, Fishery Data Series No. 11-73, Anchorage.</w:t>
      </w:r>
      <w:proofErr w:type="gramEnd"/>
    </w:p>
    <w:p w:rsidR="001C4D2E" w:rsidRDefault="001C4D2E" w:rsidP="001C4D2E">
      <w:pPr>
        <w:ind w:left="720" w:hanging="720"/>
        <w:jc w:val="both"/>
        <w:rPr>
          <w:szCs w:val="22"/>
        </w:rPr>
      </w:pPr>
    </w:p>
    <w:p w:rsidR="009864E0" w:rsidRDefault="009864E0" w:rsidP="00602D65">
      <w:pPr>
        <w:ind w:left="720" w:hanging="720"/>
        <w:jc w:val="both"/>
        <w:rPr>
          <w:szCs w:val="22"/>
        </w:rPr>
      </w:pPr>
      <w:r>
        <w:rPr>
          <w:szCs w:val="22"/>
        </w:rPr>
        <w:t xml:space="preserve">Gaeuman, W. B. </w:t>
      </w:r>
      <w:r w:rsidRPr="007321FE">
        <w:rPr>
          <w:szCs w:val="22"/>
        </w:rPr>
        <w:t xml:space="preserve">2013. </w:t>
      </w:r>
      <w:r w:rsidR="00C76DB2" w:rsidRPr="007321FE">
        <w:rPr>
          <w:szCs w:val="22"/>
        </w:rPr>
        <w:t>P</w:t>
      </w:r>
      <w:r w:rsidR="007321FE" w:rsidRPr="007321FE">
        <w:rPr>
          <w:szCs w:val="22"/>
        </w:rPr>
        <w:t>ribilof</w:t>
      </w:r>
      <w:r w:rsidR="00C76DB2" w:rsidRPr="007321FE">
        <w:rPr>
          <w:szCs w:val="22"/>
        </w:rPr>
        <w:t xml:space="preserve"> </w:t>
      </w:r>
      <w:r w:rsidR="002431BE">
        <w:rPr>
          <w:szCs w:val="22"/>
        </w:rPr>
        <w:t>Islands</w:t>
      </w:r>
      <w:r w:rsidR="00C76DB2" w:rsidRPr="007321FE">
        <w:rPr>
          <w:szCs w:val="22"/>
        </w:rPr>
        <w:t xml:space="preserve"> </w:t>
      </w:r>
      <w:r w:rsidR="007321FE" w:rsidRPr="007321FE">
        <w:rPr>
          <w:szCs w:val="22"/>
        </w:rPr>
        <w:t>golden</w:t>
      </w:r>
      <w:r w:rsidR="00C76DB2" w:rsidRPr="007321FE">
        <w:rPr>
          <w:szCs w:val="22"/>
        </w:rPr>
        <w:t xml:space="preserve"> </w:t>
      </w:r>
      <w:r w:rsidR="007321FE" w:rsidRPr="007321FE">
        <w:rPr>
          <w:szCs w:val="22"/>
        </w:rPr>
        <w:t>king</w:t>
      </w:r>
      <w:r w:rsidR="00C76DB2" w:rsidRPr="007321FE">
        <w:rPr>
          <w:szCs w:val="22"/>
        </w:rPr>
        <w:t xml:space="preserve"> </w:t>
      </w:r>
      <w:r w:rsidR="007321FE" w:rsidRPr="007321FE">
        <w:rPr>
          <w:szCs w:val="22"/>
        </w:rPr>
        <w:t>crab</w:t>
      </w:r>
      <w:r w:rsidR="00C76DB2" w:rsidRPr="007321FE">
        <w:rPr>
          <w:szCs w:val="22"/>
        </w:rPr>
        <w:t xml:space="preserve"> </w:t>
      </w:r>
      <w:r w:rsidRPr="007321FE">
        <w:rPr>
          <w:szCs w:val="22"/>
        </w:rPr>
        <w:t>T</w:t>
      </w:r>
      <w:r w:rsidR="007321FE" w:rsidRPr="007321FE">
        <w:rPr>
          <w:szCs w:val="22"/>
        </w:rPr>
        <w:t>ier</w:t>
      </w:r>
      <w:r w:rsidRPr="007321FE">
        <w:rPr>
          <w:szCs w:val="22"/>
        </w:rPr>
        <w:t xml:space="preserve"> 4 </w:t>
      </w:r>
      <w:r w:rsidR="007321FE" w:rsidRPr="007321FE">
        <w:rPr>
          <w:szCs w:val="22"/>
        </w:rPr>
        <w:t>stock</w:t>
      </w:r>
      <w:r w:rsidR="00C76DB2" w:rsidRPr="007321FE">
        <w:rPr>
          <w:szCs w:val="22"/>
        </w:rPr>
        <w:t xml:space="preserve"> </w:t>
      </w:r>
      <w:r w:rsidR="007321FE" w:rsidRPr="007321FE">
        <w:rPr>
          <w:szCs w:val="22"/>
        </w:rPr>
        <w:t>assessment</w:t>
      </w:r>
      <w:r w:rsidR="00C76DB2" w:rsidRPr="007321FE">
        <w:rPr>
          <w:szCs w:val="22"/>
        </w:rPr>
        <w:t xml:space="preserve"> </w:t>
      </w:r>
      <w:r w:rsidR="007321FE">
        <w:rPr>
          <w:szCs w:val="22"/>
        </w:rPr>
        <w:t>considerations</w:t>
      </w:r>
      <w:r>
        <w:rPr>
          <w:szCs w:val="22"/>
        </w:rPr>
        <w:t>.  Report to the North Pacific Fishery Management Council Bering Sea-Aleutian Island Crab Plan Team, 30 April – 3 May 2013 meeting, Anchorage, AK.</w:t>
      </w:r>
    </w:p>
    <w:p w:rsidR="009864E0" w:rsidRDefault="009864E0" w:rsidP="00602D65">
      <w:pPr>
        <w:ind w:left="720" w:hanging="720"/>
        <w:jc w:val="both"/>
        <w:rPr>
          <w:szCs w:val="22"/>
        </w:rPr>
      </w:pPr>
    </w:p>
    <w:p w:rsidR="00A36F6E" w:rsidRDefault="00A36F6E" w:rsidP="00602D65">
      <w:pPr>
        <w:ind w:left="720" w:hanging="720"/>
        <w:jc w:val="both"/>
        <w:rPr>
          <w:szCs w:val="22"/>
        </w:rPr>
      </w:pPr>
      <w:r>
        <w:rPr>
          <w:szCs w:val="22"/>
        </w:rPr>
        <w:lastRenderedPageBreak/>
        <w:t xml:space="preserve">Gaeuman, W. B. </w:t>
      </w:r>
      <w:proofErr w:type="gramStart"/>
      <w:r w:rsidRPr="00A36F6E">
        <w:rPr>
          <w:i/>
          <w:szCs w:val="22"/>
        </w:rPr>
        <w:t>In press</w:t>
      </w:r>
      <w:r>
        <w:rPr>
          <w:szCs w:val="22"/>
        </w:rPr>
        <w:t>.</w:t>
      </w:r>
      <w:proofErr w:type="gramEnd"/>
      <w:r>
        <w:rPr>
          <w:szCs w:val="22"/>
        </w:rPr>
        <w:t xml:space="preserve"> Summary of the </w:t>
      </w:r>
      <w:r w:rsidR="00FD5877">
        <w:rPr>
          <w:szCs w:val="22"/>
        </w:rPr>
        <w:t xml:space="preserve"> 2011/2012 Mandatory Crab Observer Program Database for the Bering Sea/Aleutian Islands commercial crab fisheries.  </w:t>
      </w:r>
      <w:proofErr w:type="gramStart"/>
      <w:r w:rsidR="00FD5877">
        <w:rPr>
          <w:szCs w:val="22"/>
        </w:rPr>
        <w:t>Alaska Department of Fish and Game, Fishery Data Series No. 13-XX, Anchorage.</w:t>
      </w:r>
      <w:proofErr w:type="gramEnd"/>
    </w:p>
    <w:p w:rsidR="005D6D67" w:rsidRDefault="005D6D67" w:rsidP="00602D65">
      <w:pPr>
        <w:ind w:left="720" w:hanging="720"/>
        <w:jc w:val="both"/>
        <w:rPr>
          <w:szCs w:val="22"/>
        </w:rPr>
      </w:pPr>
    </w:p>
    <w:p w:rsidR="00602D65" w:rsidRDefault="00F77A4F" w:rsidP="00602D65">
      <w:pPr>
        <w:ind w:left="720" w:hanging="720"/>
        <w:jc w:val="both"/>
      </w:pPr>
      <w:proofErr w:type="gramStart"/>
      <w:r w:rsidRPr="00F77A4F">
        <w:t>H</w:t>
      </w:r>
      <w:r>
        <w:t>aaga, J. A., S. Van Sant, and G. R. Hoff.</w:t>
      </w:r>
      <w:proofErr w:type="gramEnd"/>
      <w:r>
        <w:t xml:space="preserve"> 2009.  Crab abundance and depth distribution along the continental slope of the eastern </w:t>
      </w:r>
      <w:smartTag w:uri="urn:schemas-microsoft-com:office:smarttags" w:element="place">
        <w:r>
          <w:t>Bering Sea</w:t>
        </w:r>
      </w:smartTag>
      <w:r>
        <w:t xml:space="preserve">.  Poster presented at </w:t>
      </w:r>
      <w:r w:rsidR="004D7D18">
        <w:t>the 25</w:t>
      </w:r>
      <w:r w:rsidR="004D7D18" w:rsidRPr="004D7D18">
        <w:rPr>
          <w:vertAlign w:val="superscript"/>
        </w:rPr>
        <w:t>th</w:t>
      </w:r>
      <w:r w:rsidR="004D7D18">
        <w:t xml:space="preserve"> </w:t>
      </w:r>
      <w:r w:rsidR="004D7D18" w:rsidRPr="004D7D18">
        <w:t>Lowell Wakefield</w:t>
      </w:r>
      <w:r w:rsidR="0098492A">
        <w:t xml:space="preserve"> Fisheries Symposium (Biology and Management of Exploited </w:t>
      </w:r>
      <w:r w:rsidR="004D7D18" w:rsidRPr="004D7D18">
        <w:t xml:space="preserve">Crab Populations under Climate </w:t>
      </w:r>
      <w:r w:rsidR="0098492A">
        <w:t>Change</w:t>
      </w:r>
      <w:r w:rsidR="004D7D18">
        <w:t>)</w:t>
      </w:r>
      <w:r w:rsidR="004D7D18" w:rsidRPr="004D7D18">
        <w:t xml:space="preserve">, Anchorage, AK, </w:t>
      </w:r>
      <w:proofErr w:type="gramStart"/>
      <w:r w:rsidR="004D7D18" w:rsidRPr="004D7D18">
        <w:t>Mar</w:t>
      </w:r>
      <w:r w:rsidR="004D7D18">
        <w:t>ch</w:t>
      </w:r>
      <w:proofErr w:type="gramEnd"/>
      <w:r w:rsidR="004D7D18" w:rsidRPr="004D7D18">
        <w:t xml:space="preserve"> 2009</w:t>
      </w:r>
      <w:r w:rsidR="004D7D18">
        <w:t xml:space="preserve">.  Available online at: </w:t>
      </w:r>
      <w:hyperlink r:id="rId8" w:history="1">
        <w:r w:rsidR="00602D65" w:rsidRPr="00B15173">
          <w:rPr>
            <w:rStyle w:val="Hyperlink"/>
          </w:rPr>
          <w:t>ftp://ftp.afsc.noaa.gov/posters/pJHaaga01_ebs-crab.pdf</w:t>
        </w:r>
      </w:hyperlink>
      <w:r w:rsidR="00602D65">
        <w:t xml:space="preserve">  </w:t>
      </w:r>
    </w:p>
    <w:p w:rsidR="00602D65" w:rsidRDefault="00602D65" w:rsidP="00602D65">
      <w:pPr>
        <w:ind w:left="720" w:hanging="720"/>
        <w:jc w:val="both"/>
      </w:pPr>
    </w:p>
    <w:p w:rsidR="00796391" w:rsidRPr="00DB4CF3" w:rsidRDefault="00796391" w:rsidP="00796391">
      <w:pPr>
        <w:ind w:left="720" w:hanging="720"/>
        <w:jc w:val="both"/>
        <w:rPr>
          <w:szCs w:val="22"/>
        </w:rPr>
      </w:pPr>
      <w:proofErr w:type="spellStart"/>
      <w:r w:rsidRPr="00641FAA">
        <w:rPr>
          <w:szCs w:val="22"/>
        </w:rPr>
        <w:t>H</w:t>
      </w:r>
      <w:r w:rsidRPr="000F70A5">
        <w:rPr>
          <w:szCs w:val="22"/>
        </w:rPr>
        <w:t>iramoto</w:t>
      </w:r>
      <w:proofErr w:type="spellEnd"/>
      <w:r w:rsidRPr="000F70A5">
        <w:rPr>
          <w:szCs w:val="22"/>
        </w:rPr>
        <w:t xml:space="preserve">, K. 1985. </w:t>
      </w:r>
      <w:proofErr w:type="gramStart"/>
      <w:r w:rsidRPr="000F70A5">
        <w:rPr>
          <w:szCs w:val="22"/>
        </w:rPr>
        <w:t xml:space="preserve">Overview of the golden king crab, </w:t>
      </w:r>
      <w:proofErr w:type="spellStart"/>
      <w:r w:rsidRPr="000F70A5">
        <w:rPr>
          <w:i/>
          <w:szCs w:val="22"/>
        </w:rPr>
        <w:t>Lithodes</w:t>
      </w:r>
      <w:proofErr w:type="spellEnd"/>
      <w:r w:rsidRPr="000F70A5">
        <w:rPr>
          <w:i/>
          <w:szCs w:val="22"/>
        </w:rPr>
        <w:t xml:space="preserve"> </w:t>
      </w:r>
      <w:proofErr w:type="spellStart"/>
      <w:r w:rsidRPr="000F70A5">
        <w:rPr>
          <w:i/>
          <w:szCs w:val="22"/>
        </w:rPr>
        <w:t>aequispina</w:t>
      </w:r>
      <w:proofErr w:type="spellEnd"/>
      <w:r w:rsidRPr="000F70A5">
        <w:rPr>
          <w:szCs w:val="22"/>
        </w:rPr>
        <w:t xml:space="preserve">, fishery and its fishery </w:t>
      </w:r>
      <w:r w:rsidRPr="00DB4CF3">
        <w:rPr>
          <w:szCs w:val="22"/>
        </w:rPr>
        <w:t>biology in the Pacific waters of Central Japan.</w:t>
      </w:r>
      <w:proofErr w:type="gramEnd"/>
      <w:r w:rsidRPr="00DB4CF3">
        <w:rPr>
          <w:szCs w:val="22"/>
        </w:rPr>
        <w:t xml:space="preserve"> </w:t>
      </w:r>
      <w:proofErr w:type="gramStart"/>
      <w:r w:rsidR="00AD794C" w:rsidRPr="000533A6">
        <w:rPr>
          <w:i/>
        </w:rPr>
        <w:t>in</w:t>
      </w:r>
      <w:proofErr w:type="gramEnd"/>
      <w:r w:rsidRPr="00DB4CF3">
        <w:rPr>
          <w:szCs w:val="22"/>
        </w:rPr>
        <w:t>: Pr</w:t>
      </w:r>
      <w:r w:rsidR="00AD794C">
        <w:rPr>
          <w:szCs w:val="22"/>
        </w:rPr>
        <w:t xml:space="preserve">oc. Intl. King Crab </w:t>
      </w:r>
      <w:proofErr w:type="spellStart"/>
      <w:r w:rsidR="00AD794C">
        <w:rPr>
          <w:szCs w:val="22"/>
        </w:rPr>
        <w:t>Symp</w:t>
      </w:r>
      <w:proofErr w:type="spellEnd"/>
      <w:r w:rsidR="00AD794C">
        <w:rPr>
          <w:szCs w:val="22"/>
        </w:rPr>
        <w:t>., University</w:t>
      </w:r>
      <w:r w:rsidRPr="00DB4CF3">
        <w:rPr>
          <w:szCs w:val="22"/>
        </w:rPr>
        <w:t xml:space="preserve"> of Alaska Sea Grant Rp</w:t>
      </w:r>
      <w:r w:rsidR="005E23AC">
        <w:rPr>
          <w:szCs w:val="22"/>
        </w:rPr>
        <w:t>t. 85-12, Fairbanks</w:t>
      </w:r>
      <w:r w:rsidRPr="00DB4CF3">
        <w:rPr>
          <w:szCs w:val="22"/>
        </w:rPr>
        <w:t>.</w:t>
      </w:r>
    </w:p>
    <w:p w:rsidR="00796391" w:rsidRPr="00DB4CF3" w:rsidRDefault="00796391" w:rsidP="00796391">
      <w:pPr>
        <w:ind w:left="720" w:hanging="720"/>
        <w:jc w:val="both"/>
        <w:rPr>
          <w:szCs w:val="22"/>
        </w:rPr>
      </w:pPr>
    </w:p>
    <w:p w:rsidR="00231FD3" w:rsidRPr="00DB4CF3" w:rsidRDefault="00231FD3" w:rsidP="00231FD3">
      <w:pPr>
        <w:ind w:left="720" w:hanging="720"/>
        <w:jc w:val="both"/>
        <w:rPr>
          <w:szCs w:val="22"/>
        </w:rPr>
      </w:pPr>
      <w:proofErr w:type="spellStart"/>
      <w:proofErr w:type="gramStart"/>
      <w:r w:rsidRPr="00DB4CF3">
        <w:rPr>
          <w:szCs w:val="22"/>
        </w:rPr>
        <w:t>Hiramoto</w:t>
      </w:r>
      <w:proofErr w:type="spellEnd"/>
      <w:r w:rsidRPr="00DB4CF3">
        <w:rPr>
          <w:szCs w:val="22"/>
        </w:rPr>
        <w:t>, K., and S. Sato.</w:t>
      </w:r>
      <w:proofErr w:type="gramEnd"/>
      <w:r w:rsidRPr="00DB4CF3">
        <w:rPr>
          <w:szCs w:val="22"/>
        </w:rPr>
        <w:t xml:space="preserve"> 1970. Biological and fisheries survey on an anomuran crab, </w:t>
      </w:r>
      <w:proofErr w:type="spellStart"/>
      <w:r w:rsidRPr="00DB4CF3">
        <w:rPr>
          <w:i/>
          <w:szCs w:val="22"/>
        </w:rPr>
        <w:t>Lithodes</w:t>
      </w:r>
      <w:proofErr w:type="spellEnd"/>
      <w:r w:rsidRPr="00DB4CF3">
        <w:rPr>
          <w:i/>
          <w:szCs w:val="22"/>
        </w:rPr>
        <w:t xml:space="preserve"> </w:t>
      </w:r>
      <w:proofErr w:type="spellStart"/>
      <w:r w:rsidRPr="00DB4CF3">
        <w:rPr>
          <w:i/>
          <w:szCs w:val="22"/>
        </w:rPr>
        <w:t>aequispina</w:t>
      </w:r>
      <w:proofErr w:type="spellEnd"/>
      <w:r w:rsidRPr="00DB4CF3">
        <w:rPr>
          <w:szCs w:val="22"/>
        </w:rPr>
        <w:t xml:space="preserve"> Benedict, off </w:t>
      </w:r>
      <w:proofErr w:type="spellStart"/>
      <w:smartTag w:uri="urn:schemas-microsoft-com:office:smarttags" w:element="PlaceName">
        <w:r w:rsidRPr="00DB4CF3">
          <w:rPr>
            <w:szCs w:val="22"/>
          </w:rPr>
          <w:t>Boso</w:t>
        </w:r>
      </w:smartTag>
      <w:proofErr w:type="spellEnd"/>
      <w:r w:rsidRPr="00DB4CF3">
        <w:rPr>
          <w:szCs w:val="22"/>
        </w:rPr>
        <w:t xml:space="preserve"> </w:t>
      </w:r>
      <w:smartTag w:uri="urn:schemas-microsoft-com:office:smarttags" w:element="PlaceType">
        <w:r w:rsidRPr="00DB4CF3">
          <w:rPr>
            <w:szCs w:val="22"/>
          </w:rPr>
          <w:t>Peninsula</w:t>
        </w:r>
      </w:smartTag>
      <w:r w:rsidRPr="00DB4CF3">
        <w:rPr>
          <w:szCs w:val="22"/>
        </w:rPr>
        <w:t xml:space="preserve"> and </w:t>
      </w:r>
      <w:smartTag w:uri="urn:schemas-microsoft-com:office:smarttags" w:element="PlaceName">
        <w:r w:rsidRPr="00DB4CF3">
          <w:rPr>
            <w:szCs w:val="22"/>
          </w:rPr>
          <w:t>Sagami</w:t>
        </w:r>
      </w:smartTag>
      <w:r w:rsidRPr="00DB4CF3">
        <w:rPr>
          <w:szCs w:val="22"/>
        </w:rPr>
        <w:t xml:space="preserve"> </w:t>
      </w:r>
      <w:smartTag w:uri="urn:schemas-microsoft-com:office:smarttags" w:element="PlaceType">
        <w:r w:rsidRPr="00DB4CF3">
          <w:rPr>
            <w:szCs w:val="22"/>
          </w:rPr>
          <w:t>Bay</w:t>
        </w:r>
      </w:smartTag>
      <w:r w:rsidRPr="00DB4CF3">
        <w:rPr>
          <w:szCs w:val="22"/>
        </w:rPr>
        <w:t xml:space="preserve">, central </w:t>
      </w:r>
      <w:smartTag w:uri="urn:schemas-microsoft-com:office:smarttags" w:element="place">
        <w:smartTag w:uri="urn:schemas-microsoft-com:office:smarttags" w:element="country-region">
          <w:r w:rsidRPr="00DB4CF3">
            <w:rPr>
              <w:szCs w:val="22"/>
            </w:rPr>
            <w:t>Japan</w:t>
          </w:r>
        </w:smartTag>
      </w:smartTag>
      <w:r w:rsidRPr="00DB4CF3">
        <w:rPr>
          <w:szCs w:val="22"/>
        </w:rPr>
        <w:t xml:space="preserve">. </w:t>
      </w:r>
      <w:proofErr w:type="spellStart"/>
      <w:r w:rsidRPr="00DB4CF3">
        <w:rPr>
          <w:szCs w:val="22"/>
        </w:rPr>
        <w:t>Jpn</w:t>
      </w:r>
      <w:proofErr w:type="spellEnd"/>
      <w:r w:rsidRPr="00DB4CF3">
        <w:rPr>
          <w:szCs w:val="22"/>
        </w:rPr>
        <w:t xml:space="preserve">. J. Ecol. 20:165-170. </w:t>
      </w:r>
      <w:proofErr w:type="gramStart"/>
      <w:r w:rsidRPr="00DB4CF3">
        <w:rPr>
          <w:szCs w:val="22"/>
        </w:rPr>
        <w:t>In Japanese with English summary.</w:t>
      </w:r>
      <w:proofErr w:type="gramEnd"/>
    </w:p>
    <w:p w:rsidR="00231FD3" w:rsidRPr="00DB4CF3" w:rsidRDefault="00231FD3" w:rsidP="00231FD3">
      <w:pPr>
        <w:ind w:left="720" w:hanging="720"/>
        <w:jc w:val="both"/>
        <w:rPr>
          <w:szCs w:val="22"/>
        </w:rPr>
      </w:pPr>
    </w:p>
    <w:p w:rsidR="00D24511" w:rsidRPr="009C1B54" w:rsidRDefault="00D24511" w:rsidP="00D24511">
      <w:pPr>
        <w:ind w:left="720" w:hanging="720"/>
        <w:jc w:val="both"/>
      </w:pPr>
      <w:proofErr w:type="gramStart"/>
      <w:r w:rsidRPr="009C1B54">
        <w:t>Hoff, G.R., and L. Britt.</w:t>
      </w:r>
      <w:proofErr w:type="gramEnd"/>
      <w:r w:rsidRPr="009C1B54">
        <w:t xml:space="preserve"> 200</w:t>
      </w:r>
      <w:r>
        <w:t>3.  Results of the 2002</w:t>
      </w:r>
      <w:r w:rsidRPr="009C1B54">
        <w:t xml:space="preserve"> eas</w:t>
      </w:r>
      <w:r w:rsidR="00166111">
        <w:t>t</w:t>
      </w:r>
      <w:r w:rsidRPr="009C1B54">
        <w:t xml:space="preserve">ern Bering Sea upper continental slope survey of groundfish and invertebrate resources. </w:t>
      </w:r>
      <w:smartTag w:uri="urn:schemas-microsoft-com:office:smarttags" w:element="country-region">
        <w:smartTag w:uri="urn:schemas-microsoft-com:office:smarttags" w:element="place">
          <w:r w:rsidRPr="009C1B54">
            <w:t>U.S.</w:t>
          </w:r>
        </w:smartTag>
      </w:smartTag>
      <w:r w:rsidRPr="009C1B54">
        <w:t xml:space="preserve"> Dep. </w:t>
      </w:r>
      <w:proofErr w:type="spellStart"/>
      <w:r w:rsidRPr="009C1B54">
        <w:t>Commer</w:t>
      </w:r>
      <w:proofErr w:type="spellEnd"/>
      <w:r w:rsidRPr="009C1B54">
        <w:t xml:space="preserve">., NOAA Tech. Memo. </w:t>
      </w:r>
      <w:proofErr w:type="gramStart"/>
      <w:r w:rsidRPr="009C1B54">
        <w:t>NMFS-AFSC-1</w:t>
      </w:r>
      <w:r>
        <w:t>41</w:t>
      </w:r>
      <w:r w:rsidRPr="009C1B54">
        <w:t>.</w:t>
      </w:r>
      <w:proofErr w:type="gramEnd"/>
    </w:p>
    <w:p w:rsidR="009C1B54" w:rsidRPr="009C1B54" w:rsidRDefault="009C1B54" w:rsidP="00602D65">
      <w:pPr>
        <w:ind w:left="720" w:hanging="720"/>
        <w:jc w:val="both"/>
      </w:pPr>
      <w:proofErr w:type="gramStart"/>
      <w:r w:rsidRPr="009C1B54">
        <w:t>Hoff, G.R., and L. Britt.</w:t>
      </w:r>
      <w:proofErr w:type="gramEnd"/>
      <w:r w:rsidRPr="009C1B54">
        <w:t xml:space="preserve"> 2005.  Results of the 2004 eas</w:t>
      </w:r>
      <w:r w:rsidR="00166111">
        <w:t>t</w:t>
      </w:r>
      <w:r w:rsidRPr="009C1B54">
        <w:t xml:space="preserve">ern Bering Sea upper continental slope survey of groundfish and invertebrate resources. </w:t>
      </w:r>
      <w:smartTag w:uri="urn:schemas-microsoft-com:office:smarttags" w:element="country-region">
        <w:smartTag w:uri="urn:schemas-microsoft-com:office:smarttags" w:element="place">
          <w:r w:rsidRPr="009C1B54">
            <w:t>U.S.</w:t>
          </w:r>
        </w:smartTag>
      </w:smartTag>
      <w:r w:rsidRPr="009C1B54">
        <w:t xml:space="preserve"> Dep. </w:t>
      </w:r>
      <w:proofErr w:type="spellStart"/>
      <w:r w:rsidRPr="009C1B54">
        <w:t>Commer</w:t>
      </w:r>
      <w:proofErr w:type="spellEnd"/>
      <w:r w:rsidRPr="009C1B54">
        <w:t xml:space="preserve">., NOAA Tech. Memo. </w:t>
      </w:r>
      <w:proofErr w:type="gramStart"/>
      <w:r w:rsidRPr="009C1B54">
        <w:t>NMFS-AFSC-156.</w:t>
      </w:r>
      <w:proofErr w:type="gramEnd"/>
    </w:p>
    <w:p w:rsidR="009C1B54" w:rsidRPr="009C1B54" w:rsidRDefault="009C1B54" w:rsidP="008B78E9">
      <w:pPr>
        <w:pStyle w:val="Caption"/>
        <w:ind w:left="720" w:hanging="720"/>
        <w:jc w:val="both"/>
        <w:rPr>
          <w:sz w:val="24"/>
          <w:szCs w:val="24"/>
          <w:u w:val="none"/>
        </w:rPr>
      </w:pPr>
    </w:p>
    <w:p w:rsidR="00166111" w:rsidRPr="009C1B54" w:rsidRDefault="00166111" w:rsidP="00166111">
      <w:pPr>
        <w:ind w:left="720" w:hanging="720"/>
        <w:jc w:val="both"/>
      </w:pPr>
      <w:proofErr w:type="gramStart"/>
      <w:r>
        <w:t>Hoff, G.R., and L. Britt.</w:t>
      </w:r>
      <w:proofErr w:type="gramEnd"/>
      <w:r>
        <w:t xml:space="preserve"> 2009</w:t>
      </w:r>
      <w:r w:rsidRPr="009C1B54">
        <w:t>.  Results of the 200</w:t>
      </w:r>
      <w:r>
        <w:t>8</w:t>
      </w:r>
      <w:r w:rsidRPr="009C1B54">
        <w:t xml:space="preserve"> eas</w:t>
      </w:r>
      <w:r>
        <w:t>t</w:t>
      </w:r>
      <w:r w:rsidRPr="009C1B54">
        <w:t xml:space="preserve">ern Bering Sea upper continental slope survey of groundfish and invertebrate resources. </w:t>
      </w:r>
      <w:smartTag w:uri="urn:schemas-microsoft-com:office:smarttags" w:element="country-region">
        <w:smartTag w:uri="urn:schemas-microsoft-com:office:smarttags" w:element="place">
          <w:r w:rsidRPr="009C1B54">
            <w:t>U.S.</w:t>
          </w:r>
        </w:smartTag>
      </w:smartTag>
      <w:r w:rsidRPr="009C1B54">
        <w:t xml:space="preserve"> Dep. </w:t>
      </w:r>
      <w:proofErr w:type="spellStart"/>
      <w:r w:rsidRPr="009C1B54">
        <w:t>Comme</w:t>
      </w:r>
      <w:r>
        <w:t>r</w:t>
      </w:r>
      <w:proofErr w:type="spellEnd"/>
      <w:r>
        <w:t xml:space="preserve">., NOAA Tech. Memo. </w:t>
      </w:r>
      <w:proofErr w:type="gramStart"/>
      <w:r>
        <w:t>NMFS-AFSC-197</w:t>
      </w:r>
      <w:r w:rsidRPr="009C1B54">
        <w:t>.</w:t>
      </w:r>
      <w:proofErr w:type="gramEnd"/>
    </w:p>
    <w:p w:rsidR="00166111" w:rsidRDefault="00166111" w:rsidP="00E01EE8">
      <w:pPr>
        <w:ind w:left="720" w:hanging="720"/>
        <w:jc w:val="both"/>
        <w:rPr>
          <w:rFonts w:ascii="TimesNewRoman" w:hAnsi="TimesNewRoman" w:cs="TimesNewRoman"/>
          <w:szCs w:val="22"/>
        </w:rPr>
      </w:pPr>
    </w:p>
    <w:p w:rsidR="00166111" w:rsidRPr="009C1B54" w:rsidRDefault="00166111" w:rsidP="00166111">
      <w:pPr>
        <w:ind w:left="720" w:hanging="720"/>
        <w:jc w:val="both"/>
      </w:pPr>
      <w:proofErr w:type="gramStart"/>
      <w:r>
        <w:t>Hoff, G.R., and L. Britt.</w:t>
      </w:r>
      <w:proofErr w:type="gramEnd"/>
      <w:r>
        <w:t xml:space="preserve"> 2011</w:t>
      </w:r>
      <w:r w:rsidRPr="009C1B54">
        <w:t>.  Results of the 20</w:t>
      </w:r>
      <w:r>
        <w:t>10</w:t>
      </w:r>
      <w:r w:rsidRPr="009C1B54">
        <w:t xml:space="preserve"> eas</w:t>
      </w:r>
      <w:r>
        <w:t>t</w:t>
      </w:r>
      <w:r w:rsidRPr="009C1B54">
        <w:t xml:space="preserve">ern Bering Sea upper continental slope survey of groundfish and invertebrate resources. </w:t>
      </w:r>
      <w:smartTag w:uri="urn:schemas-microsoft-com:office:smarttags" w:element="country-region">
        <w:smartTag w:uri="urn:schemas-microsoft-com:office:smarttags" w:element="place">
          <w:r w:rsidRPr="009C1B54">
            <w:t>U.S.</w:t>
          </w:r>
        </w:smartTag>
      </w:smartTag>
      <w:r w:rsidRPr="009C1B54">
        <w:t xml:space="preserve"> Dep. </w:t>
      </w:r>
      <w:proofErr w:type="spellStart"/>
      <w:r w:rsidRPr="009C1B54">
        <w:t>Comme</w:t>
      </w:r>
      <w:r>
        <w:t>r</w:t>
      </w:r>
      <w:proofErr w:type="spellEnd"/>
      <w:r>
        <w:t xml:space="preserve">., NOAA Tech. Memo. </w:t>
      </w:r>
      <w:proofErr w:type="gramStart"/>
      <w:r>
        <w:t>NMFS-AFSC-224</w:t>
      </w:r>
      <w:r w:rsidRPr="009C1B54">
        <w:t>.</w:t>
      </w:r>
      <w:proofErr w:type="gramEnd"/>
    </w:p>
    <w:p w:rsidR="00166111" w:rsidRDefault="00166111" w:rsidP="00E01EE8">
      <w:pPr>
        <w:ind w:left="720" w:hanging="720"/>
        <w:jc w:val="both"/>
        <w:rPr>
          <w:rFonts w:ascii="TimesNewRoman" w:hAnsi="TimesNewRoman" w:cs="TimesNewRoman"/>
          <w:szCs w:val="22"/>
        </w:rPr>
      </w:pPr>
    </w:p>
    <w:p w:rsidR="00E01EE8" w:rsidRDefault="00E01EE8" w:rsidP="00E01EE8">
      <w:pPr>
        <w:ind w:left="720" w:hanging="720"/>
        <w:jc w:val="both"/>
      </w:pPr>
      <w:proofErr w:type="gramStart"/>
      <w:r w:rsidRPr="00DB4CF3">
        <w:rPr>
          <w:rFonts w:ascii="TimesNewRoman" w:hAnsi="TimesNewRoman" w:cs="TimesNewRoman"/>
          <w:szCs w:val="22"/>
        </w:rPr>
        <w:t>Jewett, S. C.,</w:t>
      </w:r>
      <w:r w:rsidRPr="000F70A5">
        <w:rPr>
          <w:rFonts w:ascii="TimesNewRoman" w:hAnsi="TimesNewRoman" w:cs="TimesNewRoman"/>
          <w:szCs w:val="22"/>
        </w:rPr>
        <w:t xml:space="preserve"> Sloan, N. A., and Somerton, D. A. 1985.</w:t>
      </w:r>
      <w:proofErr w:type="gramEnd"/>
      <w:r w:rsidRPr="000F70A5">
        <w:rPr>
          <w:rFonts w:ascii="TimesNewRoman" w:hAnsi="TimesNewRoman" w:cs="TimesNewRoman"/>
          <w:szCs w:val="22"/>
        </w:rPr>
        <w:t xml:space="preserve"> </w:t>
      </w:r>
      <w:proofErr w:type="gramStart"/>
      <w:r w:rsidRPr="000F70A5">
        <w:rPr>
          <w:rFonts w:ascii="TimesNewRoman" w:hAnsi="TimesNewRoman" w:cs="TimesNewRoman"/>
          <w:szCs w:val="22"/>
        </w:rPr>
        <w:t>“Size at sexual maturity and fecundity of the fjord</w:t>
      </w:r>
      <w:r>
        <w:rPr>
          <w:rFonts w:ascii="TimesNewRoman" w:hAnsi="TimesNewRoman" w:cs="TimesNewRoman"/>
          <w:szCs w:val="22"/>
        </w:rPr>
        <w:t xml:space="preserve">-dwelling golden king crab </w:t>
      </w:r>
      <w:proofErr w:type="spellStart"/>
      <w:r>
        <w:rPr>
          <w:rFonts w:ascii="TimesNewRoman,Italic" w:hAnsi="TimesNewRoman,Italic" w:cs="TimesNewRoman,Italic"/>
          <w:i/>
          <w:iCs/>
          <w:szCs w:val="22"/>
        </w:rPr>
        <w:t>Lithodes</w:t>
      </w:r>
      <w:proofErr w:type="spellEnd"/>
      <w:r>
        <w:rPr>
          <w:rFonts w:ascii="TimesNewRoman,Italic" w:hAnsi="TimesNewRoman,Italic" w:cs="TimesNewRoman,Italic"/>
          <w:i/>
          <w:iCs/>
          <w:szCs w:val="22"/>
        </w:rPr>
        <w:t xml:space="preserve"> </w:t>
      </w:r>
      <w:proofErr w:type="spellStart"/>
      <w:r>
        <w:rPr>
          <w:rFonts w:ascii="TimesNewRoman,Italic" w:hAnsi="TimesNewRoman,Italic" w:cs="TimesNewRoman,Italic"/>
          <w:i/>
          <w:iCs/>
          <w:szCs w:val="22"/>
        </w:rPr>
        <w:t>aequispina</w:t>
      </w:r>
      <w:proofErr w:type="spellEnd"/>
      <w:r>
        <w:rPr>
          <w:rFonts w:ascii="TimesNewRoman,Italic" w:hAnsi="TimesNewRoman,Italic" w:cs="TimesNewRoman,Italic"/>
          <w:i/>
          <w:iCs/>
          <w:szCs w:val="22"/>
        </w:rPr>
        <w:t xml:space="preserve"> </w:t>
      </w:r>
      <w:r>
        <w:rPr>
          <w:rFonts w:ascii="TimesNewRoman" w:hAnsi="TimesNewRoman" w:cs="TimesNewRoman"/>
          <w:szCs w:val="22"/>
        </w:rPr>
        <w:t>Benedict from northern British Columbia.”</w:t>
      </w:r>
      <w:proofErr w:type="gramEnd"/>
      <w:r>
        <w:rPr>
          <w:rFonts w:ascii="TimesNewRoman" w:hAnsi="TimesNewRoman" w:cs="TimesNewRoman"/>
          <w:szCs w:val="22"/>
        </w:rPr>
        <w:t xml:space="preserve"> </w:t>
      </w:r>
      <w:r>
        <w:rPr>
          <w:rFonts w:ascii="TimesNewRoman,Italic" w:hAnsi="TimesNewRoman,Italic" w:cs="TimesNewRoman,Italic"/>
          <w:i/>
          <w:iCs/>
          <w:szCs w:val="22"/>
        </w:rPr>
        <w:t>J</w:t>
      </w:r>
      <w:r w:rsidR="00332581">
        <w:rPr>
          <w:rFonts w:ascii="TimesNewRoman,Italic" w:hAnsi="TimesNewRoman,Italic" w:cs="TimesNewRoman,Italic"/>
          <w:i/>
          <w:iCs/>
          <w:szCs w:val="22"/>
        </w:rPr>
        <w:t>ournal of</w:t>
      </w:r>
      <w:r>
        <w:rPr>
          <w:rFonts w:ascii="TimesNewRoman,Italic" w:hAnsi="TimesNewRoman,Italic" w:cs="TimesNewRoman,Italic"/>
          <w:i/>
          <w:iCs/>
          <w:szCs w:val="22"/>
        </w:rPr>
        <w:t xml:space="preserve"> Crust</w:t>
      </w:r>
      <w:r w:rsidR="00332581">
        <w:rPr>
          <w:rFonts w:ascii="TimesNewRoman,Italic" w:hAnsi="TimesNewRoman,Italic" w:cs="TimesNewRoman,Italic"/>
          <w:i/>
          <w:iCs/>
          <w:szCs w:val="22"/>
        </w:rPr>
        <w:t>acean</w:t>
      </w:r>
      <w:r>
        <w:rPr>
          <w:rFonts w:ascii="TimesNewRoman,Italic" w:hAnsi="TimesNewRoman,Italic" w:cs="TimesNewRoman,Italic"/>
          <w:i/>
          <w:iCs/>
          <w:szCs w:val="22"/>
        </w:rPr>
        <w:t xml:space="preserve"> Biol</w:t>
      </w:r>
      <w:r w:rsidR="00332581">
        <w:rPr>
          <w:rFonts w:ascii="TimesNewRoman,Italic" w:hAnsi="TimesNewRoman,Italic" w:cs="TimesNewRoman,Italic"/>
          <w:i/>
          <w:iCs/>
          <w:szCs w:val="22"/>
        </w:rPr>
        <w:t>ogy</w:t>
      </w:r>
      <w:r w:rsidR="00332581">
        <w:rPr>
          <w:rFonts w:ascii="TimesNewRoman" w:hAnsi="TimesNewRoman" w:cs="TimesNewRoman"/>
          <w:szCs w:val="22"/>
        </w:rPr>
        <w:t>, 5:</w:t>
      </w:r>
      <w:r>
        <w:rPr>
          <w:rFonts w:ascii="TimesNewRoman" w:hAnsi="TimesNewRoman" w:cs="TimesNewRoman"/>
          <w:szCs w:val="22"/>
        </w:rPr>
        <w:t xml:space="preserve"> pp. 377-385.</w:t>
      </w:r>
    </w:p>
    <w:p w:rsidR="00E01EE8" w:rsidRDefault="00E01EE8" w:rsidP="00B80883">
      <w:pPr>
        <w:ind w:left="720" w:hanging="720"/>
        <w:jc w:val="both"/>
        <w:rPr>
          <w:szCs w:val="22"/>
        </w:rPr>
      </w:pPr>
    </w:p>
    <w:p w:rsidR="00B80883" w:rsidRPr="007710F4" w:rsidRDefault="00B80883" w:rsidP="00B80883">
      <w:pPr>
        <w:ind w:left="720" w:hanging="720"/>
        <w:jc w:val="both"/>
        <w:rPr>
          <w:szCs w:val="22"/>
        </w:rPr>
      </w:pPr>
      <w:proofErr w:type="gramStart"/>
      <w:r w:rsidRPr="007710F4">
        <w:rPr>
          <w:szCs w:val="22"/>
        </w:rPr>
        <w:t>McBride, J., D. Fraser, and J. Reeves.</w:t>
      </w:r>
      <w:proofErr w:type="gramEnd"/>
      <w:r w:rsidRPr="007710F4">
        <w:rPr>
          <w:szCs w:val="22"/>
        </w:rPr>
        <w:t xml:space="preserve"> 1982. Information on the distribution and biology of the golden (brown) king crab in the Bering Sea and Aleutian Islands area. </w:t>
      </w:r>
      <w:proofErr w:type="gramStart"/>
      <w:r w:rsidRPr="007710F4">
        <w:rPr>
          <w:szCs w:val="22"/>
        </w:rPr>
        <w:t>NOAA, NWAFC Proc. Rpt. 92-02.</w:t>
      </w:r>
      <w:proofErr w:type="gramEnd"/>
    </w:p>
    <w:p w:rsidR="00B80883" w:rsidRPr="007710F4" w:rsidRDefault="00B80883" w:rsidP="00B80883">
      <w:pPr>
        <w:ind w:left="720" w:hanging="720"/>
        <w:jc w:val="both"/>
        <w:rPr>
          <w:szCs w:val="22"/>
        </w:rPr>
      </w:pPr>
    </w:p>
    <w:p w:rsidR="009D16D6" w:rsidRPr="00DB39FC" w:rsidRDefault="00536623" w:rsidP="008B78E9">
      <w:pPr>
        <w:pStyle w:val="Caption"/>
        <w:ind w:left="720" w:hanging="720"/>
        <w:jc w:val="both"/>
        <w:rPr>
          <w:sz w:val="24"/>
          <w:szCs w:val="24"/>
          <w:u w:val="none"/>
        </w:rPr>
      </w:pPr>
      <w:r w:rsidRPr="009C1B54">
        <w:rPr>
          <w:sz w:val="24"/>
          <w:szCs w:val="24"/>
          <w:u w:val="none"/>
        </w:rPr>
        <w:t xml:space="preserve">National Marine Fisheries Service (NMFS). 2004. Bering Sea </w:t>
      </w:r>
      <w:smartTag w:uri="urn:schemas-microsoft-com:office:smarttags" w:element="place">
        <w:r w:rsidRPr="009C1B54">
          <w:rPr>
            <w:sz w:val="24"/>
            <w:szCs w:val="24"/>
            <w:u w:val="none"/>
          </w:rPr>
          <w:t>Aleutian Islands</w:t>
        </w:r>
      </w:smartTag>
      <w:r w:rsidRPr="009C1B54">
        <w:rPr>
          <w:sz w:val="24"/>
          <w:szCs w:val="24"/>
          <w:u w:val="none"/>
        </w:rPr>
        <w:t xml:space="preserve"> Crab Fisheries </w:t>
      </w:r>
      <w:r w:rsidRPr="00DB39FC">
        <w:rPr>
          <w:sz w:val="24"/>
          <w:szCs w:val="24"/>
          <w:u w:val="none"/>
        </w:rPr>
        <w:t>Final Environmental Impact Statement. DOC, NOAA, National Marine Fisheries Service, AK Region, P.O. Box 21668, Juneau, AK 99802-1668, August 2004.</w:t>
      </w:r>
    </w:p>
    <w:p w:rsidR="003405FE" w:rsidRDefault="003405FE" w:rsidP="008B78E9">
      <w:pPr>
        <w:jc w:val="both"/>
        <w:rPr>
          <w:lang w:val="en-US" w:eastAsia="en-US"/>
        </w:rPr>
      </w:pPr>
    </w:p>
    <w:p w:rsidR="009D746D" w:rsidRDefault="009D746D" w:rsidP="009D746D">
      <w:pPr>
        <w:ind w:left="720" w:hanging="720"/>
        <w:jc w:val="both"/>
      </w:pPr>
      <w:proofErr w:type="gramStart"/>
      <w:r>
        <w:t>Neufeld, G.</w:t>
      </w:r>
      <w:r w:rsidR="00E82B23">
        <w:t>,</w:t>
      </w:r>
      <w:r>
        <w:t xml:space="preserve"> and D. R. Barnard.</w:t>
      </w:r>
      <w:proofErr w:type="gramEnd"/>
      <w:r>
        <w:t xml:space="preserve"> 2003.  Alaska Department of Fish and Game summary of the 2001 mandatory shellfish observer program database for the general and CDQ fisheries.  </w:t>
      </w:r>
      <w:proofErr w:type="gramStart"/>
      <w:r>
        <w:t>Alaska Department of Fish and Game, Division of Commercial Fisheries, Regional Information Report No. 4K03-2, Kodiak.</w:t>
      </w:r>
      <w:proofErr w:type="gramEnd"/>
    </w:p>
    <w:p w:rsidR="009D746D" w:rsidRPr="00DB39FC" w:rsidRDefault="009D746D" w:rsidP="008B78E9">
      <w:pPr>
        <w:jc w:val="both"/>
        <w:rPr>
          <w:lang w:val="en-US" w:eastAsia="en-US"/>
        </w:rPr>
      </w:pPr>
    </w:p>
    <w:p w:rsidR="00D204E2" w:rsidRPr="001E382A" w:rsidRDefault="00D204E2" w:rsidP="008B78E9">
      <w:pPr>
        <w:ind w:left="720" w:hanging="720"/>
        <w:jc w:val="both"/>
      </w:pPr>
      <w:proofErr w:type="gramStart"/>
      <w:r w:rsidRPr="001E382A">
        <w:lastRenderedPageBreak/>
        <w:t>North Pacific Fishery Management Council (NPFMC).</w:t>
      </w:r>
      <w:proofErr w:type="gramEnd"/>
      <w:r w:rsidRPr="001E382A">
        <w:t xml:space="preserve">  2007. Public Review Draft: Environmental Assessment for proposed Amendment 24 to the Fishery Management Plan for </w:t>
      </w:r>
      <w:smartTag w:uri="urn:schemas-microsoft-com:office:smarttags" w:element="place">
        <w:r w:rsidRPr="001E382A">
          <w:t>Bering Sea</w:t>
        </w:r>
      </w:smartTag>
      <w:r w:rsidRPr="001E382A">
        <w:t xml:space="preserve"> and Aleutian Islands King and Tanner Crabs to Revise Overfishing Definitions.  14 November 2007.  North Pacific Fishery Management Council, </w:t>
      </w:r>
      <w:smartTag w:uri="urn:schemas-microsoft-com:office:smarttags" w:element="City">
        <w:smartTag w:uri="urn:schemas-microsoft-com:office:smarttags" w:element="place">
          <w:r w:rsidRPr="001E382A">
            <w:t>Anchorage</w:t>
          </w:r>
        </w:smartTag>
      </w:smartTag>
      <w:r w:rsidRPr="001E382A">
        <w:t>.</w:t>
      </w:r>
    </w:p>
    <w:p w:rsidR="00D204E2" w:rsidRPr="001E382A" w:rsidRDefault="00D204E2" w:rsidP="008B78E9">
      <w:pPr>
        <w:ind w:left="720" w:hanging="720"/>
        <w:jc w:val="both"/>
      </w:pPr>
    </w:p>
    <w:p w:rsidR="008B75CD" w:rsidRPr="00380A22" w:rsidRDefault="008B75CD" w:rsidP="008B78E9">
      <w:pPr>
        <w:ind w:left="720" w:hanging="720"/>
        <w:jc w:val="both"/>
      </w:pPr>
      <w:r w:rsidRPr="00587ED5">
        <w:rPr>
          <w:lang w:val="pt-BR"/>
        </w:rPr>
        <w:t xml:space="preserve">Nyblade, C.F. 1987. Phylum or subphylum Crustacea, class Malacostraca, order Decopoda, Anomura. </w:t>
      </w:r>
      <w:proofErr w:type="gramStart"/>
      <w:r w:rsidR="00CF435B" w:rsidRPr="000533A6">
        <w:rPr>
          <w:i/>
        </w:rPr>
        <w:t>in</w:t>
      </w:r>
      <w:proofErr w:type="gramEnd"/>
      <w:r w:rsidRPr="00380A22">
        <w:t xml:space="preserve">: M.F. </w:t>
      </w:r>
      <w:proofErr w:type="spellStart"/>
      <w:r w:rsidRPr="00380A22">
        <w:t>Strathman</w:t>
      </w:r>
      <w:proofErr w:type="spellEnd"/>
      <w:r w:rsidRPr="00380A22">
        <w:t xml:space="preserve"> (ed</w:t>
      </w:r>
      <w:r w:rsidR="00CF435B">
        <w:t>.</w:t>
      </w:r>
      <w:r w:rsidRPr="00380A22">
        <w:t xml:space="preserve">), Reproduction and development of marine invertebrates on the northern Pacific Coast. </w:t>
      </w:r>
      <w:proofErr w:type="gramStart"/>
      <w:r w:rsidRPr="00380A22">
        <w:t>Univ. Wash. Press, Seattle, pp.441-450.</w:t>
      </w:r>
      <w:proofErr w:type="gramEnd"/>
    </w:p>
    <w:p w:rsidR="008B75CD" w:rsidRPr="00380A22" w:rsidRDefault="008B75CD" w:rsidP="008B78E9">
      <w:pPr>
        <w:ind w:left="720" w:hanging="720"/>
        <w:jc w:val="both"/>
      </w:pPr>
    </w:p>
    <w:p w:rsidR="00B80883" w:rsidRDefault="00B80883" w:rsidP="00B80883">
      <w:pPr>
        <w:ind w:left="720" w:hanging="720"/>
        <w:jc w:val="both"/>
      </w:pPr>
      <w:proofErr w:type="gramStart"/>
      <w:r>
        <w:t xml:space="preserve">Otto, R. S., and P. A. </w:t>
      </w:r>
      <w:proofErr w:type="spellStart"/>
      <w:r>
        <w:t>Cummiskey</w:t>
      </w:r>
      <w:proofErr w:type="spellEnd"/>
      <w:r>
        <w:t>.</w:t>
      </w:r>
      <w:proofErr w:type="gramEnd"/>
      <w:r>
        <w:t xml:space="preserve">  1985.  Observations on the reproductive biology of golden king crab (</w:t>
      </w:r>
      <w:proofErr w:type="spellStart"/>
      <w:r w:rsidRPr="00F56431">
        <w:rPr>
          <w:i/>
        </w:rPr>
        <w:t>Lithodes</w:t>
      </w:r>
      <w:proofErr w:type="spellEnd"/>
      <w:r w:rsidRPr="00F56431">
        <w:rPr>
          <w:i/>
        </w:rPr>
        <w:t xml:space="preserve"> </w:t>
      </w:r>
      <w:proofErr w:type="spellStart"/>
      <w:r w:rsidRPr="00F56431">
        <w:rPr>
          <w:i/>
        </w:rPr>
        <w:t>aequispina</w:t>
      </w:r>
      <w:proofErr w:type="spellEnd"/>
      <w:r>
        <w:t xml:space="preserve">) in the Bering Sea and </w:t>
      </w:r>
      <w:smartTag w:uri="urn:schemas-microsoft-com:office:smarttags" w:element="place">
        <w:r>
          <w:t>Aleutian Islands</w:t>
        </w:r>
      </w:smartTag>
      <w:r>
        <w:t xml:space="preserve">.  </w:t>
      </w:r>
      <w:proofErr w:type="gramStart"/>
      <w:r>
        <w:t xml:space="preserve">Pages 123–136 </w:t>
      </w:r>
      <w:r w:rsidRPr="00F56431">
        <w:rPr>
          <w:i/>
        </w:rPr>
        <w:t>in</w:t>
      </w:r>
      <w:r>
        <w:t xml:space="preserve"> Proceedings of the International King Crab Symposium.</w:t>
      </w:r>
      <w:proofErr w:type="gramEnd"/>
      <w:r>
        <w:t xml:space="preserve">  University of </w:t>
      </w:r>
      <w:smartTag w:uri="urn:schemas-microsoft-com:office:smarttags" w:element="PlaceName">
        <w:r>
          <w:t>Alaska</w:t>
        </w:r>
      </w:smartTag>
      <w:r>
        <w:t xml:space="preserve"> </w:t>
      </w:r>
      <w:smartTag w:uri="urn:schemas-microsoft-com:office:smarttags" w:element="PlaceType">
        <w:r>
          <w:t>Sea</w:t>
        </w:r>
      </w:smartTag>
      <w:r>
        <w:t xml:space="preserve"> Grant Report No. 85-12, </w:t>
      </w:r>
      <w:smartTag w:uri="urn:schemas-microsoft-com:office:smarttags" w:element="place">
        <w:smartTag w:uri="urn:schemas-microsoft-com:office:smarttags" w:element="City">
          <w:r>
            <w:t>Fairbanks</w:t>
          </w:r>
        </w:smartTag>
      </w:smartTag>
      <w:r>
        <w:t>.</w:t>
      </w:r>
    </w:p>
    <w:p w:rsidR="002442F6" w:rsidRPr="00DB58AF" w:rsidRDefault="002442F6" w:rsidP="008B78E9">
      <w:pPr>
        <w:ind w:left="720" w:hanging="720"/>
        <w:jc w:val="both"/>
        <w:rPr>
          <w:highlight w:val="yellow"/>
        </w:rPr>
      </w:pPr>
    </w:p>
    <w:p w:rsidR="00B80883" w:rsidRDefault="00B80883" w:rsidP="00B80883">
      <w:pPr>
        <w:ind w:left="720" w:hanging="720"/>
        <w:jc w:val="both"/>
      </w:pPr>
      <w:proofErr w:type="gramStart"/>
      <w:r>
        <w:t>Paul, A. J., and J. M. Paul.</w:t>
      </w:r>
      <w:proofErr w:type="gramEnd"/>
      <w:r>
        <w:t xml:space="preserve">  2000.  Changes in </w:t>
      </w:r>
      <w:proofErr w:type="spellStart"/>
      <w:r>
        <w:t>chela</w:t>
      </w:r>
      <w:proofErr w:type="spellEnd"/>
      <w:r>
        <w:t xml:space="preserve"> heights and carapace lengths in male and female golden king crabs </w:t>
      </w:r>
      <w:proofErr w:type="spellStart"/>
      <w:r w:rsidRPr="00A97087">
        <w:rPr>
          <w:i/>
        </w:rPr>
        <w:t>Lithodes</w:t>
      </w:r>
      <w:proofErr w:type="spellEnd"/>
      <w:r w:rsidRPr="00A97087">
        <w:rPr>
          <w:i/>
        </w:rPr>
        <w:t xml:space="preserve"> </w:t>
      </w:r>
      <w:proofErr w:type="spellStart"/>
      <w:r w:rsidRPr="00A97087">
        <w:rPr>
          <w:i/>
        </w:rPr>
        <w:t>aequispinus</w:t>
      </w:r>
      <w:proofErr w:type="spellEnd"/>
      <w:r>
        <w:t xml:space="preserve"> after </w:t>
      </w:r>
      <w:proofErr w:type="spellStart"/>
      <w:r>
        <w:t>molting</w:t>
      </w:r>
      <w:proofErr w:type="spellEnd"/>
      <w:r>
        <w:t xml:space="preserve"> in the laboratory.    Alaska</w:t>
      </w:r>
      <w:r w:rsidR="001827CF">
        <w:t xml:space="preserve"> Fishery Research Bulletin 6</w:t>
      </w:r>
      <w:r>
        <w:t>: 70–77.</w:t>
      </w:r>
    </w:p>
    <w:p w:rsidR="00B80883" w:rsidRDefault="00B80883" w:rsidP="00B80883">
      <w:pPr>
        <w:ind w:left="720" w:hanging="720"/>
        <w:jc w:val="both"/>
      </w:pPr>
    </w:p>
    <w:p w:rsidR="00380A22" w:rsidRDefault="00380A22" w:rsidP="00380A22">
      <w:pPr>
        <w:ind w:left="720" w:hanging="720"/>
        <w:jc w:val="both"/>
      </w:pPr>
      <w:proofErr w:type="gramStart"/>
      <w:r>
        <w:t>Paul, A. J., and J. M. Paul.</w:t>
      </w:r>
      <w:proofErr w:type="gramEnd"/>
      <w:r>
        <w:t xml:space="preserve">  2001a. Growth of juvenile golden king crabs </w:t>
      </w:r>
      <w:proofErr w:type="spellStart"/>
      <w:r w:rsidRPr="006A6AF4">
        <w:rPr>
          <w:i/>
        </w:rPr>
        <w:t>Lithodes</w:t>
      </w:r>
      <w:proofErr w:type="spellEnd"/>
      <w:r w:rsidRPr="006A6AF4">
        <w:rPr>
          <w:i/>
        </w:rPr>
        <w:t xml:space="preserve"> </w:t>
      </w:r>
      <w:proofErr w:type="spellStart"/>
      <w:r w:rsidRPr="006A6AF4">
        <w:rPr>
          <w:i/>
        </w:rPr>
        <w:t>aequispinus</w:t>
      </w:r>
      <w:proofErr w:type="spellEnd"/>
      <w:r>
        <w:t xml:space="preserve"> in the laboratory.  Alaska</w:t>
      </w:r>
      <w:r w:rsidR="00191B39">
        <w:t xml:space="preserve"> Fishery Research Bulletin 8</w:t>
      </w:r>
      <w:r>
        <w:t>: 135–138.</w:t>
      </w:r>
    </w:p>
    <w:p w:rsidR="00DA7497" w:rsidRDefault="00DA7497" w:rsidP="0099436A">
      <w:pPr>
        <w:jc w:val="both"/>
      </w:pPr>
    </w:p>
    <w:p w:rsidR="00DA7497" w:rsidRDefault="00DA7497" w:rsidP="00DA7497">
      <w:pPr>
        <w:ind w:left="720" w:hanging="720"/>
        <w:jc w:val="both"/>
      </w:pPr>
      <w:proofErr w:type="gramStart"/>
      <w:r>
        <w:t>Paul, A. J., and J. M. Paul.</w:t>
      </w:r>
      <w:proofErr w:type="gramEnd"/>
      <w:r>
        <w:t xml:space="preserve">  2001</w:t>
      </w:r>
      <w:r w:rsidR="0099436A">
        <w:t>b</w:t>
      </w:r>
      <w:r>
        <w:t xml:space="preserve">. </w:t>
      </w:r>
      <w:proofErr w:type="gramStart"/>
      <w:r>
        <w:t>The</w:t>
      </w:r>
      <w:proofErr w:type="gramEnd"/>
      <w:r>
        <w:t xml:space="preserve"> reproductive cycle of golden king crab </w:t>
      </w:r>
      <w:proofErr w:type="spellStart"/>
      <w:r w:rsidRPr="006A6AF4">
        <w:rPr>
          <w:i/>
        </w:rPr>
        <w:t>Lithodes</w:t>
      </w:r>
      <w:proofErr w:type="spellEnd"/>
      <w:r w:rsidRPr="006A6AF4">
        <w:rPr>
          <w:i/>
        </w:rPr>
        <w:t xml:space="preserve"> </w:t>
      </w:r>
      <w:proofErr w:type="spellStart"/>
      <w:r w:rsidRPr="006A6AF4">
        <w:rPr>
          <w:i/>
        </w:rPr>
        <w:t>aequispinus</w:t>
      </w:r>
      <w:proofErr w:type="spellEnd"/>
      <w:r w:rsidR="00C84CD0">
        <w:t xml:space="preserve"> (</w:t>
      </w:r>
      <w:proofErr w:type="spellStart"/>
      <w:r w:rsidR="00C84CD0">
        <w:t>Anomura</w:t>
      </w:r>
      <w:proofErr w:type="spellEnd"/>
      <w:r w:rsidR="00C84CD0">
        <w:t xml:space="preserve">: </w:t>
      </w:r>
      <w:proofErr w:type="spellStart"/>
      <w:r w:rsidR="00C84CD0">
        <w:t>Lithodidae</w:t>
      </w:r>
      <w:proofErr w:type="spellEnd"/>
      <w:r w:rsidR="00C84CD0">
        <w:t>).  Journal of</w:t>
      </w:r>
      <w:r>
        <w:t xml:space="preserve"> Shellfish Res</w:t>
      </w:r>
      <w:r w:rsidR="00C84CD0">
        <w:t>earch</w:t>
      </w:r>
      <w:r>
        <w:t xml:space="preserve"> 20:369–371.</w:t>
      </w:r>
    </w:p>
    <w:p w:rsidR="00DA7497" w:rsidRDefault="00DA7497" w:rsidP="00DA7497">
      <w:pPr>
        <w:ind w:left="720" w:hanging="720"/>
        <w:jc w:val="both"/>
      </w:pPr>
    </w:p>
    <w:p w:rsidR="00B95441" w:rsidRDefault="00B95441" w:rsidP="00B95441">
      <w:pPr>
        <w:ind w:left="720" w:hanging="720"/>
        <w:jc w:val="both"/>
      </w:pPr>
      <w:proofErr w:type="gramStart"/>
      <w:r>
        <w:t>Shirley, T. C.,</w:t>
      </w:r>
      <w:r w:rsidR="00E57103">
        <w:rPr>
          <w:noProof/>
          <w:lang w:val="en-US" w:eastAsia="en-US"/>
        </w:rPr>
        <w:drawing>
          <wp:inline distT="0" distB="0" distL="0" distR="0">
            <wp:extent cx="12700" cy="12700"/>
            <wp:effectExtent l="19050" t="0" r="6350" b="0"/>
            <wp:docPr id="2" name="Picture 2" descr="one_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_pix"/>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r>
        <w:t xml:space="preserve"> and S. Zhou</w:t>
      </w:r>
      <w:r w:rsidR="00E57103">
        <w:rPr>
          <w:noProof/>
          <w:lang w:val="en-US" w:eastAsia="en-US"/>
        </w:rPr>
        <w:drawing>
          <wp:inline distT="0" distB="0" distL="0" distR="0">
            <wp:extent cx="12700" cy="12700"/>
            <wp:effectExtent l="19050" t="0" r="6350" b="0"/>
            <wp:docPr id="3" name="Picture 3" descr="one_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_pix"/>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r>
        <w:t>.</w:t>
      </w:r>
      <w:proofErr w:type="gramEnd"/>
      <w:r>
        <w:t xml:space="preserve"> </w:t>
      </w:r>
      <w:r>
        <w:rPr>
          <w:rStyle w:val="nlmyear"/>
        </w:rPr>
        <w:t>1997</w:t>
      </w:r>
      <w:r>
        <w:t xml:space="preserve">. </w:t>
      </w:r>
      <w:proofErr w:type="spellStart"/>
      <w:r>
        <w:rPr>
          <w:rStyle w:val="nlmarticle-title"/>
        </w:rPr>
        <w:t>Lecithotrophic</w:t>
      </w:r>
      <w:proofErr w:type="spellEnd"/>
      <w:r>
        <w:rPr>
          <w:rStyle w:val="nlmarticle-title"/>
        </w:rPr>
        <w:t xml:space="preserve"> development of the golden king crab </w:t>
      </w:r>
      <w:proofErr w:type="spellStart"/>
      <w:r>
        <w:rPr>
          <w:rStyle w:val="nlmarticle-title"/>
          <w:i/>
          <w:iCs/>
        </w:rPr>
        <w:t>Lithodes</w:t>
      </w:r>
      <w:proofErr w:type="spellEnd"/>
      <w:r>
        <w:rPr>
          <w:rStyle w:val="nlmarticle-title"/>
          <w:i/>
          <w:iCs/>
        </w:rPr>
        <w:t xml:space="preserve"> </w:t>
      </w:r>
      <w:proofErr w:type="spellStart"/>
      <w:r>
        <w:rPr>
          <w:rStyle w:val="nlmarticle-title"/>
          <w:i/>
          <w:iCs/>
        </w:rPr>
        <w:t>aequispinus</w:t>
      </w:r>
      <w:proofErr w:type="spellEnd"/>
      <w:r>
        <w:rPr>
          <w:rStyle w:val="nlmarticle-title"/>
        </w:rPr>
        <w:t xml:space="preserve"> (</w:t>
      </w:r>
      <w:proofErr w:type="spellStart"/>
      <w:r>
        <w:rPr>
          <w:rStyle w:val="nlmarticle-title"/>
        </w:rPr>
        <w:t>Anomura</w:t>
      </w:r>
      <w:proofErr w:type="spellEnd"/>
      <w:r>
        <w:rPr>
          <w:rStyle w:val="nlmarticle-title"/>
        </w:rPr>
        <w:t xml:space="preserve">: </w:t>
      </w:r>
      <w:proofErr w:type="spellStart"/>
      <w:r>
        <w:rPr>
          <w:rStyle w:val="nlmarticle-title"/>
        </w:rPr>
        <w:t>Lithodidae</w:t>
      </w:r>
      <w:proofErr w:type="spellEnd"/>
      <w:r>
        <w:rPr>
          <w:rStyle w:val="nlmarticle-title"/>
        </w:rPr>
        <w:t>).</w:t>
      </w:r>
      <w:r>
        <w:t xml:space="preserve"> Journal of Crustacean Biology 17:</w:t>
      </w:r>
      <w:r>
        <w:rPr>
          <w:rStyle w:val="nlmfpage"/>
        </w:rPr>
        <w:t>207</w:t>
      </w:r>
      <w:r>
        <w:t>–</w:t>
      </w:r>
      <w:r>
        <w:rPr>
          <w:rStyle w:val="nlmlpage"/>
        </w:rPr>
        <w:t>216.</w:t>
      </w:r>
    </w:p>
    <w:p w:rsidR="00B95441" w:rsidRDefault="00B95441" w:rsidP="00B95441">
      <w:pPr>
        <w:ind w:left="720" w:hanging="720"/>
        <w:jc w:val="both"/>
      </w:pPr>
    </w:p>
    <w:p w:rsidR="007911BE" w:rsidRPr="007C7192" w:rsidRDefault="00AC7D12" w:rsidP="00AC7D12">
      <w:pPr>
        <w:ind w:left="720" w:hanging="720"/>
        <w:jc w:val="both"/>
      </w:pPr>
      <w:proofErr w:type="gramStart"/>
      <w:r>
        <w:rPr>
          <w:lang w:val="en-US" w:eastAsia="en-US"/>
        </w:rPr>
        <w:t>Siddeek, M.S.M., D. Pengilly, and J. Zheng.</w:t>
      </w:r>
      <w:proofErr w:type="gramEnd"/>
      <w:r>
        <w:rPr>
          <w:lang w:val="en-US" w:eastAsia="en-US"/>
        </w:rPr>
        <w:t xml:space="preserve"> 2011. Aleutian Islands golden king crab (</w:t>
      </w:r>
      <w:proofErr w:type="spellStart"/>
      <w:r w:rsidRPr="0067636F">
        <w:rPr>
          <w:i/>
          <w:lang w:val="en-US" w:eastAsia="en-US"/>
        </w:rPr>
        <w:t>Lithodes</w:t>
      </w:r>
      <w:proofErr w:type="spellEnd"/>
      <w:r w:rsidRPr="0067636F">
        <w:rPr>
          <w:i/>
          <w:lang w:val="en-US" w:eastAsia="en-US"/>
        </w:rPr>
        <w:t xml:space="preserve"> </w:t>
      </w:r>
      <w:proofErr w:type="spellStart"/>
      <w:r w:rsidRPr="0067636F">
        <w:rPr>
          <w:i/>
          <w:lang w:val="en-US" w:eastAsia="en-US"/>
        </w:rPr>
        <w:t>aequispinus</w:t>
      </w:r>
      <w:proofErr w:type="spellEnd"/>
      <w:r>
        <w:rPr>
          <w:lang w:val="en-US" w:eastAsia="en-US"/>
        </w:rPr>
        <w:t xml:space="preserve">) model based stock assessment. </w:t>
      </w:r>
      <w:hyperlink r:id="rId10" w:history="1">
        <w:r w:rsidRPr="009433A7">
          <w:rPr>
            <w:rStyle w:val="Hyperlink"/>
            <w:lang w:val="en-US" w:eastAsia="en-US"/>
          </w:rPr>
          <w:t>http://www.fakr.noaa.gov/npfmc/PDFdocuments/membership/PlanTeam/Crab/GKCModelBasedAssessWorkShopJan2012.pdf</w:t>
        </w:r>
      </w:hyperlink>
      <w:r>
        <w:rPr>
          <w:lang w:val="en-US" w:eastAsia="en-US"/>
        </w:rPr>
        <w:t xml:space="preserve"> </w:t>
      </w:r>
    </w:p>
    <w:p w:rsidR="00D10268" w:rsidRPr="00934FB2" w:rsidRDefault="00D10268" w:rsidP="008B78E9">
      <w:pPr>
        <w:ind w:left="720" w:hanging="720"/>
        <w:jc w:val="both"/>
      </w:pPr>
    </w:p>
    <w:p w:rsidR="00B80883" w:rsidRPr="00E541D4" w:rsidRDefault="00B80883" w:rsidP="00B80883">
      <w:pPr>
        <w:tabs>
          <w:tab w:val="left" w:pos="0"/>
          <w:tab w:val="left" w:pos="9360"/>
        </w:tabs>
        <w:suppressAutoHyphens/>
        <w:ind w:left="720" w:hanging="720"/>
        <w:rPr>
          <w:szCs w:val="22"/>
        </w:rPr>
      </w:pPr>
      <w:r w:rsidRPr="00E541D4">
        <w:rPr>
          <w:szCs w:val="22"/>
        </w:rPr>
        <w:t xml:space="preserve">Sloan, N.A. 1985. </w:t>
      </w:r>
      <w:proofErr w:type="gramStart"/>
      <w:r w:rsidRPr="00E541D4">
        <w:rPr>
          <w:szCs w:val="22"/>
        </w:rPr>
        <w:t xml:space="preserve">Life history characteristics of fjord-dwelling golden king crabs </w:t>
      </w:r>
      <w:proofErr w:type="spellStart"/>
      <w:r w:rsidRPr="00E541D4">
        <w:rPr>
          <w:i/>
          <w:szCs w:val="22"/>
        </w:rPr>
        <w:t>Lithodes</w:t>
      </w:r>
      <w:proofErr w:type="spellEnd"/>
      <w:r w:rsidRPr="00E541D4">
        <w:rPr>
          <w:i/>
          <w:szCs w:val="22"/>
        </w:rPr>
        <w:t xml:space="preserve"> </w:t>
      </w:r>
      <w:proofErr w:type="spellStart"/>
      <w:r w:rsidRPr="00E541D4">
        <w:rPr>
          <w:i/>
          <w:szCs w:val="22"/>
        </w:rPr>
        <w:t>aequispina</w:t>
      </w:r>
      <w:proofErr w:type="spellEnd"/>
      <w:r w:rsidRPr="00E541D4">
        <w:rPr>
          <w:szCs w:val="22"/>
        </w:rPr>
        <w:t>.</w:t>
      </w:r>
      <w:proofErr w:type="gramEnd"/>
      <w:r w:rsidRPr="00E541D4">
        <w:rPr>
          <w:szCs w:val="22"/>
        </w:rPr>
        <w:t xml:space="preserve"> Mar. Ecol. </w:t>
      </w:r>
      <w:proofErr w:type="spellStart"/>
      <w:r w:rsidRPr="00E541D4">
        <w:rPr>
          <w:szCs w:val="22"/>
        </w:rPr>
        <w:t>Prog</w:t>
      </w:r>
      <w:proofErr w:type="spellEnd"/>
      <w:r w:rsidRPr="00E541D4">
        <w:rPr>
          <w:szCs w:val="22"/>
        </w:rPr>
        <w:t>. Ser. 22:219-228.</w:t>
      </w:r>
    </w:p>
    <w:p w:rsidR="00B80883" w:rsidRPr="00E541D4" w:rsidRDefault="00B80883" w:rsidP="00B80883">
      <w:pPr>
        <w:ind w:left="720" w:hanging="720"/>
        <w:jc w:val="both"/>
        <w:rPr>
          <w:szCs w:val="22"/>
        </w:rPr>
      </w:pPr>
    </w:p>
    <w:p w:rsidR="002E2591" w:rsidRPr="008C557A" w:rsidRDefault="002E2591" w:rsidP="002E2591">
      <w:pPr>
        <w:ind w:left="720" w:hanging="720"/>
        <w:jc w:val="both"/>
        <w:rPr>
          <w:szCs w:val="22"/>
        </w:rPr>
      </w:pPr>
      <w:proofErr w:type="gramStart"/>
      <w:r w:rsidRPr="008C557A">
        <w:rPr>
          <w:szCs w:val="22"/>
        </w:rPr>
        <w:t>Somerton, D.A., and R.S. Otto.</w:t>
      </w:r>
      <w:proofErr w:type="gramEnd"/>
      <w:r w:rsidRPr="008C557A">
        <w:rPr>
          <w:szCs w:val="22"/>
        </w:rPr>
        <w:t xml:space="preserve"> 1986. Distribution and reproductive biology of the golden king crab, </w:t>
      </w:r>
      <w:proofErr w:type="spellStart"/>
      <w:r w:rsidRPr="008C557A">
        <w:rPr>
          <w:i/>
          <w:szCs w:val="22"/>
        </w:rPr>
        <w:t>Lithodes</w:t>
      </w:r>
      <w:proofErr w:type="spellEnd"/>
      <w:r w:rsidRPr="008C557A">
        <w:rPr>
          <w:i/>
          <w:szCs w:val="22"/>
        </w:rPr>
        <w:t xml:space="preserve"> </w:t>
      </w:r>
      <w:proofErr w:type="spellStart"/>
      <w:r w:rsidRPr="008C557A">
        <w:rPr>
          <w:i/>
          <w:szCs w:val="22"/>
        </w:rPr>
        <w:t>aequispina</w:t>
      </w:r>
      <w:proofErr w:type="spellEnd"/>
      <w:r w:rsidRPr="008C557A">
        <w:rPr>
          <w:szCs w:val="22"/>
        </w:rPr>
        <w:t xml:space="preserve">, in the eastern </w:t>
      </w:r>
      <w:smartTag w:uri="urn:schemas-microsoft-com:office:smarttags" w:element="place">
        <w:r w:rsidRPr="008C557A">
          <w:rPr>
            <w:szCs w:val="22"/>
          </w:rPr>
          <w:t>Bering Sea</w:t>
        </w:r>
      </w:smartTag>
      <w:r w:rsidRPr="008C557A">
        <w:rPr>
          <w:szCs w:val="22"/>
        </w:rPr>
        <w:t xml:space="preserve">. </w:t>
      </w:r>
      <w:proofErr w:type="gramStart"/>
      <w:r w:rsidRPr="008C557A">
        <w:rPr>
          <w:szCs w:val="22"/>
        </w:rPr>
        <w:t>Fish.</w:t>
      </w:r>
      <w:proofErr w:type="gramEnd"/>
      <w:r w:rsidRPr="008C557A">
        <w:rPr>
          <w:szCs w:val="22"/>
        </w:rPr>
        <w:t xml:space="preserve"> Bull. 84:571-584.</w:t>
      </w:r>
    </w:p>
    <w:p w:rsidR="002E2591" w:rsidRPr="008C557A" w:rsidRDefault="002E2591" w:rsidP="002E2591">
      <w:pPr>
        <w:jc w:val="both"/>
        <w:rPr>
          <w:szCs w:val="22"/>
        </w:rPr>
      </w:pPr>
    </w:p>
    <w:p w:rsidR="00F359B7" w:rsidRPr="00F359B7" w:rsidRDefault="00F359B7" w:rsidP="00F359B7">
      <w:pPr>
        <w:pStyle w:val="Heading2"/>
        <w:spacing w:before="0" w:after="0"/>
        <w:ind w:left="720" w:hanging="720"/>
        <w:jc w:val="both"/>
        <w:rPr>
          <w:rFonts w:ascii="Times New Roman" w:hAnsi="Times New Roman"/>
          <w:b w:val="0"/>
          <w:sz w:val="24"/>
          <w:szCs w:val="24"/>
        </w:rPr>
      </w:pPr>
      <w:proofErr w:type="gramStart"/>
      <w:r w:rsidRPr="00934FB2">
        <w:rPr>
          <w:rFonts w:ascii="Times New Roman" w:hAnsi="Times New Roman"/>
          <w:b w:val="0"/>
          <w:sz w:val="24"/>
          <w:szCs w:val="24"/>
        </w:rPr>
        <w:t>Watson, L. J., D. Pengilly, and S. F. Blau.</w:t>
      </w:r>
      <w:proofErr w:type="gramEnd"/>
      <w:r w:rsidRPr="00934FB2">
        <w:rPr>
          <w:rFonts w:ascii="Times New Roman" w:hAnsi="Times New Roman"/>
          <w:b w:val="0"/>
          <w:sz w:val="24"/>
          <w:szCs w:val="24"/>
        </w:rPr>
        <w:t xml:space="preserve">  2002.  Growth and molting probability of golden king crabs (</w:t>
      </w:r>
      <w:proofErr w:type="spellStart"/>
      <w:r w:rsidRPr="00934FB2">
        <w:rPr>
          <w:rFonts w:ascii="Times New Roman" w:hAnsi="Times New Roman"/>
          <w:b w:val="0"/>
          <w:i/>
          <w:sz w:val="24"/>
          <w:szCs w:val="24"/>
        </w:rPr>
        <w:t>Lithodes</w:t>
      </w:r>
      <w:proofErr w:type="spellEnd"/>
      <w:r w:rsidRPr="00934FB2">
        <w:rPr>
          <w:rFonts w:ascii="Times New Roman" w:hAnsi="Times New Roman"/>
          <w:b w:val="0"/>
          <w:i/>
          <w:sz w:val="24"/>
          <w:szCs w:val="24"/>
        </w:rPr>
        <w:t xml:space="preserve"> </w:t>
      </w:r>
      <w:proofErr w:type="spellStart"/>
      <w:r w:rsidRPr="00934FB2">
        <w:rPr>
          <w:rFonts w:ascii="Times New Roman" w:hAnsi="Times New Roman"/>
          <w:b w:val="0"/>
          <w:i/>
          <w:sz w:val="24"/>
          <w:szCs w:val="24"/>
        </w:rPr>
        <w:t>aequispinus</w:t>
      </w:r>
      <w:proofErr w:type="spellEnd"/>
      <w:r w:rsidRPr="00934FB2">
        <w:rPr>
          <w:rFonts w:ascii="Times New Roman" w:hAnsi="Times New Roman"/>
          <w:b w:val="0"/>
          <w:sz w:val="24"/>
          <w:szCs w:val="24"/>
        </w:rPr>
        <w:t xml:space="preserve">) in the eastern Aleutian Islands, </w:t>
      </w:r>
      <w:smartTag w:uri="urn:schemas-microsoft-com:office:smarttags" w:element="State">
        <w:smartTag w:uri="urn:schemas-microsoft-com:office:smarttags" w:element="place">
          <w:r w:rsidRPr="00934FB2">
            <w:rPr>
              <w:rFonts w:ascii="Times New Roman" w:hAnsi="Times New Roman"/>
              <w:b w:val="0"/>
              <w:sz w:val="24"/>
              <w:szCs w:val="24"/>
            </w:rPr>
            <w:t>Alaska</w:t>
          </w:r>
        </w:smartTag>
      </w:smartTag>
      <w:r w:rsidRPr="00934FB2">
        <w:rPr>
          <w:rFonts w:ascii="Times New Roman" w:hAnsi="Times New Roman"/>
          <w:b w:val="0"/>
          <w:sz w:val="24"/>
          <w:szCs w:val="24"/>
        </w:rPr>
        <w:t xml:space="preserve">.  </w:t>
      </w:r>
      <w:proofErr w:type="gramStart"/>
      <w:r w:rsidRPr="00934FB2">
        <w:rPr>
          <w:rFonts w:ascii="Times New Roman" w:hAnsi="Times New Roman"/>
          <w:b w:val="0"/>
          <w:sz w:val="24"/>
          <w:szCs w:val="24"/>
        </w:rPr>
        <w:t>Pages 169–</w:t>
      </w:r>
      <w:r w:rsidRPr="00F359B7">
        <w:rPr>
          <w:rFonts w:ascii="Times New Roman" w:hAnsi="Times New Roman"/>
          <w:b w:val="0"/>
          <w:sz w:val="24"/>
          <w:szCs w:val="24"/>
        </w:rPr>
        <w:t xml:space="preserve">187 </w:t>
      </w:r>
      <w:r w:rsidRPr="00F359B7">
        <w:rPr>
          <w:rFonts w:ascii="Times New Roman" w:hAnsi="Times New Roman"/>
          <w:b w:val="0"/>
          <w:i/>
          <w:sz w:val="24"/>
          <w:szCs w:val="24"/>
        </w:rPr>
        <w:t>in</w:t>
      </w:r>
      <w:r w:rsidRPr="00F359B7">
        <w:rPr>
          <w:rFonts w:ascii="Times New Roman" w:hAnsi="Times New Roman"/>
          <w:b w:val="0"/>
          <w:sz w:val="24"/>
          <w:szCs w:val="24"/>
        </w:rPr>
        <w:t xml:space="preserve"> 2002.</w:t>
      </w:r>
      <w:proofErr w:type="gramEnd"/>
      <w:r w:rsidRPr="00F359B7">
        <w:rPr>
          <w:rFonts w:ascii="Times New Roman" w:hAnsi="Times New Roman"/>
          <w:b w:val="0"/>
          <w:sz w:val="24"/>
          <w:szCs w:val="24"/>
        </w:rPr>
        <w:t xml:space="preserve"> A. J. Paul, E. G. </w:t>
      </w:r>
      <w:proofErr w:type="spellStart"/>
      <w:r w:rsidRPr="00F359B7">
        <w:rPr>
          <w:rFonts w:ascii="Times New Roman" w:hAnsi="Times New Roman"/>
          <w:b w:val="0"/>
          <w:sz w:val="24"/>
          <w:szCs w:val="24"/>
        </w:rPr>
        <w:t>Elner</w:t>
      </w:r>
      <w:proofErr w:type="spellEnd"/>
      <w:r w:rsidRPr="00F359B7">
        <w:rPr>
          <w:rFonts w:ascii="Times New Roman" w:hAnsi="Times New Roman"/>
          <w:b w:val="0"/>
          <w:sz w:val="24"/>
          <w:szCs w:val="24"/>
        </w:rPr>
        <w:t>, G. S. Jamieson, G. H. Kruse, R. S. Otto, B. Sainte-Marie, T. C. Shirley, and D. Woodby (eds</w:t>
      </w:r>
      <w:r w:rsidR="00C84CD0">
        <w:rPr>
          <w:rFonts w:ascii="Times New Roman" w:hAnsi="Times New Roman"/>
          <w:b w:val="0"/>
          <w:sz w:val="24"/>
          <w:szCs w:val="24"/>
        </w:rPr>
        <w:t>.</w:t>
      </w:r>
      <w:r w:rsidRPr="00F359B7">
        <w:rPr>
          <w:rFonts w:ascii="Times New Roman" w:hAnsi="Times New Roman"/>
          <w:b w:val="0"/>
          <w:sz w:val="24"/>
          <w:szCs w:val="24"/>
        </w:rPr>
        <w:t xml:space="preserve">). Crabs in coldwater regions: Biology, Management, and Economics.  </w:t>
      </w:r>
      <w:proofErr w:type="gramStart"/>
      <w:r w:rsidRPr="00F359B7">
        <w:rPr>
          <w:rFonts w:ascii="Times New Roman" w:hAnsi="Times New Roman"/>
          <w:b w:val="0"/>
          <w:sz w:val="24"/>
          <w:szCs w:val="24"/>
        </w:rPr>
        <w:t>University of Alaska Sea Grant, AK-SG-02-01, Fairbanks.</w:t>
      </w:r>
      <w:proofErr w:type="gramEnd"/>
    </w:p>
    <w:p w:rsidR="00020BE9" w:rsidRDefault="00020BE9" w:rsidP="00020BE9">
      <w:pPr>
        <w:ind w:left="720" w:hanging="720"/>
        <w:jc w:val="both"/>
        <w:rPr>
          <w:szCs w:val="22"/>
        </w:rPr>
      </w:pPr>
    </w:p>
    <w:p w:rsidR="00020BE9" w:rsidRDefault="00020BE9" w:rsidP="00020BE9">
      <w:pPr>
        <w:ind w:left="720" w:hanging="720"/>
        <w:jc w:val="both"/>
        <w:rPr>
          <w:szCs w:val="22"/>
        </w:rPr>
      </w:pPr>
    </w:p>
    <w:p w:rsidR="00020BE9" w:rsidRPr="00623F76" w:rsidRDefault="00020BE9" w:rsidP="009D16D6">
      <w:pPr>
        <w:ind w:left="720" w:hanging="720"/>
        <w:jc w:val="both"/>
      </w:pPr>
    </w:p>
    <w:p w:rsidR="009D16D6" w:rsidRPr="009D16D6" w:rsidRDefault="009D16D6" w:rsidP="009D16D6">
      <w:pPr>
        <w:rPr>
          <w:lang w:val="en-US" w:eastAsia="en-US"/>
        </w:rPr>
      </w:pPr>
    </w:p>
    <w:p w:rsidR="0082591C" w:rsidRPr="0082591C" w:rsidRDefault="009D16D6" w:rsidP="00DB53A4">
      <w:pPr>
        <w:pStyle w:val="Caption"/>
        <w:jc w:val="both"/>
        <w:rPr>
          <w:b/>
          <w:sz w:val="24"/>
          <w:szCs w:val="24"/>
          <w:u w:val="none"/>
        </w:rPr>
      </w:pPr>
      <w:r>
        <w:rPr>
          <w:sz w:val="24"/>
          <w:szCs w:val="24"/>
          <w:u w:val="none"/>
        </w:rPr>
        <w:br w:type="page"/>
      </w:r>
      <w:proofErr w:type="gramStart"/>
      <w:r w:rsidR="0082591C" w:rsidRPr="00010A75">
        <w:rPr>
          <w:b/>
          <w:sz w:val="24"/>
          <w:szCs w:val="24"/>
        </w:rPr>
        <w:lastRenderedPageBreak/>
        <w:t>Table of Tables</w:t>
      </w:r>
      <w:r w:rsidR="0082591C" w:rsidRPr="0082591C">
        <w:rPr>
          <w:b/>
          <w:sz w:val="24"/>
          <w:szCs w:val="24"/>
          <w:u w:val="none"/>
        </w:rPr>
        <w:t>.</w:t>
      </w:r>
      <w:proofErr w:type="gramEnd"/>
    </w:p>
    <w:p w:rsidR="0082591C" w:rsidRDefault="0082591C" w:rsidP="00DB53A4">
      <w:pPr>
        <w:pStyle w:val="Caption"/>
        <w:jc w:val="both"/>
        <w:rPr>
          <w:sz w:val="24"/>
          <w:szCs w:val="24"/>
          <w:u w:val="none"/>
        </w:rPr>
      </w:pPr>
    </w:p>
    <w:p w:rsidR="0082591C" w:rsidRPr="002B1761" w:rsidRDefault="0082591C" w:rsidP="002B1761">
      <w:pPr>
        <w:pStyle w:val="Caption"/>
        <w:jc w:val="both"/>
        <w:rPr>
          <w:sz w:val="24"/>
          <w:szCs w:val="24"/>
          <w:u w:val="none"/>
        </w:rPr>
      </w:pPr>
      <w:r w:rsidRPr="00585E7D">
        <w:rPr>
          <w:b/>
          <w:sz w:val="24"/>
          <w:szCs w:val="24"/>
          <w:u w:val="none"/>
        </w:rPr>
        <w:t>T</w:t>
      </w:r>
      <w:r w:rsidRPr="009150FE">
        <w:rPr>
          <w:b/>
          <w:sz w:val="24"/>
          <w:szCs w:val="24"/>
          <w:u w:val="none"/>
        </w:rPr>
        <w:t>able 1</w:t>
      </w:r>
      <w:r w:rsidR="00585E7D" w:rsidRPr="009150FE">
        <w:rPr>
          <w:b/>
          <w:sz w:val="24"/>
          <w:szCs w:val="24"/>
          <w:u w:val="none"/>
        </w:rPr>
        <w:t xml:space="preserve">: page </w:t>
      </w:r>
      <w:r w:rsidR="009150FE" w:rsidRPr="009150FE">
        <w:rPr>
          <w:b/>
          <w:sz w:val="24"/>
          <w:szCs w:val="24"/>
          <w:u w:val="none"/>
        </w:rPr>
        <w:t>22</w:t>
      </w:r>
      <w:r w:rsidRPr="00585E7D">
        <w:rPr>
          <w:b/>
          <w:sz w:val="24"/>
          <w:szCs w:val="24"/>
          <w:u w:val="none"/>
        </w:rPr>
        <w:t>.</w:t>
      </w:r>
      <w:r w:rsidRPr="002B1761">
        <w:rPr>
          <w:sz w:val="24"/>
          <w:szCs w:val="24"/>
          <w:u w:val="none"/>
        </w:rPr>
        <w:t xml:space="preserve"> Harvest history for the Pribilof </w:t>
      </w:r>
      <w:r w:rsidR="002712DB">
        <w:rPr>
          <w:sz w:val="24"/>
          <w:szCs w:val="24"/>
          <w:u w:val="none"/>
        </w:rPr>
        <w:t>District</w:t>
      </w:r>
      <w:r w:rsidRPr="002B1761">
        <w:rPr>
          <w:sz w:val="24"/>
          <w:szCs w:val="24"/>
          <w:u w:val="none"/>
        </w:rPr>
        <w:t xml:space="preserve"> golden king crab fishery from the 1981/82 season through 201</w:t>
      </w:r>
      <w:r w:rsidR="008D1854">
        <w:rPr>
          <w:sz w:val="24"/>
          <w:szCs w:val="24"/>
          <w:u w:val="none"/>
        </w:rPr>
        <w:t>2</w:t>
      </w:r>
      <w:r w:rsidRPr="002B1761">
        <w:rPr>
          <w:sz w:val="24"/>
          <w:szCs w:val="24"/>
          <w:u w:val="none"/>
        </w:rPr>
        <w:t xml:space="preserve"> (from 201</w:t>
      </w:r>
      <w:r w:rsidR="008D1854">
        <w:rPr>
          <w:sz w:val="24"/>
          <w:szCs w:val="24"/>
          <w:u w:val="none"/>
        </w:rPr>
        <w:t>2</w:t>
      </w:r>
      <w:r w:rsidRPr="002B1761">
        <w:rPr>
          <w:sz w:val="24"/>
          <w:szCs w:val="24"/>
          <w:u w:val="none"/>
        </w:rPr>
        <w:t xml:space="preserve"> SAFE, </w:t>
      </w:r>
      <w:r w:rsidR="008D1854">
        <w:rPr>
          <w:sz w:val="24"/>
          <w:szCs w:val="24"/>
          <w:u w:val="none"/>
        </w:rPr>
        <w:t xml:space="preserve">updated with 2012 data provided by J. </w:t>
      </w:r>
      <w:proofErr w:type="spellStart"/>
      <w:r w:rsidR="008D1854">
        <w:rPr>
          <w:sz w:val="24"/>
          <w:szCs w:val="24"/>
          <w:u w:val="none"/>
        </w:rPr>
        <w:t>Shaisnikoff</w:t>
      </w:r>
      <w:proofErr w:type="spellEnd"/>
      <w:r w:rsidR="008D1854">
        <w:rPr>
          <w:sz w:val="24"/>
          <w:szCs w:val="24"/>
          <w:u w:val="none"/>
        </w:rPr>
        <w:t>, ADF&amp;G, Kodiak via 28 March 2013 email</w:t>
      </w:r>
      <w:r w:rsidRPr="002B1761">
        <w:rPr>
          <w:sz w:val="24"/>
          <w:szCs w:val="24"/>
          <w:u w:val="none"/>
        </w:rPr>
        <w:t>).</w:t>
      </w:r>
    </w:p>
    <w:p w:rsidR="0082591C" w:rsidRPr="002B1761" w:rsidRDefault="0082591C" w:rsidP="002B1761">
      <w:pPr>
        <w:pStyle w:val="Caption"/>
        <w:jc w:val="both"/>
        <w:rPr>
          <w:sz w:val="24"/>
          <w:szCs w:val="24"/>
          <w:u w:val="none"/>
        </w:rPr>
      </w:pPr>
    </w:p>
    <w:p w:rsidR="002B1761" w:rsidRPr="002B1761" w:rsidRDefault="0082591C" w:rsidP="002B1761">
      <w:pPr>
        <w:pStyle w:val="Caption"/>
        <w:jc w:val="both"/>
        <w:rPr>
          <w:sz w:val="24"/>
          <w:szCs w:val="24"/>
          <w:u w:val="none"/>
        </w:rPr>
      </w:pPr>
      <w:r w:rsidRPr="00585E7D">
        <w:rPr>
          <w:b/>
          <w:sz w:val="24"/>
          <w:szCs w:val="24"/>
          <w:u w:val="none"/>
        </w:rPr>
        <w:t>Table 2</w:t>
      </w:r>
      <w:r w:rsidR="00585E7D" w:rsidRPr="00585E7D">
        <w:rPr>
          <w:b/>
          <w:sz w:val="24"/>
          <w:szCs w:val="24"/>
          <w:u w:val="none"/>
        </w:rPr>
        <w:t xml:space="preserve">: </w:t>
      </w:r>
      <w:r w:rsidR="00585E7D" w:rsidRPr="009150FE">
        <w:rPr>
          <w:b/>
          <w:sz w:val="24"/>
          <w:szCs w:val="24"/>
          <w:u w:val="none"/>
        </w:rPr>
        <w:t xml:space="preserve">page </w:t>
      </w:r>
      <w:r w:rsidR="00DF2002" w:rsidRPr="009150FE">
        <w:rPr>
          <w:b/>
          <w:sz w:val="24"/>
          <w:szCs w:val="24"/>
          <w:u w:val="none"/>
        </w:rPr>
        <w:t>2</w:t>
      </w:r>
      <w:r w:rsidR="009150FE" w:rsidRPr="009150FE">
        <w:rPr>
          <w:b/>
          <w:sz w:val="24"/>
          <w:szCs w:val="24"/>
          <w:u w:val="none"/>
        </w:rPr>
        <w:t>3</w:t>
      </w:r>
      <w:r w:rsidRPr="00585E7D">
        <w:rPr>
          <w:b/>
          <w:sz w:val="24"/>
          <w:szCs w:val="24"/>
          <w:u w:val="none"/>
        </w:rPr>
        <w:t>.</w:t>
      </w:r>
      <w:r w:rsidRPr="002B1761">
        <w:rPr>
          <w:sz w:val="24"/>
          <w:szCs w:val="24"/>
          <w:u w:val="none"/>
        </w:rPr>
        <w:t xml:space="preserve">  </w:t>
      </w:r>
      <w:r w:rsidR="00412E7B" w:rsidRPr="00412E7B">
        <w:rPr>
          <w:sz w:val="24"/>
          <w:szCs w:val="24"/>
          <w:u w:val="none"/>
          <w:lang w:val="en-AU"/>
        </w:rPr>
        <w:t>Weight (in pounds) of retained catch and estimated non-retained bycatch of Pribilof golden king crab during crab fisheries, 1993–2012, with total fishery mortality estimated by assuming a bycatch mortality rate of 0.2 for the directed fishery and a bycatch mortality rate of 0.5 for non-directed fisheries (from 2012 Crab SAFE, with update for 2012 catch and bycatch data)</w:t>
      </w:r>
      <w:r w:rsidR="00412E7B">
        <w:rPr>
          <w:sz w:val="24"/>
          <w:szCs w:val="24"/>
          <w:u w:val="none"/>
          <w:lang w:val="en-AU"/>
        </w:rPr>
        <w:t>.</w:t>
      </w:r>
    </w:p>
    <w:p w:rsidR="002B1761" w:rsidRPr="002B1761" w:rsidRDefault="002B1761" w:rsidP="002B1761">
      <w:pPr>
        <w:pStyle w:val="Caption"/>
        <w:jc w:val="both"/>
        <w:rPr>
          <w:sz w:val="24"/>
          <w:szCs w:val="24"/>
          <w:u w:val="none"/>
        </w:rPr>
      </w:pPr>
    </w:p>
    <w:p w:rsidR="002B1761" w:rsidRPr="002B1761" w:rsidRDefault="002B1761" w:rsidP="002B1761">
      <w:pPr>
        <w:pStyle w:val="Caption"/>
        <w:jc w:val="both"/>
        <w:rPr>
          <w:sz w:val="24"/>
          <w:szCs w:val="24"/>
          <w:u w:val="none"/>
        </w:rPr>
      </w:pPr>
      <w:r w:rsidRPr="00585E7D">
        <w:rPr>
          <w:b/>
          <w:sz w:val="24"/>
          <w:szCs w:val="24"/>
          <w:u w:val="none"/>
        </w:rPr>
        <w:t>Table 3</w:t>
      </w:r>
      <w:r w:rsidR="00585E7D" w:rsidRPr="00585E7D">
        <w:rPr>
          <w:b/>
          <w:sz w:val="24"/>
          <w:szCs w:val="24"/>
          <w:u w:val="none"/>
        </w:rPr>
        <w:t xml:space="preserve">: </w:t>
      </w:r>
      <w:r w:rsidR="00585E7D" w:rsidRPr="009150FE">
        <w:rPr>
          <w:b/>
          <w:sz w:val="24"/>
          <w:szCs w:val="24"/>
          <w:u w:val="none"/>
        </w:rPr>
        <w:t xml:space="preserve">page </w:t>
      </w:r>
      <w:r w:rsidR="00DF2002" w:rsidRPr="009150FE">
        <w:rPr>
          <w:b/>
          <w:sz w:val="24"/>
          <w:szCs w:val="24"/>
          <w:u w:val="none"/>
        </w:rPr>
        <w:t>2</w:t>
      </w:r>
      <w:r w:rsidR="009150FE">
        <w:rPr>
          <w:b/>
          <w:sz w:val="24"/>
          <w:szCs w:val="24"/>
          <w:u w:val="none"/>
        </w:rPr>
        <w:t>4</w:t>
      </w:r>
      <w:r w:rsidRPr="009150FE">
        <w:rPr>
          <w:b/>
          <w:sz w:val="24"/>
          <w:szCs w:val="24"/>
          <w:u w:val="none"/>
        </w:rPr>
        <w:t>.</w:t>
      </w:r>
      <w:r w:rsidRPr="002B1761">
        <w:rPr>
          <w:sz w:val="24"/>
          <w:szCs w:val="24"/>
          <w:u w:val="none"/>
        </w:rPr>
        <w:t xml:space="preserve">  </w:t>
      </w:r>
      <w:r w:rsidR="00412E7B" w:rsidRPr="00412E7B">
        <w:rPr>
          <w:sz w:val="24"/>
          <w:szCs w:val="24"/>
          <w:u w:val="none"/>
          <w:lang w:val="en-AU"/>
        </w:rPr>
        <w:t>Estimated annual weight (pounds) of discarded bycatch of Pribilof golden king crab (all sizes, males and females) during federal groundfish fisheries by gear type (fixed or trawl) in reporting areas 513, 517, and 521, 1991/92–2010/12, with total bycatch mortality (pounds) estimated by assuming bycatch mortality rate = 0.5 for fixed-gear fisheries and bycatch mortality rate = 0.8 for trawl fisheries (updated from 2012 SAFE with 2011/12 data provided by R. Foy AFSC, Kodiak Laboratory via 15 August 2012 email).</w:t>
      </w:r>
    </w:p>
    <w:p w:rsidR="002B1761" w:rsidRPr="002B1761" w:rsidRDefault="002B1761" w:rsidP="002B1761">
      <w:pPr>
        <w:pStyle w:val="Caption"/>
        <w:jc w:val="both"/>
        <w:rPr>
          <w:sz w:val="24"/>
          <w:szCs w:val="24"/>
          <w:u w:val="none"/>
        </w:rPr>
      </w:pPr>
    </w:p>
    <w:p w:rsidR="002B1761" w:rsidRPr="002B1761" w:rsidRDefault="002B1761" w:rsidP="002B1761">
      <w:pPr>
        <w:jc w:val="both"/>
        <w:rPr>
          <w:color w:val="000000"/>
          <w:lang w:val="en-US" w:eastAsia="en-US"/>
        </w:rPr>
      </w:pPr>
      <w:r w:rsidRPr="00585E7D">
        <w:rPr>
          <w:b/>
        </w:rPr>
        <w:t xml:space="preserve">Table </w:t>
      </w:r>
      <w:r w:rsidR="00010A75">
        <w:rPr>
          <w:b/>
        </w:rPr>
        <w:t>4</w:t>
      </w:r>
      <w:r w:rsidR="00585E7D" w:rsidRPr="00585E7D">
        <w:rPr>
          <w:b/>
        </w:rPr>
        <w:t xml:space="preserve">: </w:t>
      </w:r>
      <w:r w:rsidR="00585E7D" w:rsidRPr="009150FE">
        <w:rPr>
          <w:b/>
        </w:rPr>
        <w:t xml:space="preserve">page </w:t>
      </w:r>
      <w:r w:rsidR="00DF2002" w:rsidRPr="009150FE">
        <w:rPr>
          <w:b/>
        </w:rPr>
        <w:t>2</w:t>
      </w:r>
      <w:r w:rsidR="009150FE">
        <w:rPr>
          <w:b/>
        </w:rPr>
        <w:t>5</w:t>
      </w:r>
      <w:r w:rsidRPr="009150FE">
        <w:rPr>
          <w:b/>
        </w:rPr>
        <w:t>.</w:t>
      </w:r>
      <w:r w:rsidRPr="002B1761">
        <w:t xml:space="preserve"> Data for calculation of </w:t>
      </w:r>
      <w:r w:rsidRPr="002B1761">
        <w:rPr>
          <w:color w:val="000000"/>
          <w:lang w:val="en-US" w:eastAsia="en-US"/>
        </w:rPr>
        <w:t>RET</w:t>
      </w:r>
      <w:r w:rsidRPr="002B1761">
        <w:rPr>
          <w:color w:val="000000"/>
          <w:vertAlign w:val="subscript"/>
          <w:lang w:val="en-US" w:eastAsia="en-US"/>
        </w:rPr>
        <w:t>1993-1998</w:t>
      </w:r>
      <w:r w:rsidRPr="002B1761">
        <w:rPr>
          <w:color w:val="000000"/>
          <w:lang w:val="en-US" w:eastAsia="en-US"/>
        </w:rPr>
        <w:t xml:space="preserve"> </w:t>
      </w:r>
      <w:r w:rsidRPr="002B1761">
        <w:t xml:space="preserve">and estimates used in calculation of </w:t>
      </w:r>
      <w:r w:rsidRPr="002B1761">
        <w:rPr>
          <w:color w:val="000000"/>
          <w:lang w:val="en-US" w:eastAsia="en-US"/>
        </w:rPr>
        <w:t>R</w:t>
      </w:r>
      <w:r w:rsidRPr="002B1761">
        <w:rPr>
          <w:color w:val="000000"/>
          <w:vertAlign w:val="subscript"/>
          <w:lang w:val="en-US" w:eastAsia="en-US"/>
        </w:rPr>
        <w:t>2001-2010</w:t>
      </w:r>
      <w:r w:rsidRPr="002B1761">
        <w:rPr>
          <w:color w:val="000000"/>
          <w:lang w:val="en-US" w:eastAsia="en-US"/>
        </w:rPr>
        <w:t>, BM</w:t>
      </w:r>
      <w:r w:rsidRPr="002B1761">
        <w:rPr>
          <w:color w:val="000000"/>
          <w:vertAlign w:val="subscript"/>
          <w:lang w:val="en-US" w:eastAsia="en-US"/>
        </w:rPr>
        <w:t>NC,1994-1998</w:t>
      </w:r>
      <w:r w:rsidRPr="002B1761">
        <w:rPr>
          <w:color w:val="000000"/>
          <w:lang w:val="en-US" w:eastAsia="en-US"/>
        </w:rPr>
        <w:t>, and BM</w:t>
      </w:r>
      <w:r w:rsidRPr="002B1761">
        <w:rPr>
          <w:color w:val="000000"/>
          <w:vertAlign w:val="subscript"/>
          <w:lang w:val="en-US" w:eastAsia="en-US"/>
        </w:rPr>
        <w:t>GF,92/93-98/99</w:t>
      </w:r>
      <w:r w:rsidRPr="002B1761">
        <w:rPr>
          <w:color w:val="000000"/>
          <w:lang w:val="en-US" w:eastAsia="en-US"/>
        </w:rPr>
        <w:t xml:space="preserve"> for calculation of the Alternative 1 Pribilof Islands golden king crab Tier 5 2013 total-catch OFL; values under  RET</w:t>
      </w:r>
      <w:r w:rsidRPr="002B1761">
        <w:rPr>
          <w:color w:val="000000"/>
          <w:vertAlign w:val="subscript"/>
          <w:lang w:val="en-US" w:eastAsia="en-US"/>
        </w:rPr>
        <w:t>1993-1998</w:t>
      </w:r>
      <w:r w:rsidRPr="002B1761">
        <w:rPr>
          <w:color w:val="000000"/>
          <w:lang w:val="en-US" w:eastAsia="en-US"/>
        </w:rPr>
        <w:t xml:space="preserve"> are from Table 1, values under  R</w:t>
      </w:r>
      <w:r w:rsidRPr="002B1761">
        <w:rPr>
          <w:color w:val="000000"/>
          <w:vertAlign w:val="subscript"/>
          <w:lang w:val="en-US" w:eastAsia="en-US"/>
        </w:rPr>
        <w:t>2001-2010</w:t>
      </w:r>
      <w:r w:rsidRPr="002B1761">
        <w:rPr>
          <w:color w:val="000000"/>
          <w:lang w:val="en-US" w:eastAsia="en-US"/>
        </w:rPr>
        <w:t xml:space="preserve"> were computed from the retained catch data and the directed fishery bycatch estimates in Table 2 (assumed bycatch mortality rate = 0.2), values under  BM</w:t>
      </w:r>
      <w:r w:rsidRPr="002B1761">
        <w:rPr>
          <w:color w:val="000000"/>
          <w:vertAlign w:val="subscript"/>
          <w:lang w:val="en-US" w:eastAsia="en-US"/>
        </w:rPr>
        <w:t xml:space="preserve">NC,1994-1998 </w:t>
      </w:r>
      <w:r w:rsidRPr="002B1761">
        <w:rPr>
          <w:color w:val="000000"/>
          <w:lang w:val="en-US" w:eastAsia="en-US"/>
        </w:rPr>
        <w:t>were computed from the non-directed crab fishery bycatch estimates in Table 2 (assumed bycatch mortality rate = 0.5) and values under BM</w:t>
      </w:r>
      <w:r w:rsidRPr="002B1761">
        <w:rPr>
          <w:color w:val="000000"/>
          <w:vertAlign w:val="subscript"/>
          <w:lang w:val="en-US" w:eastAsia="en-US"/>
        </w:rPr>
        <w:t>GF,92/93-98/99</w:t>
      </w:r>
      <w:r w:rsidRPr="002B1761">
        <w:rPr>
          <w:color w:val="000000"/>
          <w:lang w:val="en-US" w:eastAsia="en-US"/>
        </w:rPr>
        <w:t xml:space="preserve"> are from Table 3.</w:t>
      </w:r>
    </w:p>
    <w:p w:rsidR="002B1761" w:rsidRPr="002B1761" w:rsidRDefault="002B1761" w:rsidP="002B1761">
      <w:pPr>
        <w:pStyle w:val="Caption"/>
        <w:jc w:val="both"/>
        <w:rPr>
          <w:sz w:val="24"/>
          <w:szCs w:val="24"/>
          <w:u w:val="none"/>
        </w:rPr>
      </w:pPr>
    </w:p>
    <w:p w:rsidR="002B1761" w:rsidRDefault="002B1761" w:rsidP="002B1761">
      <w:pPr>
        <w:jc w:val="both"/>
      </w:pPr>
      <w:r w:rsidRPr="00585E7D">
        <w:rPr>
          <w:b/>
        </w:rPr>
        <w:t xml:space="preserve">Table </w:t>
      </w:r>
      <w:r w:rsidR="00010A75">
        <w:rPr>
          <w:b/>
        </w:rPr>
        <w:t>5</w:t>
      </w:r>
      <w:r w:rsidR="00585E7D" w:rsidRPr="00585E7D">
        <w:rPr>
          <w:b/>
        </w:rPr>
        <w:t xml:space="preserve">: </w:t>
      </w:r>
      <w:r w:rsidR="00585E7D" w:rsidRPr="009150FE">
        <w:rPr>
          <w:b/>
        </w:rPr>
        <w:t xml:space="preserve">page </w:t>
      </w:r>
      <w:r w:rsidR="009150FE">
        <w:rPr>
          <w:b/>
        </w:rPr>
        <w:t>26</w:t>
      </w:r>
      <w:r w:rsidRPr="009150FE">
        <w:rPr>
          <w:b/>
        </w:rPr>
        <w:t>.</w:t>
      </w:r>
      <w:r w:rsidRPr="002B1761">
        <w:t xml:space="preserve"> </w:t>
      </w:r>
      <w:r w:rsidR="00010A75" w:rsidRPr="006A0BEC">
        <w:t>Statistics for 1,000 bootstrap 2014 OFL for Pribilof Islands golden king crab stock calculated according to Alternatives 1 with the computed OFL for comparison.</w:t>
      </w:r>
    </w:p>
    <w:p w:rsidR="00010A75" w:rsidRDefault="00010A75" w:rsidP="002B1761">
      <w:pPr>
        <w:jc w:val="both"/>
        <w:rPr>
          <w:b/>
        </w:rPr>
      </w:pPr>
    </w:p>
    <w:p w:rsidR="00010A75" w:rsidRDefault="00010A75" w:rsidP="002B1761">
      <w:pPr>
        <w:jc w:val="both"/>
        <w:rPr>
          <w:b/>
        </w:rPr>
      </w:pPr>
    </w:p>
    <w:p w:rsidR="003D31BE" w:rsidRPr="003D31BE" w:rsidRDefault="003D31BE" w:rsidP="002B1761">
      <w:pPr>
        <w:jc w:val="both"/>
        <w:rPr>
          <w:b/>
        </w:rPr>
      </w:pPr>
      <w:proofErr w:type="gramStart"/>
      <w:r w:rsidRPr="00010A75">
        <w:rPr>
          <w:b/>
          <w:u w:val="single"/>
        </w:rPr>
        <w:t>Table of Figures</w:t>
      </w:r>
      <w:r w:rsidRPr="003D31BE">
        <w:rPr>
          <w:b/>
        </w:rPr>
        <w:t>.</w:t>
      </w:r>
      <w:proofErr w:type="gramEnd"/>
    </w:p>
    <w:p w:rsidR="003D31BE" w:rsidRDefault="003D31BE" w:rsidP="00DB53A4">
      <w:pPr>
        <w:pStyle w:val="Caption"/>
        <w:jc w:val="both"/>
        <w:rPr>
          <w:sz w:val="24"/>
          <w:szCs w:val="24"/>
          <w:u w:val="none"/>
        </w:rPr>
      </w:pPr>
    </w:p>
    <w:p w:rsidR="00585E7D" w:rsidRPr="00585E7D" w:rsidRDefault="00585E7D" w:rsidP="00585E7D">
      <w:pPr>
        <w:pStyle w:val="Caption"/>
        <w:tabs>
          <w:tab w:val="clear" w:pos="720"/>
          <w:tab w:val="clear" w:pos="1440"/>
        </w:tabs>
        <w:jc w:val="both"/>
        <w:rPr>
          <w:sz w:val="24"/>
          <w:szCs w:val="24"/>
          <w:u w:val="none"/>
        </w:rPr>
      </w:pPr>
      <w:r w:rsidRPr="00C85E9D">
        <w:rPr>
          <w:b/>
          <w:sz w:val="24"/>
          <w:szCs w:val="24"/>
          <w:u w:val="none"/>
        </w:rPr>
        <w:t>Figure 1</w:t>
      </w:r>
      <w:r w:rsidR="00C85E9D" w:rsidRPr="00C85E9D">
        <w:rPr>
          <w:b/>
          <w:sz w:val="24"/>
          <w:szCs w:val="24"/>
          <w:u w:val="none"/>
        </w:rPr>
        <w:t xml:space="preserve">: </w:t>
      </w:r>
      <w:r w:rsidR="00C85E9D" w:rsidRPr="009150FE">
        <w:rPr>
          <w:b/>
          <w:sz w:val="24"/>
          <w:szCs w:val="24"/>
          <w:u w:val="none"/>
        </w:rPr>
        <w:t xml:space="preserve">page </w:t>
      </w:r>
      <w:r w:rsidR="009150FE">
        <w:rPr>
          <w:b/>
          <w:sz w:val="24"/>
          <w:szCs w:val="24"/>
          <w:u w:val="none"/>
        </w:rPr>
        <w:t>27</w:t>
      </w:r>
      <w:r w:rsidRPr="00C85E9D">
        <w:rPr>
          <w:b/>
          <w:sz w:val="24"/>
          <w:szCs w:val="24"/>
          <w:u w:val="none"/>
        </w:rPr>
        <w:t>.</w:t>
      </w:r>
      <w:r w:rsidRPr="00585E7D">
        <w:rPr>
          <w:sz w:val="24"/>
          <w:szCs w:val="24"/>
          <w:u w:val="none"/>
        </w:rPr>
        <w:t xml:space="preserve"> </w:t>
      </w:r>
      <w:r w:rsidR="00010A75" w:rsidRPr="00010A75">
        <w:rPr>
          <w:rStyle w:val="CaptiontitleChar"/>
          <w:sz w:val="24"/>
          <w:szCs w:val="24"/>
          <w:u w:val="none"/>
        </w:rPr>
        <w:t xml:space="preserve">King crab Registration Area Q (Bering Sea), showing borders of the Pribilof </w:t>
      </w:r>
      <w:proofErr w:type="gramStart"/>
      <w:r w:rsidR="00010A75" w:rsidRPr="00010A75">
        <w:rPr>
          <w:rStyle w:val="CaptiontitleChar"/>
          <w:sz w:val="24"/>
          <w:szCs w:val="24"/>
          <w:u w:val="none"/>
        </w:rPr>
        <w:t xml:space="preserve">District </w:t>
      </w:r>
      <w:r w:rsidR="00010A75" w:rsidRPr="00010A75">
        <w:rPr>
          <w:sz w:val="24"/>
          <w:szCs w:val="24"/>
          <w:u w:val="none"/>
        </w:rPr>
        <w:t xml:space="preserve"> (</w:t>
      </w:r>
      <w:proofErr w:type="gramEnd"/>
      <w:r w:rsidR="00010A75" w:rsidRPr="00010A75">
        <w:rPr>
          <w:sz w:val="24"/>
          <w:szCs w:val="24"/>
          <w:u w:val="none"/>
        </w:rPr>
        <w:t xml:space="preserve">from Figure 2-4 </w:t>
      </w:r>
      <w:r w:rsidR="00010A75" w:rsidRPr="00010A75">
        <w:rPr>
          <w:i/>
          <w:sz w:val="24"/>
          <w:szCs w:val="24"/>
          <w:u w:val="none"/>
        </w:rPr>
        <w:t>in</w:t>
      </w:r>
      <w:r w:rsidR="00010A75" w:rsidRPr="00010A75">
        <w:rPr>
          <w:sz w:val="24"/>
          <w:szCs w:val="24"/>
          <w:u w:val="none"/>
        </w:rPr>
        <w:t xml:space="preserve"> Fitch et al. 2012).</w:t>
      </w:r>
    </w:p>
    <w:p w:rsidR="00585E7D" w:rsidRPr="00585E7D" w:rsidRDefault="00585E7D" w:rsidP="00585E7D">
      <w:pPr>
        <w:pStyle w:val="Caption"/>
        <w:tabs>
          <w:tab w:val="clear" w:pos="720"/>
          <w:tab w:val="clear" w:pos="1440"/>
        </w:tabs>
        <w:jc w:val="both"/>
        <w:rPr>
          <w:sz w:val="24"/>
          <w:szCs w:val="24"/>
          <w:u w:val="none"/>
        </w:rPr>
      </w:pPr>
    </w:p>
    <w:p w:rsidR="0082591C" w:rsidRPr="00585E7D" w:rsidRDefault="00585E7D" w:rsidP="00585E7D">
      <w:pPr>
        <w:jc w:val="both"/>
      </w:pPr>
      <w:r w:rsidRPr="00C85E9D">
        <w:rPr>
          <w:b/>
        </w:rPr>
        <w:t xml:space="preserve">Figure </w:t>
      </w:r>
      <w:r w:rsidR="00CD2F96">
        <w:rPr>
          <w:b/>
        </w:rPr>
        <w:t>2</w:t>
      </w:r>
      <w:r w:rsidR="00C85E9D" w:rsidRPr="00C85E9D">
        <w:rPr>
          <w:b/>
        </w:rPr>
        <w:t xml:space="preserve">: </w:t>
      </w:r>
      <w:r w:rsidR="00C85E9D" w:rsidRPr="009150FE">
        <w:rPr>
          <w:b/>
        </w:rPr>
        <w:t xml:space="preserve">page </w:t>
      </w:r>
      <w:r w:rsidR="009150FE">
        <w:rPr>
          <w:b/>
        </w:rPr>
        <w:t>28</w:t>
      </w:r>
      <w:r w:rsidRPr="00C85E9D">
        <w:rPr>
          <w:b/>
        </w:rPr>
        <w:t>.</w:t>
      </w:r>
      <w:r w:rsidRPr="00585E7D">
        <w:t xml:space="preserve"> </w:t>
      </w:r>
      <w:r w:rsidR="00774E55">
        <w:rPr>
          <w:szCs w:val="22"/>
        </w:rPr>
        <w:t xml:space="preserve">Bootstrapped estimates of the sampling distribution of the Alternative 1 2014 Tier 5 OFLs (pounds of total catch) for the Pribilof Islands golden king crab stock; histograms in left column, </w:t>
      </w:r>
      <w:proofErr w:type="spellStart"/>
      <w:r w:rsidR="00774E55">
        <w:rPr>
          <w:szCs w:val="22"/>
        </w:rPr>
        <w:t>quantile</w:t>
      </w:r>
      <w:proofErr w:type="spellEnd"/>
      <w:r w:rsidR="00774E55">
        <w:rPr>
          <w:szCs w:val="22"/>
        </w:rPr>
        <w:t xml:space="preserve"> plots in right column.</w:t>
      </w:r>
      <w:r w:rsidR="00DB53A4" w:rsidRPr="00585E7D">
        <w:br w:type="page"/>
      </w:r>
    </w:p>
    <w:p w:rsidR="009D2ED5" w:rsidRPr="006C18CB" w:rsidRDefault="006C7E29" w:rsidP="0082591C">
      <w:pPr>
        <w:pStyle w:val="Caption"/>
        <w:tabs>
          <w:tab w:val="clear" w:pos="270"/>
          <w:tab w:val="left" w:pos="900"/>
        </w:tabs>
        <w:ind w:left="900" w:hanging="900"/>
        <w:jc w:val="both"/>
        <w:rPr>
          <w:b/>
          <w:sz w:val="24"/>
          <w:szCs w:val="24"/>
          <w:u w:val="none"/>
        </w:rPr>
      </w:pPr>
      <w:proofErr w:type="gramStart"/>
      <w:r w:rsidRPr="006C18CB">
        <w:rPr>
          <w:sz w:val="24"/>
          <w:szCs w:val="24"/>
          <w:u w:val="none"/>
        </w:rPr>
        <w:lastRenderedPageBreak/>
        <w:t>Table 1.</w:t>
      </w:r>
      <w:proofErr w:type="gramEnd"/>
      <w:r w:rsidRPr="006C18CB">
        <w:rPr>
          <w:sz w:val="24"/>
          <w:szCs w:val="24"/>
          <w:u w:val="none"/>
        </w:rPr>
        <w:t xml:space="preserve"> </w:t>
      </w:r>
      <w:r w:rsidR="006C18CB" w:rsidRPr="006C18CB">
        <w:rPr>
          <w:sz w:val="24"/>
          <w:szCs w:val="24"/>
          <w:u w:val="none"/>
        </w:rPr>
        <w:t xml:space="preserve">Harvest history for the Pribilof </w:t>
      </w:r>
      <w:r w:rsidR="002712DB">
        <w:rPr>
          <w:sz w:val="24"/>
          <w:szCs w:val="24"/>
          <w:u w:val="none"/>
        </w:rPr>
        <w:t>District</w:t>
      </w:r>
      <w:r w:rsidR="006C18CB" w:rsidRPr="006C18CB">
        <w:rPr>
          <w:sz w:val="24"/>
          <w:szCs w:val="24"/>
          <w:u w:val="none"/>
        </w:rPr>
        <w:t xml:space="preserve"> golden king crab fishery from the 1981/82 season through 20</w:t>
      </w:r>
      <w:r w:rsidR="00160707">
        <w:rPr>
          <w:sz w:val="24"/>
          <w:szCs w:val="24"/>
          <w:u w:val="none"/>
        </w:rPr>
        <w:t>1</w:t>
      </w:r>
      <w:r w:rsidR="002C659F">
        <w:rPr>
          <w:sz w:val="24"/>
          <w:szCs w:val="24"/>
          <w:u w:val="none"/>
        </w:rPr>
        <w:t>2</w:t>
      </w:r>
      <w:r w:rsidR="006C18CB" w:rsidRPr="006C18CB">
        <w:rPr>
          <w:sz w:val="24"/>
          <w:szCs w:val="24"/>
          <w:u w:val="none"/>
        </w:rPr>
        <w:t xml:space="preserve"> </w:t>
      </w:r>
      <w:r w:rsidR="00E45CB4" w:rsidRPr="006C18CB">
        <w:rPr>
          <w:sz w:val="24"/>
          <w:szCs w:val="24"/>
          <w:u w:val="none"/>
        </w:rPr>
        <w:t xml:space="preserve">(from </w:t>
      </w:r>
      <w:r w:rsidR="006125F9">
        <w:rPr>
          <w:sz w:val="24"/>
          <w:szCs w:val="24"/>
          <w:u w:val="none"/>
        </w:rPr>
        <w:t>201</w:t>
      </w:r>
      <w:r w:rsidR="00DE1704">
        <w:rPr>
          <w:sz w:val="24"/>
          <w:szCs w:val="24"/>
          <w:u w:val="none"/>
        </w:rPr>
        <w:t>2</w:t>
      </w:r>
      <w:r w:rsidR="006125F9">
        <w:rPr>
          <w:sz w:val="24"/>
          <w:szCs w:val="24"/>
          <w:u w:val="none"/>
        </w:rPr>
        <w:t xml:space="preserve"> SAFE</w:t>
      </w:r>
      <w:r w:rsidR="00160707">
        <w:rPr>
          <w:sz w:val="24"/>
          <w:szCs w:val="24"/>
          <w:u w:val="none"/>
        </w:rPr>
        <w:t>, updated with 201</w:t>
      </w:r>
      <w:r w:rsidR="00DE1704">
        <w:rPr>
          <w:sz w:val="24"/>
          <w:szCs w:val="24"/>
          <w:u w:val="none"/>
        </w:rPr>
        <w:t>2</w:t>
      </w:r>
      <w:r w:rsidR="00160707">
        <w:rPr>
          <w:sz w:val="24"/>
          <w:szCs w:val="24"/>
          <w:u w:val="none"/>
        </w:rPr>
        <w:t xml:space="preserve"> data provided by </w:t>
      </w:r>
      <w:r w:rsidR="00DE1704">
        <w:rPr>
          <w:sz w:val="24"/>
          <w:szCs w:val="24"/>
          <w:u w:val="none"/>
        </w:rPr>
        <w:t>J</w:t>
      </w:r>
      <w:r w:rsidR="00160707">
        <w:rPr>
          <w:sz w:val="24"/>
          <w:szCs w:val="24"/>
          <w:u w:val="none"/>
        </w:rPr>
        <w:t xml:space="preserve">. </w:t>
      </w:r>
      <w:proofErr w:type="spellStart"/>
      <w:r w:rsidR="00DE1704">
        <w:rPr>
          <w:sz w:val="24"/>
          <w:szCs w:val="24"/>
          <w:u w:val="none"/>
        </w:rPr>
        <w:t>Shaisnikoff</w:t>
      </w:r>
      <w:proofErr w:type="spellEnd"/>
      <w:r w:rsidR="00160707">
        <w:rPr>
          <w:sz w:val="24"/>
          <w:szCs w:val="24"/>
          <w:u w:val="none"/>
        </w:rPr>
        <w:t xml:space="preserve">, ADF&amp;G, </w:t>
      </w:r>
      <w:r w:rsidR="006125F9">
        <w:rPr>
          <w:sz w:val="24"/>
          <w:szCs w:val="24"/>
          <w:u w:val="none"/>
        </w:rPr>
        <w:t>Kodiak</w:t>
      </w:r>
      <w:r w:rsidR="00160707">
        <w:rPr>
          <w:sz w:val="24"/>
          <w:szCs w:val="24"/>
          <w:u w:val="none"/>
        </w:rPr>
        <w:t xml:space="preserve"> via </w:t>
      </w:r>
      <w:r w:rsidR="00DE1704">
        <w:rPr>
          <w:sz w:val="24"/>
          <w:szCs w:val="24"/>
          <w:u w:val="none"/>
        </w:rPr>
        <w:t>28</w:t>
      </w:r>
      <w:r w:rsidR="00160707">
        <w:rPr>
          <w:sz w:val="24"/>
          <w:szCs w:val="24"/>
          <w:u w:val="none"/>
        </w:rPr>
        <w:t xml:space="preserve"> </w:t>
      </w:r>
      <w:r w:rsidR="00DE1704">
        <w:rPr>
          <w:sz w:val="24"/>
          <w:szCs w:val="24"/>
          <w:u w:val="none"/>
        </w:rPr>
        <w:t>March</w:t>
      </w:r>
      <w:r w:rsidR="00160707">
        <w:rPr>
          <w:sz w:val="24"/>
          <w:szCs w:val="24"/>
          <w:u w:val="none"/>
        </w:rPr>
        <w:t xml:space="preserve"> 201</w:t>
      </w:r>
      <w:r w:rsidR="00DE1704">
        <w:rPr>
          <w:sz w:val="24"/>
          <w:szCs w:val="24"/>
          <w:u w:val="none"/>
        </w:rPr>
        <w:t>3</w:t>
      </w:r>
      <w:r w:rsidR="00160707">
        <w:rPr>
          <w:sz w:val="24"/>
          <w:szCs w:val="24"/>
          <w:u w:val="none"/>
        </w:rPr>
        <w:t xml:space="preserve"> email</w:t>
      </w:r>
      <w:r w:rsidR="00E45CB4" w:rsidRPr="006C18CB">
        <w:rPr>
          <w:sz w:val="24"/>
          <w:szCs w:val="24"/>
          <w:u w:val="none"/>
        </w:rPr>
        <w:t>)</w:t>
      </w:r>
      <w:r w:rsidR="006C18CB">
        <w:rPr>
          <w:sz w:val="24"/>
          <w:szCs w:val="24"/>
          <w:u w:val="none"/>
        </w:rPr>
        <w:t>.</w:t>
      </w:r>
    </w:p>
    <w:p w:rsidR="00607E69" w:rsidRPr="003060AF" w:rsidRDefault="00E57103" w:rsidP="00160707">
      <w:pPr>
        <w:spacing w:before="100" w:beforeAutospacing="1"/>
        <w:jc w:val="center"/>
      </w:pPr>
      <w:r>
        <w:rPr>
          <w:noProof/>
          <w:lang w:val="en-US" w:eastAsia="en-US"/>
        </w:rPr>
        <w:drawing>
          <wp:inline distT="0" distB="0" distL="0" distR="0">
            <wp:extent cx="5724525" cy="3206750"/>
            <wp:effectExtent l="19050" t="0" r="9525"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5724525" cy="3206750"/>
                    </a:xfrm>
                    <a:prstGeom prst="rect">
                      <a:avLst/>
                    </a:prstGeom>
                    <a:noFill/>
                    <a:ln w="9525">
                      <a:noFill/>
                      <a:miter lim="800000"/>
                      <a:headEnd/>
                      <a:tailEnd/>
                    </a:ln>
                  </pic:spPr>
                </pic:pic>
              </a:graphicData>
            </a:graphic>
          </wp:inline>
        </w:drawing>
      </w:r>
    </w:p>
    <w:tbl>
      <w:tblPr>
        <w:tblW w:w="0" w:type="auto"/>
        <w:tblInd w:w="18" w:type="dxa"/>
        <w:tblBorders>
          <w:bottom w:val="single" w:sz="4" w:space="0" w:color="auto"/>
        </w:tblBorders>
        <w:tblLook w:val="04A0"/>
      </w:tblPr>
      <w:tblGrid>
        <w:gridCol w:w="900"/>
        <w:gridCol w:w="630"/>
        <w:gridCol w:w="630"/>
        <w:gridCol w:w="990"/>
        <w:gridCol w:w="810"/>
        <w:gridCol w:w="720"/>
        <w:gridCol w:w="810"/>
        <w:gridCol w:w="810"/>
        <w:gridCol w:w="720"/>
        <w:gridCol w:w="900"/>
        <w:gridCol w:w="1260"/>
      </w:tblGrid>
      <w:tr w:rsidR="00607E69" w:rsidRPr="00290B26" w:rsidTr="00290B26">
        <w:tc>
          <w:tcPr>
            <w:tcW w:w="900" w:type="dxa"/>
          </w:tcPr>
          <w:p w:rsidR="00607E69" w:rsidRPr="00290B26" w:rsidRDefault="00607E69" w:rsidP="00290B26">
            <w:pPr>
              <w:pStyle w:val="Table-Footnote"/>
              <w:tabs>
                <w:tab w:val="clear" w:pos="216"/>
              </w:tabs>
              <w:ind w:left="0" w:firstLine="0"/>
              <w:jc w:val="center"/>
              <w:rPr>
                <w:iCs/>
                <w:sz w:val="13"/>
                <w:szCs w:val="13"/>
              </w:rPr>
            </w:pPr>
            <w:r w:rsidRPr="00290B26">
              <w:rPr>
                <w:iCs/>
                <w:sz w:val="13"/>
                <w:szCs w:val="13"/>
              </w:rPr>
              <w:t>2010</w:t>
            </w:r>
          </w:p>
        </w:tc>
        <w:tc>
          <w:tcPr>
            <w:tcW w:w="63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1</w:t>
            </w:r>
          </w:p>
        </w:tc>
        <w:tc>
          <w:tcPr>
            <w:tcW w:w="63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99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81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72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150,000</w:t>
            </w:r>
          </w:p>
        </w:tc>
        <w:tc>
          <w:tcPr>
            <w:tcW w:w="81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81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72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90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c>
          <w:tcPr>
            <w:tcW w:w="1260" w:type="dxa"/>
          </w:tcPr>
          <w:p w:rsidR="00607E69" w:rsidRPr="00290B26" w:rsidRDefault="00607E69" w:rsidP="00290B26">
            <w:pPr>
              <w:pStyle w:val="Table-Footnote"/>
              <w:tabs>
                <w:tab w:val="clear" w:pos="216"/>
              </w:tabs>
              <w:ind w:left="0" w:firstLine="0"/>
              <w:jc w:val="right"/>
              <w:rPr>
                <w:iCs/>
                <w:sz w:val="13"/>
                <w:szCs w:val="13"/>
              </w:rPr>
            </w:pPr>
            <w:r w:rsidRPr="00290B26">
              <w:rPr>
                <w:iCs/>
                <w:sz w:val="13"/>
                <w:szCs w:val="13"/>
              </w:rPr>
              <w:t>CF</w:t>
            </w:r>
          </w:p>
        </w:tc>
      </w:tr>
      <w:tr w:rsidR="0000347D" w:rsidRPr="00290B26" w:rsidTr="00290B26">
        <w:tc>
          <w:tcPr>
            <w:tcW w:w="900" w:type="dxa"/>
          </w:tcPr>
          <w:p w:rsidR="0000347D" w:rsidRPr="00290B26" w:rsidRDefault="0000347D" w:rsidP="00290B26">
            <w:pPr>
              <w:pStyle w:val="Table-Footnote"/>
              <w:tabs>
                <w:tab w:val="clear" w:pos="216"/>
              </w:tabs>
              <w:ind w:left="0" w:firstLine="0"/>
              <w:jc w:val="center"/>
              <w:rPr>
                <w:iCs/>
                <w:sz w:val="13"/>
                <w:szCs w:val="13"/>
              </w:rPr>
            </w:pPr>
            <w:r>
              <w:rPr>
                <w:iCs/>
                <w:sz w:val="13"/>
                <w:szCs w:val="13"/>
              </w:rPr>
              <w:t>2011</w:t>
            </w:r>
          </w:p>
        </w:tc>
        <w:tc>
          <w:tcPr>
            <w:tcW w:w="63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2</w:t>
            </w:r>
          </w:p>
        </w:tc>
        <w:tc>
          <w:tcPr>
            <w:tcW w:w="63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99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81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72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150,000</w:t>
            </w:r>
          </w:p>
        </w:tc>
        <w:tc>
          <w:tcPr>
            <w:tcW w:w="81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81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72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90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c>
          <w:tcPr>
            <w:tcW w:w="1260" w:type="dxa"/>
          </w:tcPr>
          <w:p w:rsidR="0000347D" w:rsidRPr="00290B26" w:rsidRDefault="0000347D" w:rsidP="00290B26">
            <w:pPr>
              <w:pStyle w:val="Table-Footnote"/>
              <w:tabs>
                <w:tab w:val="clear" w:pos="216"/>
              </w:tabs>
              <w:ind w:left="0" w:firstLine="0"/>
              <w:jc w:val="right"/>
              <w:rPr>
                <w:iCs/>
                <w:sz w:val="13"/>
                <w:szCs w:val="13"/>
              </w:rPr>
            </w:pPr>
            <w:r>
              <w:rPr>
                <w:iCs/>
                <w:sz w:val="13"/>
                <w:szCs w:val="13"/>
              </w:rPr>
              <w:t>CF</w:t>
            </w:r>
          </w:p>
        </w:tc>
      </w:tr>
      <w:tr w:rsidR="00DE1704" w:rsidRPr="00290B26" w:rsidTr="00290B26">
        <w:tc>
          <w:tcPr>
            <w:tcW w:w="900" w:type="dxa"/>
          </w:tcPr>
          <w:p w:rsidR="00DE1704" w:rsidRDefault="00DE1704" w:rsidP="00290B26">
            <w:pPr>
              <w:pStyle w:val="Table-Footnote"/>
              <w:tabs>
                <w:tab w:val="clear" w:pos="216"/>
              </w:tabs>
              <w:ind w:left="0" w:firstLine="0"/>
              <w:jc w:val="center"/>
              <w:rPr>
                <w:iCs/>
                <w:sz w:val="13"/>
                <w:szCs w:val="13"/>
              </w:rPr>
            </w:pPr>
            <w:r>
              <w:rPr>
                <w:iCs/>
                <w:sz w:val="13"/>
                <w:szCs w:val="13"/>
              </w:rPr>
              <w:t>2012</w:t>
            </w:r>
          </w:p>
        </w:tc>
        <w:tc>
          <w:tcPr>
            <w:tcW w:w="630" w:type="dxa"/>
          </w:tcPr>
          <w:p w:rsidR="00DE1704" w:rsidRDefault="00DE1704" w:rsidP="00290B26">
            <w:pPr>
              <w:pStyle w:val="Table-Footnote"/>
              <w:tabs>
                <w:tab w:val="clear" w:pos="216"/>
              </w:tabs>
              <w:ind w:left="0" w:firstLine="0"/>
              <w:jc w:val="right"/>
              <w:rPr>
                <w:iCs/>
                <w:sz w:val="13"/>
                <w:szCs w:val="13"/>
              </w:rPr>
            </w:pPr>
            <w:r>
              <w:rPr>
                <w:iCs/>
                <w:sz w:val="13"/>
                <w:szCs w:val="13"/>
              </w:rPr>
              <w:t>1</w:t>
            </w:r>
          </w:p>
        </w:tc>
        <w:tc>
          <w:tcPr>
            <w:tcW w:w="63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99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81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720" w:type="dxa"/>
          </w:tcPr>
          <w:p w:rsidR="00DE1704" w:rsidRDefault="00DE1704" w:rsidP="00290B26">
            <w:pPr>
              <w:pStyle w:val="Table-Footnote"/>
              <w:tabs>
                <w:tab w:val="clear" w:pos="216"/>
              </w:tabs>
              <w:ind w:left="0" w:firstLine="0"/>
              <w:jc w:val="right"/>
              <w:rPr>
                <w:iCs/>
                <w:sz w:val="13"/>
                <w:szCs w:val="13"/>
              </w:rPr>
            </w:pPr>
            <w:r>
              <w:rPr>
                <w:iCs/>
                <w:sz w:val="13"/>
                <w:szCs w:val="13"/>
              </w:rPr>
              <w:t>150,000</w:t>
            </w:r>
          </w:p>
        </w:tc>
        <w:tc>
          <w:tcPr>
            <w:tcW w:w="81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81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72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90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c>
          <w:tcPr>
            <w:tcW w:w="1260" w:type="dxa"/>
          </w:tcPr>
          <w:p w:rsidR="00DE1704" w:rsidRDefault="00DE1704" w:rsidP="00290B26">
            <w:pPr>
              <w:pStyle w:val="Table-Footnote"/>
              <w:tabs>
                <w:tab w:val="clear" w:pos="216"/>
              </w:tabs>
              <w:ind w:left="0" w:firstLine="0"/>
              <w:jc w:val="right"/>
              <w:rPr>
                <w:iCs/>
                <w:sz w:val="13"/>
                <w:szCs w:val="13"/>
              </w:rPr>
            </w:pPr>
            <w:r>
              <w:rPr>
                <w:iCs/>
                <w:sz w:val="13"/>
                <w:szCs w:val="13"/>
              </w:rPr>
              <w:t>CF</w:t>
            </w:r>
          </w:p>
        </w:tc>
      </w:tr>
    </w:tbl>
    <w:p w:rsidR="00607E69" w:rsidRPr="00607E69" w:rsidRDefault="00607E69" w:rsidP="00607E69">
      <w:pPr>
        <w:pStyle w:val="Table-Footnote"/>
        <w:tabs>
          <w:tab w:val="clear" w:pos="216"/>
        </w:tabs>
        <w:ind w:left="1080" w:hanging="846"/>
        <w:rPr>
          <w:iCs/>
        </w:rPr>
      </w:pPr>
    </w:p>
    <w:p w:rsidR="00607E69" w:rsidRPr="00160707" w:rsidRDefault="00607E69" w:rsidP="00607E69">
      <w:pPr>
        <w:pStyle w:val="Table-Footnote"/>
        <w:tabs>
          <w:tab w:val="clear" w:pos="216"/>
        </w:tabs>
        <w:ind w:left="1080" w:hanging="846"/>
        <w:rPr>
          <w:sz w:val="16"/>
        </w:rPr>
      </w:pPr>
      <w:r w:rsidRPr="00160707">
        <w:rPr>
          <w:i/>
          <w:iCs/>
          <w:sz w:val="16"/>
        </w:rPr>
        <w:t>Note:</w:t>
      </w:r>
      <w:r w:rsidRPr="00160707">
        <w:rPr>
          <w:i/>
          <w:iCs/>
          <w:sz w:val="16"/>
        </w:rPr>
        <w:tab/>
      </w:r>
      <w:r w:rsidRPr="00160707">
        <w:rPr>
          <w:sz w:val="16"/>
        </w:rPr>
        <w:t>CF = confidential, less than three vessels or processors participated in fishery</w:t>
      </w:r>
    </w:p>
    <w:p w:rsidR="00607E69" w:rsidRPr="00160707" w:rsidRDefault="00607E69" w:rsidP="00607E69">
      <w:pPr>
        <w:pStyle w:val="Table-Footnote"/>
        <w:tabs>
          <w:tab w:val="clear" w:pos="216"/>
        </w:tabs>
        <w:ind w:left="450"/>
        <w:rPr>
          <w:sz w:val="16"/>
        </w:rPr>
      </w:pPr>
      <w:proofErr w:type="gramStart"/>
      <w:r w:rsidRPr="00160707">
        <w:rPr>
          <w:sz w:val="16"/>
          <w:vertAlign w:val="superscript"/>
        </w:rPr>
        <w:t>a</w:t>
      </w:r>
      <w:proofErr w:type="gramEnd"/>
      <w:r w:rsidRPr="00160707">
        <w:rPr>
          <w:sz w:val="16"/>
          <w:vertAlign w:val="superscript"/>
        </w:rPr>
        <w:tab/>
      </w:r>
      <w:proofErr w:type="spellStart"/>
      <w:r w:rsidRPr="00160707">
        <w:rPr>
          <w:sz w:val="16"/>
        </w:rPr>
        <w:t>Deadloss</w:t>
      </w:r>
      <w:proofErr w:type="spellEnd"/>
      <w:r w:rsidRPr="00160707">
        <w:rPr>
          <w:sz w:val="16"/>
        </w:rPr>
        <w:t xml:space="preserve"> included.</w:t>
      </w:r>
    </w:p>
    <w:p w:rsidR="00607E69" w:rsidRPr="00160707" w:rsidRDefault="00607E69" w:rsidP="00607E69">
      <w:pPr>
        <w:pStyle w:val="Table-Footnote"/>
        <w:tabs>
          <w:tab w:val="clear" w:pos="216"/>
        </w:tabs>
        <w:ind w:left="450"/>
        <w:rPr>
          <w:sz w:val="16"/>
        </w:rPr>
      </w:pPr>
      <w:proofErr w:type="gramStart"/>
      <w:r w:rsidRPr="00160707">
        <w:rPr>
          <w:sz w:val="16"/>
          <w:vertAlign w:val="superscript"/>
        </w:rPr>
        <w:t>b</w:t>
      </w:r>
      <w:proofErr w:type="gramEnd"/>
      <w:r w:rsidRPr="00160707">
        <w:rPr>
          <w:sz w:val="16"/>
          <w:vertAlign w:val="superscript"/>
        </w:rPr>
        <w:tab/>
      </w:r>
      <w:r w:rsidRPr="00160707">
        <w:rPr>
          <w:sz w:val="16"/>
        </w:rPr>
        <w:t>Guideline harvest level in pounds.</w:t>
      </w:r>
    </w:p>
    <w:p w:rsidR="00607E69" w:rsidRPr="00160707" w:rsidRDefault="00607E69" w:rsidP="00607E69">
      <w:pPr>
        <w:pStyle w:val="Table-Footnote"/>
        <w:tabs>
          <w:tab w:val="clear" w:pos="216"/>
        </w:tabs>
        <w:ind w:left="450"/>
        <w:rPr>
          <w:sz w:val="16"/>
        </w:rPr>
      </w:pPr>
      <w:proofErr w:type="gramStart"/>
      <w:r w:rsidRPr="00160707">
        <w:rPr>
          <w:sz w:val="16"/>
          <w:vertAlign w:val="superscript"/>
        </w:rPr>
        <w:t>c</w:t>
      </w:r>
      <w:proofErr w:type="gramEnd"/>
      <w:r w:rsidRPr="00160707">
        <w:rPr>
          <w:sz w:val="16"/>
          <w:vertAlign w:val="superscript"/>
        </w:rPr>
        <w:tab/>
      </w:r>
      <w:r w:rsidRPr="00160707">
        <w:rPr>
          <w:sz w:val="16"/>
        </w:rPr>
        <w:t>In pounds.</w:t>
      </w:r>
    </w:p>
    <w:p w:rsidR="00607E69" w:rsidRPr="00160707" w:rsidRDefault="00607E69" w:rsidP="00607E69">
      <w:pPr>
        <w:pStyle w:val="Table-Footnote"/>
        <w:tabs>
          <w:tab w:val="clear" w:pos="216"/>
        </w:tabs>
        <w:ind w:left="450"/>
        <w:rPr>
          <w:sz w:val="16"/>
        </w:rPr>
      </w:pPr>
      <w:proofErr w:type="gramStart"/>
      <w:r w:rsidRPr="00160707">
        <w:rPr>
          <w:sz w:val="16"/>
          <w:vertAlign w:val="superscript"/>
        </w:rPr>
        <w:t>d</w:t>
      </w:r>
      <w:proofErr w:type="gramEnd"/>
      <w:r w:rsidRPr="00160707">
        <w:rPr>
          <w:sz w:val="16"/>
          <w:vertAlign w:val="superscript"/>
        </w:rPr>
        <w:tab/>
      </w:r>
      <w:r w:rsidRPr="00160707">
        <w:rPr>
          <w:sz w:val="16"/>
        </w:rPr>
        <w:t xml:space="preserve">Number of legal </w:t>
      </w:r>
      <w:r w:rsidR="008E47B6">
        <w:rPr>
          <w:sz w:val="16"/>
        </w:rPr>
        <w:t>crab</w:t>
      </w:r>
      <w:r w:rsidRPr="00160707">
        <w:rPr>
          <w:sz w:val="16"/>
        </w:rPr>
        <w:t xml:space="preserve"> per pot lift.</w:t>
      </w:r>
    </w:p>
    <w:p w:rsidR="00607E69" w:rsidRPr="00160707" w:rsidRDefault="00607E69" w:rsidP="00607E69">
      <w:pPr>
        <w:pStyle w:val="Table-Footnote"/>
        <w:tabs>
          <w:tab w:val="clear" w:pos="216"/>
        </w:tabs>
        <w:ind w:left="450"/>
        <w:rPr>
          <w:sz w:val="16"/>
        </w:rPr>
      </w:pPr>
      <w:proofErr w:type="gramStart"/>
      <w:r w:rsidRPr="00160707">
        <w:rPr>
          <w:sz w:val="16"/>
          <w:vertAlign w:val="superscript"/>
        </w:rPr>
        <w:t>e</w:t>
      </w:r>
      <w:proofErr w:type="gramEnd"/>
      <w:r w:rsidRPr="00160707">
        <w:rPr>
          <w:sz w:val="16"/>
          <w:vertAlign w:val="superscript"/>
        </w:rPr>
        <w:tab/>
      </w:r>
      <w:r w:rsidRPr="00160707">
        <w:rPr>
          <w:sz w:val="16"/>
        </w:rPr>
        <w:t>Carapace length in millimeters.</w:t>
      </w:r>
    </w:p>
    <w:p w:rsidR="00C036B6" w:rsidRDefault="00D75281" w:rsidP="00440537">
      <w:pPr>
        <w:ind w:left="-540"/>
        <w:jc w:val="center"/>
      </w:pPr>
      <w:r>
        <w:br w:type="page"/>
      </w:r>
    </w:p>
    <w:p w:rsidR="00430733" w:rsidRPr="00A13CE3" w:rsidRDefault="00430733" w:rsidP="00430733">
      <w:pPr>
        <w:pStyle w:val="BodyTextIndent"/>
        <w:tabs>
          <w:tab w:val="clear" w:pos="720"/>
          <w:tab w:val="clear" w:pos="1440"/>
          <w:tab w:val="left" w:pos="1080"/>
        </w:tabs>
        <w:spacing w:after="0"/>
        <w:ind w:left="1080" w:hanging="1080"/>
        <w:rPr>
          <w:szCs w:val="24"/>
        </w:rPr>
      </w:pPr>
      <w:proofErr w:type="gramStart"/>
      <w:r w:rsidRPr="00AD4AFF">
        <w:rPr>
          <w:szCs w:val="24"/>
        </w:rPr>
        <w:lastRenderedPageBreak/>
        <w:t>Table 2.</w:t>
      </w:r>
      <w:proofErr w:type="gramEnd"/>
      <w:r w:rsidRPr="00AD4AFF">
        <w:rPr>
          <w:szCs w:val="24"/>
        </w:rPr>
        <w:t xml:space="preserve">  Weight (in pounds) of </w:t>
      </w:r>
      <w:r w:rsidR="004209D8">
        <w:rPr>
          <w:szCs w:val="24"/>
        </w:rPr>
        <w:t>retained catch and</w:t>
      </w:r>
      <w:r w:rsidR="00864925">
        <w:rPr>
          <w:szCs w:val="24"/>
        </w:rPr>
        <w:t xml:space="preserve"> estimated </w:t>
      </w:r>
      <w:r w:rsidR="00AD4AFF" w:rsidRPr="00AD4AFF">
        <w:rPr>
          <w:szCs w:val="24"/>
        </w:rPr>
        <w:t>non-</w:t>
      </w:r>
      <w:r w:rsidRPr="00AD4AFF">
        <w:rPr>
          <w:szCs w:val="24"/>
        </w:rPr>
        <w:t xml:space="preserve">retained </w:t>
      </w:r>
      <w:r w:rsidR="00AD4AFF" w:rsidRPr="00AD4AFF">
        <w:rPr>
          <w:szCs w:val="24"/>
        </w:rPr>
        <w:t>bycatch</w:t>
      </w:r>
      <w:r w:rsidR="004209D8">
        <w:rPr>
          <w:szCs w:val="24"/>
        </w:rPr>
        <w:t xml:space="preserve"> </w:t>
      </w:r>
      <w:r w:rsidR="004209D8" w:rsidRPr="00AD4AFF">
        <w:rPr>
          <w:szCs w:val="24"/>
        </w:rPr>
        <w:t xml:space="preserve">of Pribilof golden king </w:t>
      </w:r>
      <w:r w:rsidR="004209D8">
        <w:rPr>
          <w:szCs w:val="24"/>
        </w:rPr>
        <w:t>crab</w:t>
      </w:r>
      <w:r w:rsidR="004209D8" w:rsidRPr="00AD4AFF">
        <w:rPr>
          <w:szCs w:val="24"/>
        </w:rPr>
        <w:t xml:space="preserve"> </w:t>
      </w:r>
      <w:r w:rsidR="004209D8">
        <w:rPr>
          <w:szCs w:val="24"/>
        </w:rPr>
        <w:t>during crab fisheries</w:t>
      </w:r>
      <w:r w:rsidR="00864925">
        <w:rPr>
          <w:szCs w:val="24"/>
        </w:rPr>
        <w:t xml:space="preserve">, </w:t>
      </w:r>
      <w:r w:rsidR="004209D8">
        <w:rPr>
          <w:szCs w:val="24"/>
        </w:rPr>
        <w:t>1993–2012, with</w:t>
      </w:r>
      <w:r w:rsidR="00864925">
        <w:rPr>
          <w:szCs w:val="24"/>
        </w:rPr>
        <w:t xml:space="preserve"> total fishery mortality</w:t>
      </w:r>
      <w:r w:rsidR="004209D8">
        <w:rPr>
          <w:szCs w:val="24"/>
        </w:rPr>
        <w:t xml:space="preserve"> estimated by </w:t>
      </w:r>
      <w:r w:rsidR="00FA138E">
        <w:rPr>
          <w:szCs w:val="24"/>
        </w:rPr>
        <w:t>assum</w:t>
      </w:r>
      <w:r w:rsidR="004209D8">
        <w:rPr>
          <w:szCs w:val="24"/>
        </w:rPr>
        <w:t>ing</w:t>
      </w:r>
      <w:r w:rsidR="00FA138E">
        <w:rPr>
          <w:szCs w:val="24"/>
        </w:rPr>
        <w:t xml:space="preserve"> a bycatch mortality rate of 0.2 for the directed fishery and a bycatch mortality rate of </w:t>
      </w:r>
      <w:r w:rsidR="004209D8">
        <w:rPr>
          <w:szCs w:val="24"/>
        </w:rPr>
        <w:t>0.5 for non-directed fisheries (</w:t>
      </w:r>
      <w:r w:rsidR="009A0F75">
        <w:rPr>
          <w:szCs w:val="24"/>
        </w:rPr>
        <w:t xml:space="preserve">from </w:t>
      </w:r>
      <w:r w:rsidR="00586108">
        <w:rPr>
          <w:szCs w:val="24"/>
        </w:rPr>
        <w:t>201</w:t>
      </w:r>
      <w:r w:rsidR="002C659F">
        <w:rPr>
          <w:szCs w:val="24"/>
        </w:rPr>
        <w:t>2</w:t>
      </w:r>
      <w:r w:rsidR="00586108">
        <w:rPr>
          <w:szCs w:val="24"/>
        </w:rPr>
        <w:t xml:space="preserve"> Crab SAFE</w:t>
      </w:r>
      <w:r w:rsidR="009A0F75">
        <w:rPr>
          <w:szCs w:val="24"/>
        </w:rPr>
        <w:t>, with update for 20</w:t>
      </w:r>
      <w:r w:rsidR="00CC7860">
        <w:rPr>
          <w:szCs w:val="24"/>
        </w:rPr>
        <w:t>1</w:t>
      </w:r>
      <w:r w:rsidR="002C659F">
        <w:rPr>
          <w:szCs w:val="24"/>
        </w:rPr>
        <w:t>2 catch</w:t>
      </w:r>
      <w:r w:rsidR="0045127A">
        <w:rPr>
          <w:szCs w:val="24"/>
        </w:rPr>
        <w:t xml:space="preserve"> and bycatch data</w:t>
      </w:r>
      <w:r w:rsidR="00AD4AFF">
        <w:rPr>
          <w:szCs w:val="24"/>
        </w:rPr>
        <w:t>)</w:t>
      </w:r>
      <w:r w:rsidR="00E201C6" w:rsidRPr="00AD4AFF">
        <w:rPr>
          <w:szCs w:val="24"/>
        </w:rPr>
        <w:t>.</w:t>
      </w:r>
    </w:p>
    <w:p w:rsidR="00430733" w:rsidRPr="00A13CE3" w:rsidRDefault="00430733" w:rsidP="00430733">
      <w:pPr>
        <w:pStyle w:val="BodyTextIndent"/>
        <w:spacing w:after="0"/>
        <w:ind w:hanging="720"/>
        <w:rPr>
          <w:szCs w:val="24"/>
          <w:highlight w:val="yellow"/>
        </w:rPr>
      </w:pPr>
    </w:p>
    <w:p w:rsidR="002625EE" w:rsidRDefault="002625EE" w:rsidP="002625EE">
      <w:pPr>
        <w:pStyle w:val="Caption"/>
        <w:ind w:left="900" w:hanging="900"/>
        <w:jc w:val="both"/>
      </w:pPr>
    </w:p>
    <w:tbl>
      <w:tblPr>
        <w:tblW w:w="8447" w:type="dxa"/>
        <w:tblInd w:w="100" w:type="dxa"/>
        <w:tblLook w:val="0000"/>
      </w:tblPr>
      <w:tblGrid>
        <w:gridCol w:w="1096"/>
        <w:gridCol w:w="1483"/>
        <w:gridCol w:w="1810"/>
        <w:gridCol w:w="1298"/>
        <w:gridCol w:w="1383"/>
        <w:gridCol w:w="1377"/>
      </w:tblGrid>
      <w:tr w:rsidR="00696D55" w:rsidRPr="004973DA" w:rsidTr="00152A06">
        <w:trPr>
          <w:trHeight w:val="315"/>
        </w:trPr>
        <w:tc>
          <w:tcPr>
            <w:tcW w:w="1096" w:type="dxa"/>
            <w:tcBorders>
              <w:top w:val="single" w:sz="4" w:space="0" w:color="auto"/>
              <w:left w:val="nil"/>
              <w:bottom w:val="nil"/>
              <w:right w:val="nil"/>
            </w:tcBorders>
            <w:shd w:val="clear" w:color="auto" w:fill="auto"/>
            <w:noWrap/>
            <w:vAlign w:val="bottom"/>
          </w:tcPr>
          <w:p w:rsidR="00696D55" w:rsidRPr="00D17BA6" w:rsidRDefault="00696D55"/>
        </w:tc>
        <w:tc>
          <w:tcPr>
            <w:tcW w:w="1483" w:type="dxa"/>
            <w:tcBorders>
              <w:top w:val="single" w:sz="4" w:space="0" w:color="auto"/>
              <w:left w:val="nil"/>
              <w:bottom w:val="nil"/>
              <w:right w:val="nil"/>
            </w:tcBorders>
            <w:shd w:val="clear" w:color="auto" w:fill="auto"/>
            <w:noWrap/>
            <w:vAlign w:val="bottom"/>
          </w:tcPr>
          <w:p w:rsidR="00696D55" w:rsidRPr="00D17BA6" w:rsidRDefault="00696D55"/>
        </w:tc>
        <w:tc>
          <w:tcPr>
            <w:tcW w:w="4491" w:type="dxa"/>
            <w:gridSpan w:val="3"/>
            <w:tcBorders>
              <w:top w:val="single" w:sz="4" w:space="0" w:color="auto"/>
              <w:left w:val="nil"/>
              <w:bottom w:val="single" w:sz="4" w:space="0" w:color="auto"/>
              <w:right w:val="nil"/>
            </w:tcBorders>
            <w:shd w:val="clear" w:color="auto" w:fill="auto"/>
            <w:noWrap/>
            <w:vAlign w:val="bottom"/>
          </w:tcPr>
          <w:p w:rsidR="00696D55" w:rsidRPr="00D17BA6" w:rsidRDefault="00696D55">
            <w:pPr>
              <w:jc w:val="center"/>
            </w:pPr>
            <w:r>
              <w:t>Bycatch</w:t>
            </w:r>
          </w:p>
        </w:tc>
        <w:tc>
          <w:tcPr>
            <w:tcW w:w="1377" w:type="dxa"/>
            <w:tcBorders>
              <w:top w:val="single" w:sz="4" w:space="0" w:color="auto"/>
              <w:left w:val="nil"/>
              <w:bottom w:val="nil"/>
              <w:right w:val="nil"/>
            </w:tcBorders>
            <w:shd w:val="clear" w:color="auto" w:fill="auto"/>
            <w:noWrap/>
            <w:vAlign w:val="bottom"/>
          </w:tcPr>
          <w:p w:rsidR="00696D55" w:rsidRPr="00D17BA6" w:rsidRDefault="00696D55">
            <w:pPr>
              <w:jc w:val="center"/>
            </w:pPr>
          </w:p>
        </w:tc>
      </w:tr>
      <w:tr w:rsidR="007D5E81" w:rsidRPr="004973DA" w:rsidTr="00152A06">
        <w:trPr>
          <w:trHeight w:val="315"/>
        </w:trPr>
        <w:tc>
          <w:tcPr>
            <w:tcW w:w="1096" w:type="dxa"/>
            <w:tcBorders>
              <w:left w:val="nil"/>
              <w:bottom w:val="nil"/>
              <w:right w:val="nil"/>
            </w:tcBorders>
            <w:shd w:val="clear" w:color="auto" w:fill="auto"/>
            <w:noWrap/>
            <w:vAlign w:val="bottom"/>
          </w:tcPr>
          <w:p w:rsidR="007D5E81" w:rsidRPr="00D17BA6" w:rsidRDefault="007D5E81">
            <w:r w:rsidRPr="00D17BA6">
              <w:t> </w:t>
            </w:r>
          </w:p>
        </w:tc>
        <w:tc>
          <w:tcPr>
            <w:tcW w:w="1483" w:type="dxa"/>
            <w:tcBorders>
              <w:left w:val="nil"/>
              <w:bottom w:val="nil"/>
              <w:right w:val="nil"/>
            </w:tcBorders>
            <w:shd w:val="clear" w:color="auto" w:fill="auto"/>
            <w:noWrap/>
            <w:vAlign w:val="bottom"/>
          </w:tcPr>
          <w:p w:rsidR="007D5E81" w:rsidRPr="00D17BA6" w:rsidRDefault="007D5E81">
            <w:r w:rsidRPr="00D17BA6">
              <w:t> </w:t>
            </w:r>
          </w:p>
        </w:tc>
        <w:tc>
          <w:tcPr>
            <w:tcW w:w="1810" w:type="dxa"/>
            <w:tcBorders>
              <w:top w:val="single" w:sz="4" w:space="0" w:color="auto"/>
              <w:left w:val="nil"/>
              <w:bottom w:val="nil"/>
              <w:right w:val="nil"/>
            </w:tcBorders>
            <w:shd w:val="clear" w:color="auto" w:fill="auto"/>
            <w:noWrap/>
            <w:vAlign w:val="bottom"/>
          </w:tcPr>
          <w:p w:rsidR="007D5E81" w:rsidRPr="00D17BA6" w:rsidRDefault="006A2C91">
            <w:pPr>
              <w:jc w:val="center"/>
            </w:pPr>
            <w:smartTag w:uri="urn:schemas-microsoft-com:office:smarttags" w:element="place">
              <w:r>
                <w:t>Pribilof I</w:t>
              </w:r>
              <w:r w:rsidR="007D5E81" w:rsidRPr="00D17BA6">
                <w:t>slands</w:t>
              </w:r>
            </w:smartTag>
          </w:p>
        </w:tc>
        <w:tc>
          <w:tcPr>
            <w:tcW w:w="1298" w:type="dxa"/>
            <w:tcBorders>
              <w:top w:val="single" w:sz="4" w:space="0" w:color="auto"/>
              <w:left w:val="nil"/>
              <w:bottom w:val="nil"/>
              <w:right w:val="nil"/>
            </w:tcBorders>
            <w:shd w:val="clear" w:color="auto" w:fill="auto"/>
            <w:noWrap/>
            <w:vAlign w:val="bottom"/>
          </w:tcPr>
          <w:p w:rsidR="007D5E81" w:rsidRPr="00D17BA6" w:rsidRDefault="007D5E81">
            <w:pPr>
              <w:jc w:val="center"/>
            </w:pPr>
          </w:p>
        </w:tc>
        <w:tc>
          <w:tcPr>
            <w:tcW w:w="1383" w:type="dxa"/>
            <w:tcBorders>
              <w:top w:val="single" w:sz="4" w:space="0" w:color="auto"/>
              <w:left w:val="nil"/>
              <w:bottom w:val="nil"/>
              <w:right w:val="nil"/>
            </w:tcBorders>
            <w:shd w:val="clear" w:color="auto" w:fill="auto"/>
            <w:noWrap/>
            <w:vAlign w:val="bottom"/>
          </w:tcPr>
          <w:p w:rsidR="007D5E81" w:rsidRPr="00D17BA6" w:rsidRDefault="007D5E81">
            <w:pPr>
              <w:jc w:val="center"/>
            </w:pPr>
            <w:smartTag w:uri="urn:schemas-microsoft-com:office:smarttags" w:element="place">
              <w:r w:rsidRPr="00D17BA6">
                <w:t>Bering Sea</w:t>
              </w:r>
            </w:smartTag>
          </w:p>
        </w:tc>
        <w:tc>
          <w:tcPr>
            <w:tcW w:w="1377" w:type="dxa"/>
            <w:tcBorders>
              <w:left w:val="nil"/>
              <w:bottom w:val="nil"/>
              <w:right w:val="nil"/>
            </w:tcBorders>
            <w:shd w:val="clear" w:color="auto" w:fill="auto"/>
            <w:noWrap/>
            <w:vAlign w:val="bottom"/>
          </w:tcPr>
          <w:p w:rsidR="007D5E81" w:rsidRPr="00D17BA6" w:rsidRDefault="007D5E81">
            <w:pPr>
              <w:jc w:val="center"/>
            </w:pPr>
            <w:r w:rsidRPr="00D17BA6">
              <w:t>Total</w:t>
            </w:r>
          </w:p>
        </w:tc>
      </w:tr>
      <w:tr w:rsidR="007D5E81" w:rsidRPr="004973DA" w:rsidTr="00152A06">
        <w:trPr>
          <w:trHeight w:val="315"/>
        </w:trPr>
        <w:tc>
          <w:tcPr>
            <w:tcW w:w="1096" w:type="dxa"/>
            <w:tcBorders>
              <w:top w:val="nil"/>
              <w:left w:val="nil"/>
              <w:bottom w:val="single" w:sz="4" w:space="0" w:color="auto"/>
              <w:right w:val="nil"/>
            </w:tcBorders>
            <w:shd w:val="clear" w:color="auto" w:fill="auto"/>
            <w:noWrap/>
            <w:vAlign w:val="bottom"/>
          </w:tcPr>
          <w:p w:rsidR="007D5E81" w:rsidRPr="00D17BA6" w:rsidRDefault="007D5E81">
            <w:r w:rsidRPr="00D17BA6">
              <w:t>Year</w:t>
            </w:r>
          </w:p>
        </w:tc>
        <w:tc>
          <w:tcPr>
            <w:tcW w:w="1483" w:type="dxa"/>
            <w:tcBorders>
              <w:top w:val="nil"/>
              <w:left w:val="nil"/>
              <w:bottom w:val="single" w:sz="4" w:space="0" w:color="auto"/>
              <w:right w:val="nil"/>
            </w:tcBorders>
            <w:shd w:val="clear" w:color="auto" w:fill="auto"/>
            <w:noWrap/>
            <w:vAlign w:val="bottom"/>
          </w:tcPr>
          <w:p w:rsidR="007D5E81" w:rsidRPr="00D17BA6" w:rsidRDefault="007D5E81" w:rsidP="007D5E81">
            <w:pPr>
              <w:jc w:val="center"/>
            </w:pPr>
            <w:r w:rsidRPr="00D17BA6">
              <w:t>Retained</w:t>
            </w:r>
          </w:p>
          <w:p w:rsidR="007D5E81" w:rsidRPr="00D17BA6" w:rsidRDefault="007D5E81" w:rsidP="007D5E81">
            <w:pPr>
              <w:jc w:val="center"/>
            </w:pPr>
            <w:r w:rsidRPr="00D17BA6">
              <w:t>Catch</w:t>
            </w:r>
          </w:p>
        </w:tc>
        <w:tc>
          <w:tcPr>
            <w:tcW w:w="1810" w:type="dxa"/>
            <w:tcBorders>
              <w:top w:val="nil"/>
              <w:left w:val="nil"/>
              <w:bottom w:val="single" w:sz="4" w:space="0" w:color="auto"/>
              <w:right w:val="nil"/>
            </w:tcBorders>
            <w:shd w:val="clear" w:color="auto" w:fill="auto"/>
            <w:noWrap/>
            <w:vAlign w:val="bottom"/>
          </w:tcPr>
          <w:p w:rsidR="007D5E81" w:rsidRPr="00D17BA6" w:rsidRDefault="007D5E81">
            <w:pPr>
              <w:jc w:val="center"/>
            </w:pPr>
            <w:r w:rsidRPr="00D17BA6">
              <w:t xml:space="preserve">golden </w:t>
            </w:r>
          </w:p>
          <w:p w:rsidR="007D5E81" w:rsidRPr="00D17BA6" w:rsidRDefault="007D5E81">
            <w:pPr>
              <w:jc w:val="center"/>
            </w:pPr>
            <w:r w:rsidRPr="00D17BA6">
              <w:t>king crab</w:t>
            </w:r>
          </w:p>
        </w:tc>
        <w:tc>
          <w:tcPr>
            <w:tcW w:w="1298" w:type="dxa"/>
            <w:tcBorders>
              <w:top w:val="nil"/>
              <w:left w:val="nil"/>
              <w:bottom w:val="single" w:sz="4" w:space="0" w:color="auto"/>
              <w:right w:val="nil"/>
            </w:tcBorders>
            <w:shd w:val="clear" w:color="auto" w:fill="auto"/>
            <w:noWrap/>
            <w:vAlign w:val="bottom"/>
          </w:tcPr>
          <w:p w:rsidR="007D5E81" w:rsidRPr="00D17BA6" w:rsidRDefault="00423BD9">
            <w:pPr>
              <w:jc w:val="center"/>
            </w:pPr>
            <w:smartTag w:uri="urn:schemas-microsoft-com:office:smarttags" w:element="place">
              <w:r w:rsidRPr="00D17BA6">
                <w:t>Bering Sea</w:t>
              </w:r>
            </w:smartTag>
            <w:r w:rsidRPr="00D17BA6">
              <w:t xml:space="preserve"> </w:t>
            </w:r>
            <w:r w:rsidR="007D5E81" w:rsidRPr="00D17BA6">
              <w:t>snow crab</w:t>
            </w:r>
          </w:p>
        </w:tc>
        <w:tc>
          <w:tcPr>
            <w:tcW w:w="1383" w:type="dxa"/>
            <w:tcBorders>
              <w:top w:val="nil"/>
              <w:left w:val="nil"/>
              <w:bottom w:val="single" w:sz="4" w:space="0" w:color="auto"/>
              <w:right w:val="nil"/>
            </w:tcBorders>
            <w:shd w:val="clear" w:color="auto" w:fill="auto"/>
            <w:noWrap/>
            <w:vAlign w:val="bottom"/>
          </w:tcPr>
          <w:p w:rsidR="007D5E81" w:rsidRPr="00D17BA6" w:rsidRDefault="00423BD9">
            <w:pPr>
              <w:jc w:val="center"/>
            </w:pPr>
            <w:r>
              <w:t>g</w:t>
            </w:r>
            <w:r w:rsidR="007D5E81" w:rsidRPr="00D17BA6">
              <w:t>rooved</w:t>
            </w:r>
          </w:p>
          <w:p w:rsidR="007D5E81" w:rsidRPr="00D17BA6" w:rsidRDefault="007D5E81">
            <w:pPr>
              <w:jc w:val="center"/>
            </w:pPr>
            <w:r w:rsidRPr="00D17BA6">
              <w:t>Tanner crab</w:t>
            </w:r>
          </w:p>
        </w:tc>
        <w:tc>
          <w:tcPr>
            <w:tcW w:w="1377" w:type="dxa"/>
            <w:tcBorders>
              <w:top w:val="nil"/>
              <w:left w:val="nil"/>
              <w:bottom w:val="single" w:sz="4" w:space="0" w:color="auto"/>
              <w:right w:val="nil"/>
            </w:tcBorders>
            <w:shd w:val="clear" w:color="auto" w:fill="auto"/>
            <w:noWrap/>
            <w:vAlign w:val="bottom"/>
          </w:tcPr>
          <w:p w:rsidR="007D5E81" w:rsidRPr="00D17BA6" w:rsidRDefault="007D5E81" w:rsidP="004973DA">
            <w:pPr>
              <w:jc w:val="center"/>
            </w:pPr>
            <w:r w:rsidRPr="00D17BA6">
              <w:t>Fishery</w:t>
            </w:r>
          </w:p>
          <w:p w:rsidR="007D5E81" w:rsidRPr="00D17BA6" w:rsidRDefault="007D5E81" w:rsidP="004973DA">
            <w:pPr>
              <w:jc w:val="center"/>
            </w:pPr>
            <w:r w:rsidRPr="00D17BA6">
              <w:t>Mortality</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Default="00F240FA">
            <w:r>
              <w:t>1993</w:t>
            </w:r>
          </w:p>
        </w:tc>
        <w:tc>
          <w:tcPr>
            <w:tcW w:w="1483" w:type="dxa"/>
            <w:tcBorders>
              <w:top w:val="nil"/>
              <w:left w:val="nil"/>
              <w:bottom w:val="nil"/>
              <w:right w:val="nil"/>
            </w:tcBorders>
            <w:shd w:val="clear" w:color="auto" w:fill="auto"/>
            <w:noWrap/>
            <w:vAlign w:val="bottom"/>
          </w:tcPr>
          <w:p w:rsidR="00F240FA" w:rsidRDefault="00F240FA">
            <w:pPr>
              <w:jc w:val="right"/>
            </w:pPr>
            <w:r>
              <w:t>67,458</w:t>
            </w:r>
          </w:p>
        </w:tc>
        <w:tc>
          <w:tcPr>
            <w:tcW w:w="1810" w:type="dxa"/>
            <w:tcBorders>
              <w:top w:val="nil"/>
              <w:left w:val="nil"/>
              <w:bottom w:val="nil"/>
              <w:right w:val="nil"/>
            </w:tcBorders>
            <w:shd w:val="clear" w:color="auto" w:fill="auto"/>
            <w:noWrap/>
            <w:vAlign w:val="bottom"/>
          </w:tcPr>
          <w:p w:rsidR="00F240FA"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Pr="00D17BA6" w:rsidRDefault="0045127A" w:rsidP="0045127A">
            <w:pPr>
              <w:jc w:val="right"/>
            </w:pPr>
            <w:r>
              <w:t>0</w:t>
            </w:r>
          </w:p>
        </w:tc>
        <w:tc>
          <w:tcPr>
            <w:tcW w:w="1383" w:type="dxa"/>
            <w:tcBorders>
              <w:top w:val="nil"/>
              <w:left w:val="nil"/>
              <w:bottom w:val="nil"/>
              <w:right w:val="nil"/>
            </w:tcBorders>
            <w:shd w:val="clear" w:color="auto" w:fill="auto"/>
            <w:noWrap/>
            <w:vAlign w:val="bottom"/>
          </w:tcPr>
          <w:p w:rsidR="00F240FA" w:rsidRDefault="0045127A" w:rsidP="002C659F">
            <w:pPr>
              <w:jc w:val="center"/>
            </w:pPr>
            <w:r>
              <w:t>no data</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Default="00F240FA">
            <w:r>
              <w:t>1994</w:t>
            </w:r>
          </w:p>
        </w:tc>
        <w:tc>
          <w:tcPr>
            <w:tcW w:w="1483" w:type="dxa"/>
            <w:tcBorders>
              <w:top w:val="nil"/>
              <w:left w:val="nil"/>
              <w:bottom w:val="nil"/>
              <w:right w:val="nil"/>
            </w:tcBorders>
            <w:shd w:val="clear" w:color="auto" w:fill="auto"/>
            <w:noWrap/>
            <w:vAlign w:val="bottom"/>
          </w:tcPr>
          <w:p w:rsidR="00F240FA" w:rsidRDefault="00F240FA">
            <w:pPr>
              <w:jc w:val="right"/>
            </w:pPr>
            <w:r>
              <w:t>88,985</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Default="00F240FA" w:rsidP="00B87AED">
            <w:pPr>
              <w:jc w:val="right"/>
              <w:rPr>
                <w:color w:val="000000"/>
              </w:rPr>
            </w:pPr>
            <w:r>
              <w:rPr>
                <w:color w:val="000000"/>
              </w:rPr>
              <w:t>8,387</w:t>
            </w:r>
          </w:p>
        </w:tc>
        <w:tc>
          <w:tcPr>
            <w:tcW w:w="1383" w:type="dxa"/>
            <w:tcBorders>
              <w:top w:val="nil"/>
              <w:left w:val="nil"/>
              <w:bottom w:val="nil"/>
              <w:right w:val="nil"/>
            </w:tcBorders>
            <w:shd w:val="clear" w:color="auto" w:fill="auto"/>
            <w:noWrap/>
            <w:vAlign w:val="bottom"/>
          </w:tcPr>
          <w:p w:rsidR="00F240FA" w:rsidRDefault="00F240FA">
            <w:pPr>
              <w:jc w:val="right"/>
            </w:pPr>
            <w:r>
              <w:t>2,531</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Default="00F240FA">
            <w:r>
              <w:t>1995</w:t>
            </w:r>
          </w:p>
        </w:tc>
        <w:tc>
          <w:tcPr>
            <w:tcW w:w="1483" w:type="dxa"/>
            <w:tcBorders>
              <w:top w:val="nil"/>
              <w:left w:val="nil"/>
              <w:bottom w:val="nil"/>
              <w:right w:val="nil"/>
            </w:tcBorders>
            <w:shd w:val="clear" w:color="auto" w:fill="auto"/>
            <w:noWrap/>
            <w:vAlign w:val="bottom"/>
          </w:tcPr>
          <w:p w:rsidR="00F240FA" w:rsidRDefault="00F240FA">
            <w:pPr>
              <w:jc w:val="right"/>
            </w:pPr>
            <w:r>
              <w:t>341,908</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Pr="005E0B23" w:rsidRDefault="00F240FA" w:rsidP="00B87AED">
            <w:pPr>
              <w:jc w:val="right"/>
              <w:rPr>
                <w:color w:val="000000"/>
              </w:rPr>
            </w:pPr>
            <w:r w:rsidRPr="005E0B23">
              <w:rPr>
                <w:color w:val="000000"/>
              </w:rPr>
              <w:t>1,391</w:t>
            </w:r>
          </w:p>
        </w:tc>
        <w:tc>
          <w:tcPr>
            <w:tcW w:w="1383" w:type="dxa"/>
            <w:tcBorders>
              <w:top w:val="nil"/>
              <w:left w:val="nil"/>
              <w:bottom w:val="nil"/>
              <w:right w:val="nil"/>
            </w:tcBorders>
            <w:shd w:val="clear" w:color="auto" w:fill="auto"/>
            <w:noWrap/>
            <w:vAlign w:val="bottom"/>
          </w:tcPr>
          <w:p w:rsidR="00F240FA" w:rsidRDefault="00F240FA">
            <w:pPr>
              <w:jc w:val="right"/>
            </w:pPr>
            <w:r>
              <w:t>34,492</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t>1996</w:t>
            </w:r>
          </w:p>
        </w:tc>
        <w:tc>
          <w:tcPr>
            <w:tcW w:w="1483" w:type="dxa"/>
            <w:tcBorders>
              <w:top w:val="nil"/>
              <w:left w:val="nil"/>
              <w:bottom w:val="nil"/>
              <w:right w:val="nil"/>
            </w:tcBorders>
            <w:shd w:val="clear" w:color="auto" w:fill="auto"/>
            <w:noWrap/>
            <w:vAlign w:val="bottom"/>
          </w:tcPr>
          <w:p w:rsidR="00F240FA" w:rsidRDefault="00F240FA">
            <w:pPr>
              <w:jc w:val="right"/>
            </w:pPr>
            <w:r>
              <w:t>329,009</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Default="00F240FA" w:rsidP="00B87AED">
            <w:pPr>
              <w:jc w:val="right"/>
            </w:pPr>
            <w:r>
              <w:t>526</w:t>
            </w:r>
          </w:p>
        </w:tc>
        <w:tc>
          <w:tcPr>
            <w:tcW w:w="1383" w:type="dxa"/>
            <w:tcBorders>
              <w:top w:val="nil"/>
              <w:left w:val="nil"/>
              <w:bottom w:val="nil"/>
              <w:right w:val="nil"/>
            </w:tcBorders>
            <w:shd w:val="clear" w:color="auto" w:fill="auto"/>
            <w:noWrap/>
            <w:vAlign w:val="bottom"/>
          </w:tcPr>
          <w:p w:rsidR="00F240FA" w:rsidRDefault="00F240FA">
            <w:pPr>
              <w:jc w:val="right"/>
            </w:pPr>
            <w:r>
              <w:t>5,151</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t>1997</w:t>
            </w:r>
          </w:p>
        </w:tc>
        <w:tc>
          <w:tcPr>
            <w:tcW w:w="1483" w:type="dxa"/>
            <w:tcBorders>
              <w:top w:val="nil"/>
              <w:left w:val="nil"/>
              <w:bottom w:val="nil"/>
              <w:right w:val="nil"/>
            </w:tcBorders>
            <w:shd w:val="clear" w:color="auto" w:fill="auto"/>
            <w:noWrap/>
            <w:vAlign w:val="bottom"/>
          </w:tcPr>
          <w:p w:rsidR="00F240FA" w:rsidRDefault="00F240FA">
            <w:pPr>
              <w:jc w:val="right"/>
            </w:pPr>
            <w:r>
              <w:t>179,249</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Default="00F240FA" w:rsidP="00B87AED">
            <w:pPr>
              <w:jc w:val="right"/>
            </w:pPr>
            <w:r>
              <w:t>8,937</w:t>
            </w:r>
          </w:p>
        </w:tc>
        <w:tc>
          <w:tcPr>
            <w:tcW w:w="1383" w:type="dxa"/>
            <w:tcBorders>
              <w:top w:val="nil"/>
              <w:left w:val="nil"/>
              <w:bottom w:val="nil"/>
              <w:right w:val="nil"/>
            </w:tcBorders>
            <w:shd w:val="clear" w:color="auto" w:fill="auto"/>
            <w:noWrap/>
            <w:vAlign w:val="bottom"/>
          </w:tcPr>
          <w:p w:rsidR="00F240FA" w:rsidRPr="00D17BA6" w:rsidRDefault="00F240FA" w:rsidP="00B87AED">
            <w:pPr>
              <w:jc w:val="center"/>
            </w:pPr>
            <w:r w:rsidRPr="00D17BA6">
              <w:t>no fishing</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t>1998</w:t>
            </w:r>
          </w:p>
        </w:tc>
        <w:tc>
          <w:tcPr>
            <w:tcW w:w="1483" w:type="dxa"/>
            <w:tcBorders>
              <w:top w:val="nil"/>
              <w:left w:val="nil"/>
              <w:bottom w:val="nil"/>
              <w:right w:val="nil"/>
            </w:tcBorders>
            <w:shd w:val="clear" w:color="auto" w:fill="auto"/>
            <w:noWrap/>
            <w:vAlign w:val="bottom"/>
          </w:tcPr>
          <w:p w:rsidR="00F240FA" w:rsidRDefault="00F240FA">
            <w:pPr>
              <w:jc w:val="right"/>
            </w:pPr>
            <w:r>
              <w:t>35,722</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Default="00F240FA" w:rsidP="00B87AED">
            <w:pPr>
              <w:jc w:val="right"/>
            </w:pPr>
            <w:r>
              <w:t>72,760</w:t>
            </w:r>
          </w:p>
        </w:tc>
        <w:tc>
          <w:tcPr>
            <w:tcW w:w="1383" w:type="dxa"/>
            <w:tcBorders>
              <w:top w:val="nil"/>
              <w:left w:val="nil"/>
              <w:bottom w:val="nil"/>
              <w:right w:val="nil"/>
            </w:tcBorders>
            <w:shd w:val="clear" w:color="auto" w:fill="auto"/>
            <w:noWrap/>
            <w:vAlign w:val="bottom"/>
          </w:tcPr>
          <w:p w:rsidR="00F240FA" w:rsidRPr="00D17BA6" w:rsidRDefault="00F240FA" w:rsidP="00B87AED">
            <w:pPr>
              <w:jc w:val="center"/>
            </w:pPr>
            <w:r w:rsidRPr="00D17BA6">
              <w:t>no fishing</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t>1999</w:t>
            </w:r>
          </w:p>
        </w:tc>
        <w:tc>
          <w:tcPr>
            <w:tcW w:w="1483" w:type="dxa"/>
            <w:tcBorders>
              <w:top w:val="nil"/>
              <w:left w:val="nil"/>
              <w:bottom w:val="nil"/>
              <w:right w:val="nil"/>
            </w:tcBorders>
            <w:shd w:val="clear" w:color="auto" w:fill="auto"/>
            <w:noWrap/>
            <w:vAlign w:val="bottom"/>
          </w:tcPr>
          <w:p w:rsidR="00F240FA" w:rsidRDefault="00F240FA">
            <w:pPr>
              <w:jc w:val="right"/>
            </w:pPr>
            <w:r>
              <w:t>177,108</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Default="00F240FA">
            <w:pPr>
              <w:jc w:val="right"/>
            </w:pPr>
            <w:r>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t>2000</w:t>
            </w:r>
          </w:p>
        </w:tc>
        <w:tc>
          <w:tcPr>
            <w:tcW w:w="1483" w:type="dxa"/>
            <w:tcBorders>
              <w:top w:val="nil"/>
              <w:left w:val="nil"/>
              <w:bottom w:val="nil"/>
              <w:right w:val="nil"/>
            </w:tcBorders>
            <w:shd w:val="clear" w:color="auto" w:fill="auto"/>
            <w:noWrap/>
            <w:vAlign w:val="bottom"/>
          </w:tcPr>
          <w:p w:rsidR="00F240FA" w:rsidRDefault="00F240FA">
            <w:pPr>
              <w:jc w:val="right"/>
            </w:pPr>
            <w:r>
              <w:t>127,217</w:t>
            </w:r>
          </w:p>
        </w:tc>
        <w:tc>
          <w:tcPr>
            <w:tcW w:w="1810" w:type="dxa"/>
            <w:tcBorders>
              <w:top w:val="nil"/>
              <w:left w:val="nil"/>
              <w:bottom w:val="nil"/>
              <w:right w:val="nil"/>
            </w:tcBorders>
            <w:shd w:val="clear" w:color="auto" w:fill="auto"/>
            <w:noWrap/>
            <w:vAlign w:val="bottom"/>
          </w:tcPr>
          <w:p w:rsidR="00F240FA" w:rsidRPr="00D17BA6" w:rsidRDefault="00F240FA" w:rsidP="000A6DE5">
            <w:pPr>
              <w:jc w:val="center"/>
            </w:pPr>
            <w:r>
              <w:t>no data</w:t>
            </w:r>
          </w:p>
        </w:tc>
        <w:tc>
          <w:tcPr>
            <w:tcW w:w="1298" w:type="dxa"/>
            <w:tcBorders>
              <w:top w:val="nil"/>
              <w:left w:val="nil"/>
              <w:bottom w:val="nil"/>
              <w:right w:val="nil"/>
            </w:tcBorders>
            <w:shd w:val="clear" w:color="auto" w:fill="auto"/>
            <w:noWrap/>
            <w:vAlign w:val="bottom"/>
          </w:tcPr>
          <w:p w:rsidR="00F240FA" w:rsidRDefault="00F240FA">
            <w:pPr>
              <w:jc w:val="right"/>
            </w:pPr>
            <w:r>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377" w:type="dxa"/>
            <w:tcBorders>
              <w:top w:val="nil"/>
              <w:left w:val="nil"/>
              <w:bottom w:val="nil"/>
              <w:right w:val="nil"/>
            </w:tcBorders>
            <w:shd w:val="clear" w:color="auto" w:fill="auto"/>
            <w:noWrap/>
            <w:vAlign w:val="bottom"/>
          </w:tcPr>
          <w:p w:rsidR="00F240FA" w:rsidRPr="00D17BA6" w:rsidRDefault="00F240FA">
            <w:pPr>
              <w:jc w:val="center"/>
            </w:pPr>
            <w:r>
              <w:t>—</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2001</w:t>
            </w:r>
          </w:p>
        </w:tc>
        <w:tc>
          <w:tcPr>
            <w:tcW w:w="1483" w:type="dxa"/>
            <w:tcBorders>
              <w:top w:val="nil"/>
              <w:left w:val="nil"/>
              <w:bottom w:val="nil"/>
              <w:right w:val="nil"/>
            </w:tcBorders>
            <w:shd w:val="clear" w:color="auto" w:fill="auto"/>
            <w:noWrap/>
            <w:vAlign w:val="bottom"/>
          </w:tcPr>
          <w:p w:rsidR="00F240FA" w:rsidRDefault="00F240FA">
            <w:pPr>
              <w:jc w:val="right"/>
            </w:pPr>
            <w:r>
              <w:t>145,876</w:t>
            </w:r>
          </w:p>
        </w:tc>
        <w:tc>
          <w:tcPr>
            <w:tcW w:w="1810" w:type="dxa"/>
            <w:tcBorders>
              <w:top w:val="nil"/>
              <w:left w:val="nil"/>
              <w:bottom w:val="nil"/>
              <w:right w:val="nil"/>
            </w:tcBorders>
            <w:shd w:val="clear" w:color="auto" w:fill="auto"/>
            <w:noWrap/>
            <w:vAlign w:val="bottom"/>
          </w:tcPr>
          <w:p w:rsidR="00F240FA" w:rsidRPr="00D17BA6" w:rsidRDefault="00F240FA">
            <w:pPr>
              <w:jc w:val="right"/>
            </w:pPr>
            <w:r w:rsidRPr="00D17BA6">
              <w:t>39,278</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377"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2002</w:t>
            </w:r>
          </w:p>
        </w:tc>
        <w:tc>
          <w:tcPr>
            <w:tcW w:w="1483" w:type="dxa"/>
            <w:tcBorders>
              <w:top w:val="nil"/>
              <w:left w:val="nil"/>
              <w:bottom w:val="nil"/>
              <w:right w:val="nil"/>
            </w:tcBorders>
            <w:shd w:val="clear" w:color="auto" w:fill="auto"/>
            <w:noWrap/>
            <w:vAlign w:val="bottom"/>
          </w:tcPr>
          <w:p w:rsidR="00F240FA" w:rsidRDefault="00F240FA">
            <w:pPr>
              <w:jc w:val="right"/>
            </w:pPr>
            <w:r>
              <w:t>150,434</w:t>
            </w:r>
          </w:p>
        </w:tc>
        <w:tc>
          <w:tcPr>
            <w:tcW w:w="1810" w:type="dxa"/>
            <w:tcBorders>
              <w:top w:val="nil"/>
              <w:left w:val="nil"/>
              <w:bottom w:val="nil"/>
              <w:right w:val="nil"/>
            </w:tcBorders>
            <w:shd w:val="clear" w:color="auto" w:fill="auto"/>
            <w:noWrap/>
            <w:vAlign w:val="bottom"/>
          </w:tcPr>
          <w:p w:rsidR="00F240FA" w:rsidRPr="00D17BA6" w:rsidRDefault="00F240FA">
            <w:pPr>
              <w:jc w:val="right"/>
            </w:pPr>
            <w:r w:rsidRPr="00D17BA6">
              <w:t>41,894</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2,335</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377" w:type="dxa"/>
            <w:tcBorders>
              <w:top w:val="nil"/>
              <w:left w:val="nil"/>
              <w:bottom w:val="nil"/>
              <w:right w:val="nil"/>
            </w:tcBorders>
            <w:shd w:val="clear" w:color="auto" w:fill="auto"/>
            <w:noWrap/>
            <w:vAlign w:val="bottom"/>
          </w:tcPr>
          <w:p w:rsidR="00F240FA" w:rsidRPr="00D17BA6" w:rsidRDefault="00F240FA" w:rsidP="008F5A06">
            <w:pPr>
              <w:jc w:val="right"/>
            </w:pPr>
            <w:r>
              <w:t>159,980</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2003</w:t>
            </w:r>
          </w:p>
        </w:tc>
        <w:tc>
          <w:tcPr>
            <w:tcW w:w="14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810" w:type="dxa"/>
            <w:tcBorders>
              <w:top w:val="nil"/>
              <w:left w:val="nil"/>
              <w:bottom w:val="nil"/>
              <w:right w:val="nil"/>
            </w:tcBorders>
            <w:shd w:val="clear" w:color="auto" w:fill="auto"/>
            <w:noWrap/>
            <w:vAlign w:val="bottom"/>
          </w:tcPr>
          <w:p w:rsidR="00F240FA" w:rsidRPr="00D17BA6" w:rsidRDefault="00833A37">
            <w:pPr>
              <w:jc w:val="center"/>
            </w:pPr>
            <w:r>
              <w:t>c</w:t>
            </w:r>
            <w:r w:rsidRPr="00D17BA6">
              <w:t>onfidential</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329</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377" w:type="dxa"/>
            <w:tcBorders>
              <w:top w:val="nil"/>
              <w:left w:val="nil"/>
              <w:bottom w:val="nil"/>
              <w:right w:val="nil"/>
            </w:tcBorders>
            <w:shd w:val="clear" w:color="auto" w:fill="auto"/>
            <w:noWrap/>
            <w:vAlign w:val="bottom"/>
          </w:tcPr>
          <w:p w:rsidR="00F240FA" w:rsidRPr="00D17BA6" w:rsidRDefault="00F240FA">
            <w:pPr>
              <w:jc w:val="right"/>
            </w:pPr>
            <w:r w:rsidRPr="00D17BA6">
              <w:t>159,184</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2004</w:t>
            </w:r>
          </w:p>
        </w:tc>
        <w:tc>
          <w:tcPr>
            <w:tcW w:w="14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810" w:type="dxa"/>
            <w:tcBorders>
              <w:top w:val="nil"/>
              <w:left w:val="nil"/>
              <w:bottom w:val="nil"/>
              <w:right w:val="nil"/>
            </w:tcBorders>
            <w:shd w:val="clear" w:color="auto" w:fill="auto"/>
            <w:noWrap/>
            <w:vAlign w:val="bottom"/>
          </w:tcPr>
          <w:p w:rsidR="00F240FA" w:rsidRPr="00D17BA6" w:rsidRDefault="00833A37">
            <w:pPr>
              <w:jc w:val="center"/>
            </w:pPr>
            <w:r>
              <w:t>c</w:t>
            </w:r>
            <w:r w:rsidRPr="00D17BA6">
              <w:t>onfidential</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377" w:type="dxa"/>
            <w:tcBorders>
              <w:top w:val="nil"/>
              <w:left w:val="nil"/>
              <w:bottom w:val="nil"/>
              <w:right w:val="nil"/>
            </w:tcBorders>
            <w:shd w:val="clear" w:color="auto" w:fill="auto"/>
            <w:noWrap/>
            <w:vAlign w:val="bottom"/>
          </w:tcPr>
          <w:p w:rsidR="00F240FA" w:rsidRPr="00D17BA6" w:rsidRDefault="00F240FA">
            <w:pPr>
              <w:jc w:val="right"/>
            </w:pPr>
            <w:r w:rsidRPr="00D17BA6">
              <w:t>147,552</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2005</w:t>
            </w:r>
          </w:p>
        </w:tc>
        <w:tc>
          <w:tcPr>
            <w:tcW w:w="14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810" w:type="dxa"/>
            <w:tcBorders>
              <w:top w:val="nil"/>
              <w:left w:val="nil"/>
              <w:bottom w:val="nil"/>
              <w:right w:val="nil"/>
            </w:tcBorders>
            <w:shd w:val="clear" w:color="auto" w:fill="auto"/>
            <w:noWrap/>
            <w:vAlign w:val="bottom"/>
          </w:tcPr>
          <w:p w:rsidR="00F240FA" w:rsidRPr="00D17BA6" w:rsidRDefault="00833A37">
            <w:pPr>
              <w:jc w:val="center"/>
            </w:pPr>
            <w:r>
              <w:t>c</w:t>
            </w:r>
            <w:r w:rsidRPr="00D17BA6">
              <w:t>onfidential</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confidential</w:t>
            </w:r>
          </w:p>
        </w:tc>
        <w:tc>
          <w:tcPr>
            <w:tcW w:w="1377" w:type="dxa"/>
            <w:tcBorders>
              <w:top w:val="nil"/>
              <w:left w:val="nil"/>
              <w:bottom w:val="nil"/>
              <w:right w:val="nil"/>
            </w:tcBorders>
            <w:shd w:val="clear" w:color="auto" w:fill="auto"/>
            <w:noWrap/>
            <w:vAlign w:val="bottom"/>
          </w:tcPr>
          <w:p w:rsidR="00F240FA" w:rsidRPr="00D17BA6" w:rsidRDefault="00F240FA">
            <w:pPr>
              <w:jc w:val="right"/>
            </w:pPr>
            <w:r w:rsidRPr="00D17BA6">
              <w:t>65,817</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2006</w:t>
            </w:r>
          </w:p>
        </w:tc>
        <w:tc>
          <w:tcPr>
            <w:tcW w:w="1483"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810"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0</w:t>
            </w:r>
          </w:p>
        </w:tc>
        <w:tc>
          <w:tcPr>
            <w:tcW w:w="1383" w:type="dxa"/>
            <w:tcBorders>
              <w:top w:val="nil"/>
              <w:left w:val="nil"/>
              <w:bottom w:val="nil"/>
              <w:right w:val="nil"/>
            </w:tcBorders>
            <w:shd w:val="clear" w:color="auto" w:fill="auto"/>
            <w:noWrap/>
            <w:vAlign w:val="bottom"/>
          </w:tcPr>
          <w:p w:rsidR="00F240FA" w:rsidRPr="00D17BA6" w:rsidRDefault="00F240FA">
            <w:pPr>
              <w:jc w:val="right"/>
            </w:pPr>
            <w:r w:rsidRPr="00D17BA6">
              <w:t>0</w:t>
            </w:r>
          </w:p>
        </w:tc>
        <w:tc>
          <w:tcPr>
            <w:tcW w:w="1377" w:type="dxa"/>
            <w:tcBorders>
              <w:top w:val="nil"/>
              <w:left w:val="nil"/>
              <w:bottom w:val="nil"/>
              <w:right w:val="nil"/>
            </w:tcBorders>
            <w:shd w:val="clear" w:color="auto" w:fill="auto"/>
            <w:noWrap/>
            <w:vAlign w:val="bottom"/>
          </w:tcPr>
          <w:p w:rsidR="00F240FA" w:rsidRPr="00D17BA6" w:rsidRDefault="00F240FA">
            <w:pPr>
              <w:jc w:val="right"/>
            </w:pPr>
            <w:r w:rsidRPr="00D17BA6">
              <w:t>0</w:t>
            </w:r>
          </w:p>
        </w:tc>
      </w:tr>
      <w:tr w:rsidR="00F240FA" w:rsidRPr="004973DA" w:rsidTr="00152A06">
        <w:trPr>
          <w:trHeight w:val="315"/>
        </w:trPr>
        <w:tc>
          <w:tcPr>
            <w:tcW w:w="1096" w:type="dxa"/>
            <w:tcBorders>
              <w:top w:val="nil"/>
              <w:left w:val="nil"/>
              <w:right w:val="nil"/>
            </w:tcBorders>
            <w:shd w:val="clear" w:color="auto" w:fill="auto"/>
            <w:noWrap/>
            <w:vAlign w:val="bottom"/>
          </w:tcPr>
          <w:p w:rsidR="00F240FA" w:rsidRPr="00D17BA6" w:rsidRDefault="00F240FA">
            <w:r w:rsidRPr="00D17BA6">
              <w:t>2007</w:t>
            </w:r>
          </w:p>
        </w:tc>
        <w:tc>
          <w:tcPr>
            <w:tcW w:w="1483" w:type="dxa"/>
            <w:tcBorders>
              <w:top w:val="nil"/>
              <w:left w:val="nil"/>
              <w:right w:val="nil"/>
            </w:tcBorders>
            <w:shd w:val="clear" w:color="auto" w:fill="auto"/>
            <w:noWrap/>
            <w:vAlign w:val="bottom"/>
          </w:tcPr>
          <w:p w:rsidR="00F240FA" w:rsidRPr="00D17BA6" w:rsidRDefault="00F240FA">
            <w:pPr>
              <w:jc w:val="center"/>
            </w:pPr>
            <w:r w:rsidRPr="00D17BA6">
              <w:t>no fishing</w:t>
            </w:r>
          </w:p>
        </w:tc>
        <w:tc>
          <w:tcPr>
            <w:tcW w:w="1810" w:type="dxa"/>
            <w:tcBorders>
              <w:top w:val="nil"/>
              <w:left w:val="nil"/>
              <w:right w:val="nil"/>
            </w:tcBorders>
            <w:shd w:val="clear" w:color="auto" w:fill="auto"/>
            <w:noWrap/>
            <w:vAlign w:val="bottom"/>
          </w:tcPr>
          <w:p w:rsidR="00F240FA" w:rsidRPr="00D17BA6" w:rsidRDefault="00F240FA">
            <w:pPr>
              <w:jc w:val="center"/>
            </w:pPr>
            <w:r w:rsidRPr="00D17BA6">
              <w:t>no fishing</w:t>
            </w:r>
          </w:p>
        </w:tc>
        <w:tc>
          <w:tcPr>
            <w:tcW w:w="1298" w:type="dxa"/>
            <w:tcBorders>
              <w:top w:val="nil"/>
              <w:left w:val="nil"/>
              <w:right w:val="nil"/>
            </w:tcBorders>
            <w:shd w:val="clear" w:color="auto" w:fill="auto"/>
            <w:noWrap/>
            <w:vAlign w:val="bottom"/>
          </w:tcPr>
          <w:p w:rsidR="00F240FA" w:rsidRPr="00D17BA6" w:rsidRDefault="00F240FA">
            <w:pPr>
              <w:jc w:val="right"/>
            </w:pPr>
            <w:r w:rsidRPr="00D17BA6">
              <w:t>0</w:t>
            </w:r>
          </w:p>
        </w:tc>
        <w:tc>
          <w:tcPr>
            <w:tcW w:w="1383" w:type="dxa"/>
            <w:tcBorders>
              <w:top w:val="nil"/>
              <w:left w:val="nil"/>
              <w:right w:val="nil"/>
            </w:tcBorders>
            <w:shd w:val="clear" w:color="auto" w:fill="auto"/>
            <w:noWrap/>
            <w:vAlign w:val="bottom"/>
          </w:tcPr>
          <w:p w:rsidR="00F240FA" w:rsidRPr="00D17BA6" w:rsidRDefault="00F240FA">
            <w:pPr>
              <w:jc w:val="right"/>
            </w:pPr>
            <w:r w:rsidRPr="00D17BA6">
              <w:t>0</w:t>
            </w:r>
          </w:p>
        </w:tc>
        <w:tc>
          <w:tcPr>
            <w:tcW w:w="1377" w:type="dxa"/>
            <w:tcBorders>
              <w:top w:val="nil"/>
              <w:left w:val="nil"/>
              <w:right w:val="nil"/>
            </w:tcBorders>
            <w:shd w:val="clear" w:color="auto" w:fill="auto"/>
            <w:noWrap/>
            <w:vAlign w:val="bottom"/>
          </w:tcPr>
          <w:p w:rsidR="00F240FA" w:rsidRPr="00D17BA6" w:rsidRDefault="00F240FA">
            <w:pPr>
              <w:jc w:val="right"/>
            </w:pPr>
            <w:r w:rsidRPr="00D17BA6">
              <w:t>0</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rsidRPr="00D17BA6">
              <w:t>2008</w:t>
            </w:r>
          </w:p>
        </w:tc>
        <w:tc>
          <w:tcPr>
            <w:tcW w:w="1483"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810"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298" w:type="dxa"/>
            <w:tcBorders>
              <w:top w:val="nil"/>
              <w:left w:val="nil"/>
              <w:bottom w:val="nil"/>
              <w:right w:val="nil"/>
            </w:tcBorders>
            <w:shd w:val="clear" w:color="auto" w:fill="auto"/>
            <w:noWrap/>
            <w:vAlign w:val="bottom"/>
          </w:tcPr>
          <w:p w:rsidR="00F240FA" w:rsidRPr="00D17BA6" w:rsidRDefault="00F240FA">
            <w:pPr>
              <w:jc w:val="right"/>
            </w:pPr>
            <w:r>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377" w:type="dxa"/>
            <w:tcBorders>
              <w:top w:val="nil"/>
              <w:left w:val="nil"/>
              <w:bottom w:val="nil"/>
              <w:right w:val="nil"/>
            </w:tcBorders>
            <w:shd w:val="clear" w:color="auto" w:fill="auto"/>
            <w:noWrap/>
            <w:vAlign w:val="bottom"/>
          </w:tcPr>
          <w:p w:rsidR="00F240FA" w:rsidRPr="00D17BA6" w:rsidRDefault="00F240FA">
            <w:pPr>
              <w:jc w:val="right"/>
            </w:pPr>
            <w:r>
              <w:t>0</w:t>
            </w:r>
          </w:p>
        </w:tc>
      </w:tr>
      <w:tr w:rsidR="00F240FA" w:rsidRPr="004973DA" w:rsidTr="00152A06">
        <w:trPr>
          <w:trHeight w:val="315"/>
        </w:trPr>
        <w:tc>
          <w:tcPr>
            <w:tcW w:w="1096" w:type="dxa"/>
            <w:tcBorders>
              <w:top w:val="nil"/>
              <w:left w:val="nil"/>
              <w:bottom w:val="nil"/>
              <w:right w:val="nil"/>
            </w:tcBorders>
            <w:shd w:val="clear" w:color="auto" w:fill="auto"/>
            <w:noWrap/>
            <w:vAlign w:val="bottom"/>
          </w:tcPr>
          <w:p w:rsidR="00F240FA" w:rsidRPr="00D17BA6" w:rsidRDefault="00F240FA">
            <w:r>
              <w:t>2009</w:t>
            </w:r>
          </w:p>
        </w:tc>
        <w:tc>
          <w:tcPr>
            <w:tcW w:w="1483" w:type="dxa"/>
            <w:tcBorders>
              <w:top w:val="nil"/>
              <w:left w:val="nil"/>
              <w:bottom w:val="nil"/>
              <w:right w:val="nil"/>
            </w:tcBorders>
            <w:shd w:val="clear" w:color="auto" w:fill="auto"/>
            <w:noWrap/>
            <w:vAlign w:val="bottom"/>
          </w:tcPr>
          <w:p w:rsidR="00F240FA" w:rsidRPr="00D17BA6" w:rsidRDefault="00F240FA">
            <w:pPr>
              <w:jc w:val="center"/>
            </w:pPr>
            <w:r>
              <w:t>no fishing</w:t>
            </w:r>
          </w:p>
        </w:tc>
        <w:tc>
          <w:tcPr>
            <w:tcW w:w="1810" w:type="dxa"/>
            <w:tcBorders>
              <w:top w:val="nil"/>
              <w:left w:val="nil"/>
              <w:bottom w:val="nil"/>
              <w:right w:val="nil"/>
            </w:tcBorders>
            <w:shd w:val="clear" w:color="auto" w:fill="auto"/>
            <w:noWrap/>
            <w:vAlign w:val="bottom"/>
          </w:tcPr>
          <w:p w:rsidR="00F240FA" w:rsidRPr="00D17BA6" w:rsidRDefault="00F240FA">
            <w:pPr>
              <w:jc w:val="center"/>
            </w:pPr>
            <w:r>
              <w:t>no fishing</w:t>
            </w:r>
          </w:p>
        </w:tc>
        <w:tc>
          <w:tcPr>
            <w:tcW w:w="1298" w:type="dxa"/>
            <w:tcBorders>
              <w:top w:val="nil"/>
              <w:left w:val="nil"/>
              <w:bottom w:val="nil"/>
              <w:right w:val="nil"/>
            </w:tcBorders>
            <w:shd w:val="clear" w:color="auto" w:fill="auto"/>
            <w:noWrap/>
            <w:vAlign w:val="bottom"/>
          </w:tcPr>
          <w:p w:rsidR="00F240FA" w:rsidRPr="00D17BA6" w:rsidRDefault="00F240FA">
            <w:pPr>
              <w:jc w:val="right"/>
            </w:pPr>
            <w:r w:rsidRPr="00D17BA6">
              <w:t>2,122</w:t>
            </w:r>
            <w:r w:rsidRPr="00A951D7">
              <w:rPr>
                <w:vertAlign w:val="superscript"/>
              </w:rPr>
              <w:t>a</w:t>
            </w:r>
          </w:p>
        </w:tc>
        <w:tc>
          <w:tcPr>
            <w:tcW w:w="1383" w:type="dxa"/>
            <w:tcBorders>
              <w:top w:val="nil"/>
              <w:left w:val="nil"/>
              <w:bottom w:val="nil"/>
              <w:right w:val="nil"/>
            </w:tcBorders>
            <w:shd w:val="clear" w:color="auto" w:fill="auto"/>
            <w:noWrap/>
            <w:vAlign w:val="bottom"/>
          </w:tcPr>
          <w:p w:rsidR="00F240FA" w:rsidRPr="00D17BA6" w:rsidRDefault="00F240FA">
            <w:pPr>
              <w:jc w:val="center"/>
            </w:pPr>
            <w:r w:rsidRPr="00D17BA6">
              <w:t>no fishing</w:t>
            </w:r>
          </w:p>
        </w:tc>
        <w:tc>
          <w:tcPr>
            <w:tcW w:w="1377" w:type="dxa"/>
            <w:tcBorders>
              <w:top w:val="nil"/>
              <w:left w:val="nil"/>
              <w:bottom w:val="nil"/>
              <w:right w:val="nil"/>
            </w:tcBorders>
            <w:shd w:val="clear" w:color="auto" w:fill="auto"/>
            <w:noWrap/>
            <w:vAlign w:val="bottom"/>
          </w:tcPr>
          <w:p w:rsidR="00F240FA" w:rsidRPr="00D17BA6" w:rsidRDefault="00F240FA">
            <w:pPr>
              <w:jc w:val="right"/>
            </w:pPr>
            <w:r w:rsidRPr="00D17BA6">
              <w:t>1,061</w:t>
            </w:r>
            <w:r w:rsidRPr="00A951D7">
              <w:rPr>
                <w:vertAlign w:val="superscript"/>
              </w:rPr>
              <w:t>a</w:t>
            </w:r>
          </w:p>
        </w:tc>
      </w:tr>
      <w:tr w:rsidR="00F240FA" w:rsidRPr="004973DA" w:rsidTr="00CC7860">
        <w:trPr>
          <w:trHeight w:val="315"/>
        </w:trPr>
        <w:tc>
          <w:tcPr>
            <w:tcW w:w="1096" w:type="dxa"/>
            <w:tcBorders>
              <w:top w:val="nil"/>
              <w:left w:val="nil"/>
              <w:bottom w:val="nil"/>
              <w:right w:val="nil"/>
            </w:tcBorders>
            <w:shd w:val="clear" w:color="auto" w:fill="auto"/>
            <w:noWrap/>
            <w:vAlign w:val="bottom"/>
          </w:tcPr>
          <w:p w:rsidR="00F240FA" w:rsidRDefault="00F240FA">
            <w:r>
              <w:t>2010</w:t>
            </w:r>
          </w:p>
        </w:tc>
        <w:tc>
          <w:tcPr>
            <w:tcW w:w="1483" w:type="dxa"/>
            <w:tcBorders>
              <w:top w:val="nil"/>
              <w:left w:val="nil"/>
              <w:bottom w:val="nil"/>
              <w:right w:val="nil"/>
            </w:tcBorders>
            <w:shd w:val="clear" w:color="auto" w:fill="auto"/>
            <w:noWrap/>
            <w:vAlign w:val="bottom"/>
          </w:tcPr>
          <w:p w:rsidR="00F240FA" w:rsidRDefault="00F240FA">
            <w:pPr>
              <w:jc w:val="center"/>
            </w:pPr>
            <w:r>
              <w:t>confidential</w:t>
            </w:r>
          </w:p>
        </w:tc>
        <w:tc>
          <w:tcPr>
            <w:tcW w:w="1810" w:type="dxa"/>
            <w:tcBorders>
              <w:top w:val="nil"/>
              <w:left w:val="nil"/>
              <w:bottom w:val="nil"/>
              <w:right w:val="nil"/>
            </w:tcBorders>
            <w:shd w:val="clear" w:color="auto" w:fill="auto"/>
            <w:noWrap/>
            <w:vAlign w:val="bottom"/>
          </w:tcPr>
          <w:p w:rsidR="00F240FA" w:rsidRDefault="00833A37">
            <w:pPr>
              <w:jc w:val="center"/>
            </w:pPr>
            <w:r>
              <w:t>confidential</w:t>
            </w:r>
          </w:p>
        </w:tc>
        <w:tc>
          <w:tcPr>
            <w:tcW w:w="1298" w:type="dxa"/>
            <w:tcBorders>
              <w:top w:val="nil"/>
              <w:left w:val="nil"/>
              <w:bottom w:val="nil"/>
              <w:right w:val="nil"/>
            </w:tcBorders>
            <w:shd w:val="clear" w:color="auto" w:fill="auto"/>
            <w:noWrap/>
            <w:vAlign w:val="bottom"/>
          </w:tcPr>
          <w:p w:rsidR="00F240FA" w:rsidRPr="00D17BA6" w:rsidRDefault="00F240FA">
            <w:pPr>
              <w:jc w:val="right"/>
            </w:pPr>
            <w:r>
              <w:t>0</w:t>
            </w:r>
          </w:p>
        </w:tc>
        <w:tc>
          <w:tcPr>
            <w:tcW w:w="1383" w:type="dxa"/>
            <w:tcBorders>
              <w:top w:val="nil"/>
              <w:left w:val="nil"/>
              <w:bottom w:val="nil"/>
              <w:right w:val="nil"/>
            </w:tcBorders>
            <w:shd w:val="clear" w:color="auto" w:fill="auto"/>
            <w:noWrap/>
            <w:vAlign w:val="bottom"/>
          </w:tcPr>
          <w:p w:rsidR="00F240FA" w:rsidRPr="00D17BA6" w:rsidRDefault="00F240FA">
            <w:pPr>
              <w:jc w:val="center"/>
            </w:pPr>
            <w:r>
              <w:t>no fishing</w:t>
            </w:r>
          </w:p>
        </w:tc>
        <w:tc>
          <w:tcPr>
            <w:tcW w:w="1377" w:type="dxa"/>
            <w:tcBorders>
              <w:top w:val="nil"/>
              <w:left w:val="nil"/>
              <w:bottom w:val="nil"/>
              <w:right w:val="nil"/>
            </w:tcBorders>
            <w:shd w:val="clear" w:color="auto" w:fill="auto"/>
            <w:noWrap/>
            <w:vAlign w:val="bottom"/>
          </w:tcPr>
          <w:p w:rsidR="00F240FA" w:rsidRPr="00D17BA6" w:rsidRDefault="00F240FA">
            <w:pPr>
              <w:jc w:val="right"/>
            </w:pPr>
            <w:r>
              <w:t>confidential</w:t>
            </w:r>
          </w:p>
        </w:tc>
      </w:tr>
      <w:tr w:rsidR="00CC7860" w:rsidRPr="004973DA" w:rsidTr="002C659F">
        <w:trPr>
          <w:trHeight w:val="315"/>
        </w:trPr>
        <w:tc>
          <w:tcPr>
            <w:tcW w:w="1096" w:type="dxa"/>
            <w:tcBorders>
              <w:top w:val="nil"/>
              <w:left w:val="nil"/>
              <w:bottom w:val="nil"/>
              <w:right w:val="nil"/>
            </w:tcBorders>
            <w:shd w:val="clear" w:color="auto" w:fill="auto"/>
            <w:noWrap/>
            <w:vAlign w:val="bottom"/>
          </w:tcPr>
          <w:p w:rsidR="00CC7860" w:rsidRDefault="00CC7860">
            <w:r>
              <w:t>2011</w:t>
            </w:r>
          </w:p>
        </w:tc>
        <w:tc>
          <w:tcPr>
            <w:tcW w:w="1483" w:type="dxa"/>
            <w:tcBorders>
              <w:top w:val="nil"/>
              <w:left w:val="nil"/>
              <w:bottom w:val="nil"/>
              <w:right w:val="nil"/>
            </w:tcBorders>
            <w:shd w:val="clear" w:color="auto" w:fill="auto"/>
            <w:noWrap/>
            <w:vAlign w:val="bottom"/>
          </w:tcPr>
          <w:p w:rsidR="00CC7860" w:rsidRDefault="00CC7860">
            <w:pPr>
              <w:jc w:val="center"/>
            </w:pPr>
            <w:r>
              <w:t>confidential</w:t>
            </w:r>
          </w:p>
        </w:tc>
        <w:tc>
          <w:tcPr>
            <w:tcW w:w="1810" w:type="dxa"/>
            <w:tcBorders>
              <w:top w:val="nil"/>
              <w:left w:val="nil"/>
              <w:bottom w:val="nil"/>
              <w:right w:val="nil"/>
            </w:tcBorders>
            <w:shd w:val="clear" w:color="auto" w:fill="auto"/>
            <w:noWrap/>
            <w:vAlign w:val="bottom"/>
          </w:tcPr>
          <w:p w:rsidR="00CC7860" w:rsidRDefault="00833A37">
            <w:pPr>
              <w:jc w:val="center"/>
            </w:pPr>
            <w:r>
              <w:t>confidential</w:t>
            </w:r>
          </w:p>
        </w:tc>
        <w:tc>
          <w:tcPr>
            <w:tcW w:w="1298" w:type="dxa"/>
            <w:tcBorders>
              <w:top w:val="nil"/>
              <w:left w:val="nil"/>
              <w:bottom w:val="nil"/>
              <w:right w:val="nil"/>
            </w:tcBorders>
            <w:shd w:val="clear" w:color="auto" w:fill="auto"/>
            <w:noWrap/>
            <w:vAlign w:val="bottom"/>
          </w:tcPr>
          <w:p w:rsidR="00CC7860" w:rsidRDefault="00BB4015">
            <w:pPr>
              <w:jc w:val="right"/>
            </w:pPr>
            <w:r>
              <w:t>591</w:t>
            </w:r>
            <w:r w:rsidRPr="00BB4015">
              <w:rPr>
                <w:vertAlign w:val="superscript"/>
              </w:rPr>
              <w:t>b</w:t>
            </w:r>
          </w:p>
        </w:tc>
        <w:tc>
          <w:tcPr>
            <w:tcW w:w="1383" w:type="dxa"/>
            <w:tcBorders>
              <w:top w:val="nil"/>
              <w:left w:val="nil"/>
              <w:bottom w:val="nil"/>
              <w:right w:val="nil"/>
            </w:tcBorders>
            <w:shd w:val="clear" w:color="auto" w:fill="auto"/>
            <w:noWrap/>
            <w:vAlign w:val="bottom"/>
          </w:tcPr>
          <w:p w:rsidR="00CC7860" w:rsidRDefault="00CC7860">
            <w:pPr>
              <w:jc w:val="center"/>
            </w:pPr>
            <w:r>
              <w:t>no fishing</w:t>
            </w:r>
          </w:p>
        </w:tc>
        <w:tc>
          <w:tcPr>
            <w:tcW w:w="1377" w:type="dxa"/>
            <w:tcBorders>
              <w:top w:val="nil"/>
              <w:left w:val="nil"/>
              <w:bottom w:val="nil"/>
              <w:right w:val="nil"/>
            </w:tcBorders>
            <w:shd w:val="clear" w:color="auto" w:fill="auto"/>
            <w:noWrap/>
            <w:vAlign w:val="bottom"/>
          </w:tcPr>
          <w:p w:rsidR="00CC7860" w:rsidRDefault="00CC7860">
            <w:pPr>
              <w:jc w:val="right"/>
            </w:pPr>
            <w:r>
              <w:t>confidential</w:t>
            </w:r>
          </w:p>
        </w:tc>
      </w:tr>
      <w:tr w:rsidR="002C659F" w:rsidRPr="004973DA" w:rsidTr="00152A06">
        <w:trPr>
          <w:trHeight w:val="315"/>
        </w:trPr>
        <w:tc>
          <w:tcPr>
            <w:tcW w:w="1096" w:type="dxa"/>
            <w:tcBorders>
              <w:top w:val="nil"/>
              <w:left w:val="nil"/>
              <w:bottom w:val="single" w:sz="4" w:space="0" w:color="auto"/>
              <w:right w:val="nil"/>
            </w:tcBorders>
            <w:shd w:val="clear" w:color="auto" w:fill="auto"/>
            <w:noWrap/>
            <w:vAlign w:val="bottom"/>
          </w:tcPr>
          <w:p w:rsidR="002C659F" w:rsidRDefault="002C659F">
            <w:r>
              <w:t>2012</w:t>
            </w:r>
          </w:p>
        </w:tc>
        <w:tc>
          <w:tcPr>
            <w:tcW w:w="1483" w:type="dxa"/>
            <w:tcBorders>
              <w:top w:val="nil"/>
              <w:left w:val="nil"/>
              <w:bottom w:val="single" w:sz="4" w:space="0" w:color="auto"/>
              <w:right w:val="nil"/>
            </w:tcBorders>
            <w:shd w:val="clear" w:color="auto" w:fill="auto"/>
            <w:noWrap/>
            <w:vAlign w:val="bottom"/>
          </w:tcPr>
          <w:p w:rsidR="002C659F" w:rsidRDefault="002C659F">
            <w:pPr>
              <w:jc w:val="center"/>
            </w:pPr>
            <w:r>
              <w:t>confidential</w:t>
            </w:r>
          </w:p>
        </w:tc>
        <w:tc>
          <w:tcPr>
            <w:tcW w:w="1810" w:type="dxa"/>
            <w:tcBorders>
              <w:top w:val="nil"/>
              <w:left w:val="nil"/>
              <w:bottom w:val="single" w:sz="4" w:space="0" w:color="auto"/>
              <w:right w:val="nil"/>
            </w:tcBorders>
            <w:shd w:val="clear" w:color="auto" w:fill="auto"/>
            <w:noWrap/>
            <w:vAlign w:val="bottom"/>
          </w:tcPr>
          <w:p w:rsidR="002C659F" w:rsidRDefault="00833A37">
            <w:pPr>
              <w:jc w:val="center"/>
            </w:pPr>
            <w:r>
              <w:t>confidential</w:t>
            </w:r>
          </w:p>
        </w:tc>
        <w:tc>
          <w:tcPr>
            <w:tcW w:w="1298" w:type="dxa"/>
            <w:tcBorders>
              <w:top w:val="nil"/>
              <w:left w:val="nil"/>
              <w:bottom w:val="single" w:sz="4" w:space="0" w:color="auto"/>
              <w:right w:val="nil"/>
            </w:tcBorders>
            <w:shd w:val="clear" w:color="auto" w:fill="auto"/>
            <w:noWrap/>
            <w:vAlign w:val="bottom"/>
          </w:tcPr>
          <w:p w:rsidR="002C659F" w:rsidRDefault="0098577C">
            <w:pPr>
              <w:jc w:val="right"/>
            </w:pPr>
            <w:r>
              <w:t>598</w:t>
            </w:r>
            <w:r w:rsidR="00A37C49" w:rsidRPr="00A37C49">
              <w:rPr>
                <w:vertAlign w:val="superscript"/>
              </w:rPr>
              <w:t>c</w:t>
            </w:r>
          </w:p>
        </w:tc>
        <w:tc>
          <w:tcPr>
            <w:tcW w:w="1383" w:type="dxa"/>
            <w:tcBorders>
              <w:top w:val="nil"/>
              <w:left w:val="nil"/>
              <w:bottom w:val="single" w:sz="4" w:space="0" w:color="auto"/>
              <w:right w:val="nil"/>
            </w:tcBorders>
            <w:shd w:val="clear" w:color="auto" w:fill="auto"/>
            <w:noWrap/>
            <w:vAlign w:val="bottom"/>
          </w:tcPr>
          <w:p w:rsidR="002C659F" w:rsidRDefault="00561845">
            <w:pPr>
              <w:jc w:val="center"/>
            </w:pPr>
            <w:r>
              <w:t>no fishing</w:t>
            </w:r>
          </w:p>
        </w:tc>
        <w:tc>
          <w:tcPr>
            <w:tcW w:w="1377" w:type="dxa"/>
            <w:tcBorders>
              <w:top w:val="nil"/>
              <w:left w:val="nil"/>
              <w:bottom w:val="single" w:sz="4" w:space="0" w:color="auto"/>
              <w:right w:val="nil"/>
            </w:tcBorders>
            <w:shd w:val="clear" w:color="auto" w:fill="auto"/>
            <w:noWrap/>
            <w:vAlign w:val="bottom"/>
          </w:tcPr>
          <w:p w:rsidR="002C659F" w:rsidRDefault="00561845">
            <w:pPr>
              <w:jc w:val="right"/>
            </w:pPr>
            <w:r>
              <w:t>confidential</w:t>
            </w:r>
          </w:p>
        </w:tc>
      </w:tr>
    </w:tbl>
    <w:p w:rsidR="00A36F6E" w:rsidRDefault="00AD4AFF" w:rsidP="002F1A19">
      <w:pPr>
        <w:numPr>
          <w:ilvl w:val="0"/>
          <w:numId w:val="27"/>
        </w:numPr>
        <w:jc w:val="both"/>
        <w:rPr>
          <w:sz w:val="20"/>
          <w:szCs w:val="20"/>
        </w:rPr>
      </w:pPr>
      <w:r w:rsidRPr="00A36F6E">
        <w:rPr>
          <w:sz w:val="20"/>
          <w:szCs w:val="20"/>
        </w:rPr>
        <w:t xml:space="preserve">Only 5 golden king </w:t>
      </w:r>
      <w:r w:rsidR="008E47B6" w:rsidRPr="00A36F6E">
        <w:rPr>
          <w:sz w:val="20"/>
          <w:szCs w:val="20"/>
        </w:rPr>
        <w:t>crab</w:t>
      </w:r>
      <w:r w:rsidRPr="00A36F6E">
        <w:rPr>
          <w:sz w:val="20"/>
          <w:szCs w:val="20"/>
        </w:rPr>
        <w:t xml:space="preserve"> (1 sublegal male and 4 legal males) were counted in 1,657 pot lifts sampled </w:t>
      </w:r>
      <w:r w:rsidR="00A47D65" w:rsidRPr="00A36F6E">
        <w:rPr>
          <w:sz w:val="20"/>
          <w:szCs w:val="20"/>
        </w:rPr>
        <w:t xml:space="preserve">out of the 163,536 pot lifts performed </w:t>
      </w:r>
      <w:r w:rsidRPr="00A36F6E">
        <w:rPr>
          <w:sz w:val="20"/>
          <w:szCs w:val="20"/>
        </w:rPr>
        <w:t>during the 2008/09 Bering Sea snow crab fishery</w:t>
      </w:r>
      <w:r w:rsidR="0098577C" w:rsidRPr="00A36F6E">
        <w:rPr>
          <w:sz w:val="20"/>
          <w:szCs w:val="20"/>
        </w:rPr>
        <w:t xml:space="preserve"> (including waters north of the Pribilof District</w:t>
      </w:r>
      <w:r w:rsidR="006C79D8" w:rsidRPr="00A36F6E">
        <w:rPr>
          <w:sz w:val="20"/>
          <w:szCs w:val="20"/>
        </w:rPr>
        <w:t xml:space="preserve">; </w:t>
      </w:r>
      <w:r w:rsidR="00A36F6E" w:rsidRPr="00A36F6E">
        <w:rPr>
          <w:sz w:val="20"/>
          <w:szCs w:val="20"/>
        </w:rPr>
        <w:t>Gaeuman 2010</w:t>
      </w:r>
      <w:r w:rsidR="0098577C" w:rsidRPr="00A36F6E">
        <w:rPr>
          <w:sz w:val="20"/>
          <w:szCs w:val="20"/>
        </w:rPr>
        <w:t>)</w:t>
      </w:r>
      <w:r w:rsidRPr="00A36F6E">
        <w:rPr>
          <w:sz w:val="20"/>
          <w:szCs w:val="20"/>
        </w:rPr>
        <w:t>, but none of those were measured to provide an estimate of weight.</w:t>
      </w:r>
      <w:r w:rsidR="00440537" w:rsidRPr="00A36F6E">
        <w:rPr>
          <w:sz w:val="20"/>
          <w:szCs w:val="20"/>
        </w:rPr>
        <w:t xml:space="preserve">  </w:t>
      </w:r>
      <w:r w:rsidR="00A36F6E" w:rsidRPr="00A36F6E">
        <w:rPr>
          <w:sz w:val="20"/>
          <w:szCs w:val="20"/>
        </w:rPr>
        <w:t>Bycatch weight was estimated by (4.3)x(5)x(163,536)/(1,657); the assumed average weight per crab (4.3 pounds) is the average weight of landed golden king crab during the 2002 Pribilof District golden king crab fishery.</w:t>
      </w:r>
    </w:p>
    <w:p w:rsidR="00BB4015" w:rsidRDefault="00BB4015" w:rsidP="002F1A19">
      <w:pPr>
        <w:numPr>
          <w:ilvl w:val="0"/>
          <w:numId w:val="27"/>
        </w:numPr>
        <w:jc w:val="both"/>
        <w:rPr>
          <w:sz w:val="20"/>
          <w:szCs w:val="20"/>
        </w:rPr>
      </w:pPr>
      <w:r w:rsidRPr="00A36F6E">
        <w:rPr>
          <w:sz w:val="20"/>
          <w:szCs w:val="20"/>
        </w:rPr>
        <w:t>Only 2 golden king crab (1 sublegal male and 1 legal male) were counted in 2,142 pot lifts sampled out of the 147,244 pot lifts performed during the 2010/11 Bering Sea snow crab fishery (</w:t>
      </w:r>
      <w:r w:rsidR="0098577C" w:rsidRPr="00A36F6E">
        <w:rPr>
          <w:sz w:val="20"/>
          <w:szCs w:val="20"/>
        </w:rPr>
        <w:t xml:space="preserve">including waters north of the Pribilof District; </w:t>
      </w:r>
      <w:r w:rsidRPr="00A36F6E">
        <w:rPr>
          <w:sz w:val="20"/>
          <w:szCs w:val="20"/>
        </w:rPr>
        <w:t>Gaeuman 2011), but none of those were measured to provide an estimate of weight.  Bycatch weight was estimated by 4.3x(2x147,244)/2,142; the assumed average weight per crab (4.3 pounds) is the average weight of landed golden king crab during the 2002 Pribilof District golden king crab fishery.</w:t>
      </w:r>
    </w:p>
    <w:p w:rsidR="00A37C49" w:rsidRDefault="00A37C49" w:rsidP="002F1A19">
      <w:pPr>
        <w:numPr>
          <w:ilvl w:val="0"/>
          <w:numId w:val="27"/>
        </w:numPr>
        <w:jc w:val="both"/>
        <w:rPr>
          <w:sz w:val="20"/>
          <w:szCs w:val="20"/>
        </w:rPr>
      </w:pPr>
      <w:r>
        <w:rPr>
          <w:sz w:val="20"/>
          <w:szCs w:val="20"/>
        </w:rPr>
        <w:t>A single 156 mm CL legal male golden king crab occurred in the 2,235 pot lifts sampled out of the 270,602 pot lifts performed during the 2011/12 Bering Sea snow crab fishery (</w:t>
      </w:r>
      <w:r w:rsidR="0098577C">
        <w:rPr>
          <w:sz w:val="20"/>
          <w:szCs w:val="20"/>
        </w:rPr>
        <w:t xml:space="preserve">(including waters north of the Pribilof District; </w:t>
      </w:r>
      <w:r>
        <w:rPr>
          <w:sz w:val="20"/>
          <w:szCs w:val="20"/>
        </w:rPr>
        <w:t xml:space="preserve">Gaeuman </w:t>
      </w:r>
      <w:r w:rsidRPr="00A37C49">
        <w:rPr>
          <w:i/>
          <w:sz w:val="20"/>
          <w:szCs w:val="20"/>
        </w:rPr>
        <w:t>in press</w:t>
      </w:r>
      <w:r>
        <w:rPr>
          <w:sz w:val="20"/>
          <w:szCs w:val="20"/>
        </w:rPr>
        <w:t>).  Total bycatch weight was estimated by (4.9)x(270,602)/(2,235)</w:t>
      </w:r>
      <w:r w:rsidR="00561845">
        <w:rPr>
          <w:sz w:val="20"/>
          <w:szCs w:val="20"/>
        </w:rPr>
        <w:t>, where 4.9 is the average weight (pounds) of a 156 mm CL male golden king crab estimated by the weight-at-length estimator (Section D.3.b).</w:t>
      </w:r>
    </w:p>
    <w:p w:rsidR="002625EE" w:rsidRPr="00935F99" w:rsidRDefault="002625EE" w:rsidP="002625EE">
      <w:pPr>
        <w:ind w:left="720" w:hanging="720"/>
        <w:jc w:val="both"/>
      </w:pPr>
      <w:r>
        <w:br w:type="page"/>
      </w:r>
      <w:proofErr w:type="gramStart"/>
      <w:r w:rsidRPr="002C74C8">
        <w:lastRenderedPageBreak/>
        <w:t>Table 3</w:t>
      </w:r>
      <w:r w:rsidRPr="008264C8">
        <w:t>.</w:t>
      </w:r>
      <w:proofErr w:type="gramEnd"/>
      <w:r w:rsidRPr="008264C8">
        <w:t xml:space="preserve">  Estimated annual weight (pounds) of discarded bycatch</w:t>
      </w:r>
      <w:r w:rsidR="008264C8" w:rsidRPr="008264C8">
        <w:t xml:space="preserve"> of Pribilof golden king crab (all sizes, males and females) during federal groundfish fisheries by gear type (fixed or trawl) in reporting areas 513, 517, and 521, 1991/92–2010/12, with </w:t>
      </w:r>
      <w:r w:rsidR="006D0F04" w:rsidRPr="008264C8">
        <w:t>total bycatch</w:t>
      </w:r>
      <w:r w:rsidR="00194813" w:rsidRPr="008264C8">
        <w:t xml:space="preserve"> mortality </w:t>
      </w:r>
      <w:r w:rsidR="00B47CBB" w:rsidRPr="008264C8">
        <w:t xml:space="preserve">(pounds) </w:t>
      </w:r>
      <w:r w:rsidR="008264C8" w:rsidRPr="008264C8">
        <w:t xml:space="preserve">estimated by </w:t>
      </w:r>
      <w:r w:rsidR="005B0085" w:rsidRPr="008264C8">
        <w:t>assum</w:t>
      </w:r>
      <w:r w:rsidR="008264C8" w:rsidRPr="008264C8">
        <w:t>ing</w:t>
      </w:r>
      <w:r w:rsidR="005B0085" w:rsidRPr="008264C8">
        <w:t xml:space="preserve"> bycatch mortality rate </w:t>
      </w:r>
      <w:r w:rsidR="008264C8" w:rsidRPr="008264C8">
        <w:t>=</w:t>
      </w:r>
      <w:r w:rsidR="005B0085" w:rsidRPr="008264C8">
        <w:t xml:space="preserve"> 0.5 for fixed-gear fisheries and </w:t>
      </w:r>
      <w:r w:rsidR="008264C8" w:rsidRPr="008264C8">
        <w:t xml:space="preserve">bycatch mortality rate = </w:t>
      </w:r>
      <w:r w:rsidR="005B0085" w:rsidRPr="008264C8">
        <w:t xml:space="preserve">0.8 for trawl fisheries </w:t>
      </w:r>
      <w:r w:rsidR="008264C8" w:rsidRPr="008264C8">
        <w:t>(</w:t>
      </w:r>
      <w:r w:rsidR="00A20FCE" w:rsidRPr="008264C8">
        <w:t>updated from 201</w:t>
      </w:r>
      <w:r w:rsidR="003C5F58" w:rsidRPr="008264C8">
        <w:t>2</w:t>
      </w:r>
      <w:r w:rsidR="00A20FCE" w:rsidRPr="008264C8">
        <w:t xml:space="preserve"> SAFE with 20</w:t>
      </w:r>
      <w:r w:rsidR="00B47CBB" w:rsidRPr="008264C8">
        <w:t>1</w:t>
      </w:r>
      <w:r w:rsidR="003C5F58" w:rsidRPr="008264C8">
        <w:t>1</w:t>
      </w:r>
      <w:r w:rsidR="00A20FCE" w:rsidRPr="008264C8">
        <w:t>/1</w:t>
      </w:r>
      <w:r w:rsidR="003C5F58" w:rsidRPr="008264C8">
        <w:t>2</w:t>
      </w:r>
      <w:r w:rsidR="00B47CBB" w:rsidRPr="008264C8">
        <w:t xml:space="preserve"> data</w:t>
      </w:r>
      <w:r w:rsidR="00A20FCE" w:rsidRPr="008264C8">
        <w:t xml:space="preserve"> </w:t>
      </w:r>
      <w:r w:rsidRPr="008264C8">
        <w:t xml:space="preserve">provided by </w:t>
      </w:r>
      <w:r w:rsidR="00A20FCE" w:rsidRPr="008264C8">
        <w:t>R. Fo</w:t>
      </w:r>
      <w:r w:rsidR="009C3761" w:rsidRPr="008264C8">
        <w:t xml:space="preserve">y AFSC, Kodiak Laboratory via </w:t>
      </w:r>
      <w:r w:rsidR="003C5F58" w:rsidRPr="008264C8">
        <w:t>15</w:t>
      </w:r>
      <w:r w:rsidRPr="008264C8">
        <w:t xml:space="preserve"> August 20</w:t>
      </w:r>
      <w:r w:rsidR="00A20FCE" w:rsidRPr="008264C8">
        <w:t>1</w:t>
      </w:r>
      <w:r w:rsidR="003C5F58" w:rsidRPr="008264C8">
        <w:t>2</w:t>
      </w:r>
      <w:r w:rsidR="00A20FCE" w:rsidRPr="008264C8">
        <w:t xml:space="preserve"> email</w:t>
      </w:r>
      <w:r w:rsidRPr="008264C8">
        <w:t>).</w:t>
      </w:r>
      <w:r w:rsidRPr="00935F99">
        <w:t xml:space="preserve"> </w:t>
      </w:r>
    </w:p>
    <w:p w:rsidR="002625EE" w:rsidRPr="00A13CE3" w:rsidRDefault="002625EE" w:rsidP="002625EE">
      <w:pPr>
        <w:jc w:val="both"/>
        <w:rPr>
          <w:color w:val="000000"/>
        </w:rPr>
      </w:pPr>
    </w:p>
    <w:tbl>
      <w:tblPr>
        <w:tblW w:w="6758" w:type="dxa"/>
        <w:tblInd w:w="100" w:type="dxa"/>
        <w:tblLook w:val="0000"/>
      </w:tblPr>
      <w:tblGrid>
        <w:gridCol w:w="2030"/>
        <w:gridCol w:w="878"/>
        <w:gridCol w:w="879"/>
        <w:gridCol w:w="1380"/>
        <w:gridCol w:w="1591"/>
      </w:tblGrid>
      <w:tr w:rsidR="00194813" w:rsidTr="009C3761">
        <w:trPr>
          <w:trHeight w:val="315"/>
        </w:trPr>
        <w:tc>
          <w:tcPr>
            <w:tcW w:w="2030" w:type="dxa"/>
            <w:tcBorders>
              <w:top w:val="single" w:sz="4" w:space="0" w:color="auto"/>
              <w:left w:val="nil"/>
              <w:bottom w:val="single" w:sz="4" w:space="0" w:color="auto"/>
              <w:right w:val="nil"/>
            </w:tcBorders>
            <w:shd w:val="clear" w:color="auto" w:fill="auto"/>
            <w:noWrap/>
            <w:vAlign w:val="bottom"/>
          </w:tcPr>
          <w:p w:rsidR="00194813" w:rsidRDefault="00194813" w:rsidP="00194813">
            <w:pPr>
              <w:jc w:val="center"/>
            </w:pPr>
            <w:r>
              <w:t>Season</w:t>
            </w:r>
          </w:p>
        </w:tc>
        <w:tc>
          <w:tcPr>
            <w:tcW w:w="878" w:type="dxa"/>
            <w:tcBorders>
              <w:top w:val="single" w:sz="4" w:space="0" w:color="auto"/>
              <w:left w:val="nil"/>
              <w:bottom w:val="single" w:sz="4" w:space="0" w:color="auto"/>
              <w:right w:val="nil"/>
            </w:tcBorders>
            <w:shd w:val="clear" w:color="auto" w:fill="auto"/>
            <w:vAlign w:val="bottom"/>
          </w:tcPr>
          <w:p w:rsidR="00194813" w:rsidRDefault="00194813" w:rsidP="00194813">
            <w:pPr>
              <w:jc w:val="center"/>
            </w:pPr>
            <w:r>
              <w:t>Fixed</w:t>
            </w:r>
          </w:p>
        </w:tc>
        <w:tc>
          <w:tcPr>
            <w:tcW w:w="879" w:type="dxa"/>
            <w:tcBorders>
              <w:top w:val="single" w:sz="4" w:space="0" w:color="auto"/>
              <w:left w:val="nil"/>
              <w:bottom w:val="single" w:sz="4" w:space="0" w:color="auto"/>
              <w:right w:val="nil"/>
            </w:tcBorders>
            <w:shd w:val="clear" w:color="auto" w:fill="auto"/>
            <w:vAlign w:val="bottom"/>
          </w:tcPr>
          <w:p w:rsidR="00194813" w:rsidRDefault="00194813" w:rsidP="00194813">
            <w:pPr>
              <w:jc w:val="center"/>
            </w:pPr>
            <w:r>
              <w:t>Trawl</w:t>
            </w:r>
          </w:p>
        </w:tc>
        <w:tc>
          <w:tcPr>
            <w:tcW w:w="1380" w:type="dxa"/>
            <w:tcBorders>
              <w:top w:val="single" w:sz="4" w:space="0" w:color="auto"/>
              <w:left w:val="nil"/>
              <w:bottom w:val="single" w:sz="4" w:space="0" w:color="auto"/>
              <w:right w:val="nil"/>
            </w:tcBorders>
            <w:shd w:val="clear" w:color="auto" w:fill="auto"/>
            <w:noWrap/>
            <w:vAlign w:val="bottom"/>
          </w:tcPr>
          <w:p w:rsidR="00194813" w:rsidRDefault="00194813" w:rsidP="00194813">
            <w:pPr>
              <w:jc w:val="center"/>
            </w:pPr>
            <w:r>
              <w:t>Total Bycatch</w:t>
            </w:r>
          </w:p>
        </w:tc>
        <w:tc>
          <w:tcPr>
            <w:tcW w:w="1591" w:type="dxa"/>
            <w:tcBorders>
              <w:top w:val="single" w:sz="4" w:space="0" w:color="auto"/>
              <w:left w:val="nil"/>
              <w:bottom w:val="single" w:sz="4" w:space="0" w:color="auto"/>
              <w:right w:val="nil"/>
            </w:tcBorders>
            <w:shd w:val="clear" w:color="auto" w:fill="auto"/>
            <w:noWrap/>
            <w:vAlign w:val="bottom"/>
          </w:tcPr>
          <w:p w:rsidR="00194813" w:rsidRDefault="00194813" w:rsidP="009C3761">
            <w:pPr>
              <w:jc w:val="center"/>
            </w:pPr>
            <w:r>
              <w:t>Total Bycatch Mortality</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1991/92</w:t>
            </w:r>
          </w:p>
        </w:tc>
        <w:tc>
          <w:tcPr>
            <w:tcW w:w="878" w:type="dxa"/>
            <w:tcBorders>
              <w:top w:val="nil"/>
              <w:left w:val="nil"/>
              <w:bottom w:val="nil"/>
              <w:right w:val="nil"/>
            </w:tcBorders>
            <w:shd w:val="clear" w:color="auto" w:fill="auto"/>
            <w:vAlign w:val="bottom"/>
          </w:tcPr>
          <w:p w:rsidR="00D25729" w:rsidRDefault="00D25729">
            <w:pPr>
              <w:jc w:val="right"/>
            </w:pPr>
            <w:r>
              <w:t>110</w:t>
            </w:r>
          </w:p>
        </w:tc>
        <w:tc>
          <w:tcPr>
            <w:tcW w:w="879" w:type="dxa"/>
            <w:tcBorders>
              <w:top w:val="nil"/>
              <w:left w:val="nil"/>
              <w:bottom w:val="nil"/>
              <w:right w:val="nil"/>
            </w:tcBorders>
            <w:shd w:val="clear" w:color="auto" w:fill="auto"/>
            <w:vAlign w:val="bottom"/>
          </w:tcPr>
          <w:p w:rsidR="00D25729" w:rsidRDefault="00D25729">
            <w:pPr>
              <w:jc w:val="right"/>
            </w:pPr>
            <w:r>
              <w:t>13,464</w:t>
            </w:r>
          </w:p>
        </w:tc>
        <w:tc>
          <w:tcPr>
            <w:tcW w:w="1380" w:type="dxa"/>
            <w:tcBorders>
              <w:top w:val="nil"/>
              <w:left w:val="nil"/>
              <w:bottom w:val="nil"/>
              <w:right w:val="nil"/>
            </w:tcBorders>
            <w:shd w:val="clear" w:color="auto" w:fill="auto"/>
            <w:noWrap/>
            <w:vAlign w:val="bottom"/>
          </w:tcPr>
          <w:p w:rsidR="00D25729" w:rsidRDefault="00D25729">
            <w:pPr>
              <w:jc w:val="right"/>
            </w:pPr>
            <w:r>
              <w:t>13,574</w:t>
            </w:r>
          </w:p>
        </w:tc>
        <w:tc>
          <w:tcPr>
            <w:tcW w:w="1591" w:type="dxa"/>
            <w:tcBorders>
              <w:top w:val="nil"/>
              <w:left w:val="nil"/>
              <w:bottom w:val="nil"/>
              <w:right w:val="nil"/>
            </w:tcBorders>
            <w:shd w:val="clear" w:color="auto" w:fill="auto"/>
            <w:noWrap/>
            <w:vAlign w:val="bottom"/>
          </w:tcPr>
          <w:p w:rsidR="00D25729" w:rsidRDefault="00D25729">
            <w:pPr>
              <w:jc w:val="right"/>
            </w:pPr>
            <w:r>
              <w:t>10,826</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1992/93</w:t>
            </w:r>
          </w:p>
        </w:tc>
        <w:tc>
          <w:tcPr>
            <w:tcW w:w="878" w:type="dxa"/>
            <w:tcBorders>
              <w:top w:val="nil"/>
              <w:left w:val="nil"/>
              <w:bottom w:val="nil"/>
              <w:right w:val="nil"/>
            </w:tcBorders>
            <w:shd w:val="clear" w:color="auto" w:fill="auto"/>
            <w:vAlign w:val="bottom"/>
          </w:tcPr>
          <w:p w:rsidR="00D25729" w:rsidRDefault="00D25729">
            <w:pPr>
              <w:jc w:val="right"/>
            </w:pPr>
            <w:r>
              <w:t>7,690</w:t>
            </w:r>
          </w:p>
        </w:tc>
        <w:tc>
          <w:tcPr>
            <w:tcW w:w="879" w:type="dxa"/>
            <w:tcBorders>
              <w:top w:val="nil"/>
              <w:left w:val="nil"/>
              <w:bottom w:val="nil"/>
              <w:right w:val="nil"/>
            </w:tcBorders>
            <w:shd w:val="clear" w:color="auto" w:fill="auto"/>
            <w:vAlign w:val="bottom"/>
          </w:tcPr>
          <w:p w:rsidR="00D25729" w:rsidRDefault="00D25729">
            <w:pPr>
              <w:jc w:val="right"/>
            </w:pPr>
            <w:r>
              <w:t>19,544</w:t>
            </w:r>
          </w:p>
        </w:tc>
        <w:tc>
          <w:tcPr>
            <w:tcW w:w="1380" w:type="dxa"/>
            <w:tcBorders>
              <w:top w:val="nil"/>
              <w:left w:val="nil"/>
              <w:bottom w:val="nil"/>
              <w:right w:val="nil"/>
            </w:tcBorders>
            <w:shd w:val="clear" w:color="auto" w:fill="auto"/>
            <w:noWrap/>
            <w:vAlign w:val="bottom"/>
          </w:tcPr>
          <w:p w:rsidR="00D25729" w:rsidRDefault="00D25729">
            <w:pPr>
              <w:jc w:val="right"/>
            </w:pPr>
            <w:r>
              <w:t>27,234</w:t>
            </w:r>
          </w:p>
        </w:tc>
        <w:tc>
          <w:tcPr>
            <w:tcW w:w="1591" w:type="dxa"/>
            <w:tcBorders>
              <w:top w:val="nil"/>
              <w:left w:val="nil"/>
              <w:bottom w:val="nil"/>
              <w:right w:val="nil"/>
            </w:tcBorders>
            <w:shd w:val="clear" w:color="auto" w:fill="auto"/>
            <w:noWrap/>
            <w:vAlign w:val="bottom"/>
          </w:tcPr>
          <w:p w:rsidR="00D25729" w:rsidRDefault="00D25729">
            <w:pPr>
              <w:jc w:val="right"/>
            </w:pPr>
            <w:r>
              <w:t>19,480</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1993/94</w:t>
            </w:r>
          </w:p>
        </w:tc>
        <w:tc>
          <w:tcPr>
            <w:tcW w:w="878" w:type="dxa"/>
            <w:tcBorders>
              <w:top w:val="nil"/>
              <w:left w:val="nil"/>
              <w:bottom w:val="nil"/>
              <w:right w:val="nil"/>
            </w:tcBorders>
            <w:shd w:val="clear" w:color="auto" w:fill="auto"/>
            <w:vAlign w:val="bottom"/>
          </w:tcPr>
          <w:p w:rsidR="00D25729" w:rsidRDefault="00D25729">
            <w:pPr>
              <w:jc w:val="right"/>
            </w:pPr>
            <w:r>
              <w:t>1,116</w:t>
            </w:r>
          </w:p>
        </w:tc>
        <w:tc>
          <w:tcPr>
            <w:tcW w:w="879" w:type="dxa"/>
            <w:tcBorders>
              <w:top w:val="nil"/>
              <w:left w:val="nil"/>
              <w:bottom w:val="nil"/>
              <w:right w:val="nil"/>
            </w:tcBorders>
            <w:shd w:val="clear" w:color="auto" w:fill="auto"/>
            <w:vAlign w:val="bottom"/>
          </w:tcPr>
          <w:p w:rsidR="00D25729" w:rsidRDefault="00D25729">
            <w:pPr>
              <w:jc w:val="right"/>
            </w:pPr>
            <w:r>
              <w:t>21,248</w:t>
            </w:r>
          </w:p>
        </w:tc>
        <w:tc>
          <w:tcPr>
            <w:tcW w:w="1380" w:type="dxa"/>
            <w:tcBorders>
              <w:top w:val="nil"/>
              <w:left w:val="nil"/>
              <w:bottom w:val="nil"/>
              <w:right w:val="nil"/>
            </w:tcBorders>
            <w:shd w:val="clear" w:color="auto" w:fill="auto"/>
            <w:noWrap/>
            <w:vAlign w:val="bottom"/>
          </w:tcPr>
          <w:p w:rsidR="00D25729" w:rsidRDefault="00D25729">
            <w:pPr>
              <w:jc w:val="right"/>
            </w:pPr>
            <w:r>
              <w:t>22,364</w:t>
            </w:r>
          </w:p>
        </w:tc>
        <w:tc>
          <w:tcPr>
            <w:tcW w:w="1591" w:type="dxa"/>
            <w:tcBorders>
              <w:top w:val="nil"/>
              <w:left w:val="nil"/>
              <w:bottom w:val="nil"/>
              <w:right w:val="nil"/>
            </w:tcBorders>
            <w:shd w:val="clear" w:color="auto" w:fill="auto"/>
            <w:noWrap/>
            <w:vAlign w:val="bottom"/>
          </w:tcPr>
          <w:p w:rsidR="00D25729" w:rsidRDefault="00D25729">
            <w:pPr>
              <w:jc w:val="right"/>
            </w:pPr>
            <w:r>
              <w:t>17,556</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1994/95</w:t>
            </w:r>
          </w:p>
        </w:tc>
        <w:tc>
          <w:tcPr>
            <w:tcW w:w="878" w:type="dxa"/>
            <w:tcBorders>
              <w:top w:val="nil"/>
              <w:left w:val="nil"/>
              <w:bottom w:val="nil"/>
              <w:right w:val="nil"/>
            </w:tcBorders>
            <w:shd w:val="clear" w:color="auto" w:fill="auto"/>
            <w:vAlign w:val="bottom"/>
          </w:tcPr>
          <w:p w:rsidR="00D25729" w:rsidRDefault="00D25729">
            <w:pPr>
              <w:jc w:val="right"/>
            </w:pPr>
            <w:r>
              <w:t>558</w:t>
            </w:r>
          </w:p>
        </w:tc>
        <w:tc>
          <w:tcPr>
            <w:tcW w:w="879" w:type="dxa"/>
            <w:tcBorders>
              <w:top w:val="nil"/>
              <w:left w:val="nil"/>
              <w:bottom w:val="nil"/>
              <w:right w:val="nil"/>
            </w:tcBorders>
            <w:shd w:val="clear" w:color="auto" w:fill="auto"/>
            <w:vAlign w:val="bottom"/>
          </w:tcPr>
          <w:p w:rsidR="00D25729" w:rsidRDefault="00D25729">
            <w:pPr>
              <w:jc w:val="right"/>
            </w:pPr>
            <w:r>
              <w:t>7,103</w:t>
            </w:r>
          </w:p>
        </w:tc>
        <w:tc>
          <w:tcPr>
            <w:tcW w:w="1380" w:type="dxa"/>
            <w:tcBorders>
              <w:top w:val="nil"/>
              <w:left w:val="nil"/>
              <w:bottom w:val="nil"/>
              <w:right w:val="nil"/>
            </w:tcBorders>
            <w:shd w:val="clear" w:color="auto" w:fill="auto"/>
            <w:noWrap/>
            <w:vAlign w:val="bottom"/>
          </w:tcPr>
          <w:p w:rsidR="00D25729" w:rsidRDefault="00D25729">
            <w:pPr>
              <w:jc w:val="right"/>
            </w:pPr>
            <w:r>
              <w:t>7,661</w:t>
            </w:r>
          </w:p>
        </w:tc>
        <w:tc>
          <w:tcPr>
            <w:tcW w:w="1591" w:type="dxa"/>
            <w:tcBorders>
              <w:top w:val="nil"/>
              <w:left w:val="nil"/>
              <w:bottom w:val="nil"/>
              <w:right w:val="nil"/>
            </w:tcBorders>
            <w:shd w:val="clear" w:color="auto" w:fill="auto"/>
            <w:noWrap/>
            <w:vAlign w:val="bottom"/>
          </w:tcPr>
          <w:p w:rsidR="00D25729" w:rsidRDefault="00D25729">
            <w:pPr>
              <w:jc w:val="right"/>
            </w:pPr>
            <w:r>
              <w:t>5,962</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1995/96</w:t>
            </w:r>
          </w:p>
        </w:tc>
        <w:tc>
          <w:tcPr>
            <w:tcW w:w="878" w:type="dxa"/>
            <w:tcBorders>
              <w:top w:val="nil"/>
              <w:left w:val="nil"/>
              <w:bottom w:val="nil"/>
              <w:right w:val="nil"/>
            </w:tcBorders>
            <w:shd w:val="clear" w:color="auto" w:fill="auto"/>
            <w:vAlign w:val="bottom"/>
          </w:tcPr>
          <w:p w:rsidR="00D25729" w:rsidRDefault="00D25729">
            <w:pPr>
              <w:jc w:val="right"/>
            </w:pPr>
            <w:r>
              <w:t>895</w:t>
            </w:r>
          </w:p>
        </w:tc>
        <w:tc>
          <w:tcPr>
            <w:tcW w:w="879" w:type="dxa"/>
            <w:tcBorders>
              <w:top w:val="nil"/>
              <w:left w:val="nil"/>
              <w:bottom w:val="nil"/>
              <w:right w:val="nil"/>
            </w:tcBorders>
            <w:shd w:val="clear" w:color="auto" w:fill="auto"/>
            <w:vAlign w:val="bottom"/>
          </w:tcPr>
          <w:p w:rsidR="00D25729" w:rsidRDefault="00D25729">
            <w:pPr>
              <w:jc w:val="right"/>
            </w:pPr>
            <w:r>
              <w:t>4,187</w:t>
            </w:r>
          </w:p>
        </w:tc>
        <w:tc>
          <w:tcPr>
            <w:tcW w:w="1380" w:type="dxa"/>
            <w:tcBorders>
              <w:top w:val="nil"/>
              <w:left w:val="nil"/>
              <w:bottom w:val="nil"/>
              <w:right w:val="nil"/>
            </w:tcBorders>
            <w:shd w:val="clear" w:color="auto" w:fill="auto"/>
            <w:noWrap/>
            <w:vAlign w:val="bottom"/>
          </w:tcPr>
          <w:p w:rsidR="00D25729" w:rsidRDefault="00D25729">
            <w:pPr>
              <w:jc w:val="right"/>
            </w:pPr>
            <w:r>
              <w:t>5,082</w:t>
            </w:r>
          </w:p>
        </w:tc>
        <w:tc>
          <w:tcPr>
            <w:tcW w:w="1591" w:type="dxa"/>
            <w:tcBorders>
              <w:top w:val="nil"/>
              <w:left w:val="nil"/>
              <w:bottom w:val="nil"/>
              <w:right w:val="nil"/>
            </w:tcBorders>
            <w:shd w:val="clear" w:color="auto" w:fill="auto"/>
            <w:noWrap/>
            <w:vAlign w:val="bottom"/>
          </w:tcPr>
          <w:p w:rsidR="00D25729" w:rsidRDefault="00D25729">
            <w:pPr>
              <w:jc w:val="right"/>
            </w:pPr>
            <w:r>
              <w:t>3,797</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1996/97</w:t>
            </w:r>
          </w:p>
        </w:tc>
        <w:tc>
          <w:tcPr>
            <w:tcW w:w="878" w:type="dxa"/>
            <w:tcBorders>
              <w:top w:val="nil"/>
              <w:left w:val="nil"/>
              <w:bottom w:val="nil"/>
              <w:right w:val="nil"/>
            </w:tcBorders>
            <w:shd w:val="clear" w:color="auto" w:fill="auto"/>
            <w:vAlign w:val="bottom"/>
          </w:tcPr>
          <w:p w:rsidR="00D25729" w:rsidRDefault="00D25729">
            <w:pPr>
              <w:jc w:val="right"/>
            </w:pPr>
            <w:r>
              <w:t>53</w:t>
            </w:r>
          </w:p>
        </w:tc>
        <w:tc>
          <w:tcPr>
            <w:tcW w:w="879" w:type="dxa"/>
            <w:tcBorders>
              <w:top w:val="nil"/>
              <w:left w:val="nil"/>
              <w:bottom w:val="nil"/>
              <w:right w:val="nil"/>
            </w:tcBorders>
            <w:shd w:val="clear" w:color="auto" w:fill="auto"/>
            <w:vAlign w:val="bottom"/>
          </w:tcPr>
          <w:p w:rsidR="00D25729" w:rsidRDefault="00D25729">
            <w:pPr>
              <w:jc w:val="right"/>
            </w:pPr>
            <w:r>
              <w:t>1,918</w:t>
            </w:r>
          </w:p>
        </w:tc>
        <w:tc>
          <w:tcPr>
            <w:tcW w:w="1380" w:type="dxa"/>
            <w:tcBorders>
              <w:top w:val="nil"/>
              <w:left w:val="nil"/>
              <w:bottom w:val="nil"/>
              <w:right w:val="nil"/>
            </w:tcBorders>
            <w:shd w:val="clear" w:color="auto" w:fill="auto"/>
            <w:noWrap/>
            <w:vAlign w:val="bottom"/>
          </w:tcPr>
          <w:p w:rsidR="00D25729" w:rsidRDefault="00D25729">
            <w:pPr>
              <w:jc w:val="right"/>
            </w:pPr>
            <w:r>
              <w:t>1,971</w:t>
            </w:r>
          </w:p>
        </w:tc>
        <w:tc>
          <w:tcPr>
            <w:tcW w:w="1591" w:type="dxa"/>
            <w:tcBorders>
              <w:top w:val="nil"/>
              <w:left w:val="nil"/>
              <w:bottom w:val="nil"/>
              <w:right w:val="nil"/>
            </w:tcBorders>
            <w:shd w:val="clear" w:color="auto" w:fill="auto"/>
            <w:noWrap/>
            <w:vAlign w:val="bottom"/>
          </w:tcPr>
          <w:p w:rsidR="00D25729" w:rsidRDefault="00D25729">
            <w:pPr>
              <w:jc w:val="right"/>
            </w:pPr>
            <w:r>
              <w:t>1,561</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1997/98</w:t>
            </w:r>
          </w:p>
        </w:tc>
        <w:tc>
          <w:tcPr>
            <w:tcW w:w="878" w:type="dxa"/>
            <w:tcBorders>
              <w:top w:val="nil"/>
              <w:left w:val="nil"/>
              <w:bottom w:val="nil"/>
              <w:right w:val="nil"/>
            </w:tcBorders>
            <w:shd w:val="clear" w:color="auto" w:fill="auto"/>
            <w:vAlign w:val="bottom"/>
          </w:tcPr>
          <w:p w:rsidR="00D25729" w:rsidRDefault="00D25729">
            <w:pPr>
              <w:jc w:val="right"/>
            </w:pPr>
            <w:r>
              <w:t>2,952</w:t>
            </w:r>
          </w:p>
        </w:tc>
        <w:tc>
          <w:tcPr>
            <w:tcW w:w="879" w:type="dxa"/>
            <w:tcBorders>
              <w:top w:val="nil"/>
              <w:left w:val="nil"/>
              <w:bottom w:val="nil"/>
              <w:right w:val="nil"/>
            </w:tcBorders>
            <w:shd w:val="clear" w:color="auto" w:fill="auto"/>
            <w:vAlign w:val="bottom"/>
          </w:tcPr>
          <w:p w:rsidR="00D25729" w:rsidRDefault="00D25729">
            <w:pPr>
              <w:jc w:val="right"/>
            </w:pPr>
            <w:r>
              <w:t>1,074</w:t>
            </w:r>
          </w:p>
        </w:tc>
        <w:tc>
          <w:tcPr>
            <w:tcW w:w="1380" w:type="dxa"/>
            <w:tcBorders>
              <w:top w:val="nil"/>
              <w:left w:val="nil"/>
              <w:bottom w:val="nil"/>
              <w:right w:val="nil"/>
            </w:tcBorders>
            <w:shd w:val="clear" w:color="auto" w:fill="auto"/>
            <w:noWrap/>
            <w:vAlign w:val="bottom"/>
          </w:tcPr>
          <w:p w:rsidR="00D25729" w:rsidRDefault="00D25729">
            <w:pPr>
              <w:jc w:val="right"/>
            </w:pPr>
            <w:r>
              <w:t>4,026</w:t>
            </w:r>
          </w:p>
        </w:tc>
        <w:tc>
          <w:tcPr>
            <w:tcW w:w="1591" w:type="dxa"/>
            <w:tcBorders>
              <w:top w:val="nil"/>
              <w:left w:val="nil"/>
              <w:bottom w:val="nil"/>
              <w:right w:val="nil"/>
            </w:tcBorders>
            <w:shd w:val="clear" w:color="auto" w:fill="auto"/>
            <w:noWrap/>
            <w:vAlign w:val="bottom"/>
          </w:tcPr>
          <w:p w:rsidR="00D25729" w:rsidRDefault="00D25729">
            <w:pPr>
              <w:jc w:val="right"/>
            </w:pPr>
            <w:r>
              <w:t>2,335</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1998/99</w:t>
            </w:r>
          </w:p>
        </w:tc>
        <w:tc>
          <w:tcPr>
            <w:tcW w:w="878" w:type="dxa"/>
            <w:tcBorders>
              <w:top w:val="nil"/>
              <w:left w:val="nil"/>
              <w:bottom w:val="nil"/>
              <w:right w:val="nil"/>
            </w:tcBorders>
            <w:shd w:val="clear" w:color="auto" w:fill="auto"/>
            <w:vAlign w:val="bottom"/>
          </w:tcPr>
          <w:p w:rsidR="00D25729" w:rsidRDefault="00D25729">
            <w:pPr>
              <w:jc w:val="right"/>
            </w:pPr>
            <w:r>
              <w:t>14,930</w:t>
            </w:r>
          </w:p>
        </w:tc>
        <w:tc>
          <w:tcPr>
            <w:tcW w:w="879" w:type="dxa"/>
            <w:tcBorders>
              <w:top w:val="nil"/>
              <w:left w:val="nil"/>
              <w:bottom w:val="nil"/>
              <w:right w:val="nil"/>
            </w:tcBorders>
            <w:shd w:val="clear" w:color="auto" w:fill="auto"/>
            <w:vAlign w:val="bottom"/>
          </w:tcPr>
          <w:p w:rsidR="00D25729" w:rsidRDefault="00D25729">
            <w:pPr>
              <w:jc w:val="right"/>
            </w:pPr>
            <w:r>
              <w:t>395</w:t>
            </w:r>
          </w:p>
        </w:tc>
        <w:tc>
          <w:tcPr>
            <w:tcW w:w="1380" w:type="dxa"/>
            <w:tcBorders>
              <w:top w:val="nil"/>
              <w:left w:val="nil"/>
              <w:bottom w:val="nil"/>
              <w:right w:val="nil"/>
            </w:tcBorders>
            <w:shd w:val="clear" w:color="auto" w:fill="auto"/>
            <w:noWrap/>
            <w:vAlign w:val="bottom"/>
          </w:tcPr>
          <w:p w:rsidR="00D25729" w:rsidRDefault="00D25729">
            <w:pPr>
              <w:jc w:val="right"/>
            </w:pPr>
            <w:r>
              <w:t>15,324</w:t>
            </w:r>
          </w:p>
        </w:tc>
        <w:tc>
          <w:tcPr>
            <w:tcW w:w="1591" w:type="dxa"/>
            <w:tcBorders>
              <w:top w:val="nil"/>
              <w:left w:val="nil"/>
              <w:bottom w:val="nil"/>
              <w:right w:val="nil"/>
            </w:tcBorders>
            <w:shd w:val="clear" w:color="auto" w:fill="auto"/>
            <w:noWrap/>
            <w:vAlign w:val="bottom"/>
          </w:tcPr>
          <w:p w:rsidR="00D25729" w:rsidRDefault="00D25729">
            <w:pPr>
              <w:jc w:val="right"/>
            </w:pPr>
            <w:r>
              <w:t>7,781</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1999/00</w:t>
            </w:r>
          </w:p>
        </w:tc>
        <w:tc>
          <w:tcPr>
            <w:tcW w:w="878" w:type="dxa"/>
            <w:tcBorders>
              <w:top w:val="nil"/>
              <w:left w:val="nil"/>
              <w:bottom w:val="nil"/>
              <w:right w:val="nil"/>
            </w:tcBorders>
            <w:shd w:val="clear" w:color="auto" w:fill="auto"/>
            <w:vAlign w:val="bottom"/>
          </w:tcPr>
          <w:p w:rsidR="00D25729" w:rsidRDefault="00D25729">
            <w:pPr>
              <w:jc w:val="right"/>
            </w:pPr>
            <w:r>
              <w:t>10,556</w:t>
            </w:r>
          </w:p>
        </w:tc>
        <w:tc>
          <w:tcPr>
            <w:tcW w:w="879" w:type="dxa"/>
            <w:tcBorders>
              <w:top w:val="nil"/>
              <w:left w:val="nil"/>
              <w:bottom w:val="nil"/>
              <w:right w:val="nil"/>
            </w:tcBorders>
            <w:shd w:val="clear" w:color="auto" w:fill="auto"/>
            <w:vAlign w:val="bottom"/>
          </w:tcPr>
          <w:p w:rsidR="00D25729" w:rsidRDefault="00D25729">
            <w:pPr>
              <w:jc w:val="right"/>
            </w:pPr>
            <w:r>
              <w:t>1,426</w:t>
            </w:r>
          </w:p>
        </w:tc>
        <w:tc>
          <w:tcPr>
            <w:tcW w:w="1380" w:type="dxa"/>
            <w:tcBorders>
              <w:top w:val="nil"/>
              <w:left w:val="nil"/>
              <w:bottom w:val="nil"/>
              <w:right w:val="nil"/>
            </w:tcBorders>
            <w:shd w:val="clear" w:color="auto" w:fill="auto"/>
            <w:noWrap/>
            <w:vAlign w:val="bottom"/>
          </w:tcPr>
          <w:p w:rsidR="00D25729" w:rsidRDefault="00D25729">
            <w:pPr>
              <w:jc w:val="right"/>
            </w:pPr>
            <w:r>
              <w:t>11,982</w:t>
            </w:r>
          </w:p>
        </w:tc>
        <w:tc>
          <w:tcPr>
            <w:tcW w:w="1591" w:type="dxa"/>
            <w:tcBorders>
              <w:top w:val="nil"/>
              <w:left w:val="nil"/>
              <w:bottom w:val="nil"/>
              <w:right w:val="nil"/>
            </w:tcBorders>
            <w:shd w:val="clear" w:color="auto" w:fill="auto"/>
            <w:noWrap/>
            <w:vAlign w:val="bottom"/>
          </w:tcPr>
          <w:p w:rsidR="00D25729" w:rsidRDefault="00D25729">
            <w:pPr>
              <w:jc w:val="right"/>
            </w:pPr>
            <w:r>
              <w:t>6,419</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2000/01</w:t>
            </w:r>
          </w:p>
        </w:tc>
        <w:tc>
          <w:tcPr>
            <w:tcW w:w="878" w:type="dxa"/>
            <w:tcBorders>
              <w:top w:val="nil"/>
              <w:left w:val="nil"/>
              <w:bottom w:val="nil"/>
              <w:right w:val="nil"/>
            </w:tcBorders>
            <w:shd w:val="clear" w:color="auto" w:fill="auto"/>
            <w:vAlign w:val="bottom"/>
          </w:tcPr>
          <w:p w:rsidR="00D25729" w:rsidRDefault="00D25729">
            <w:pPr>
              <w:jc w:val="right"/>
            </w:pPr>
            <w:r>
              <w:t>3,589</w:t>
            </w:r>
          </w:p>
        </w:tc>
        <w:tc>
          <w:tcPr>
            <w:tcW w:w="879" w:type="dxa"/>
            <w:tcBorders>
              <w:top w:val="nil"/>
              <w:left w:val="nil"/>
              <w:bottom w:val="nil"/>
              <w:right w:val="nil"/>
            </w:tcBorders>
            <w:shd w:val="clear" w:color="auto" w:fill="auto"/>
            <w:vAlign w:val="bottom"/>
          </w:tcPr>
          <w:p w:rsidR="00D25729" w:rsidRDefault="00D25729">
            <w:pPr>
              <w:jc w:val="right"/>
            </w:pPr>
            <w:r>
              <w:t>4,134</w:t>
            </w:r>
          </w:p>
        </w:tc>
        <w:tc>
          <w:tcPr>
            <w:tcW w:w="1380" w:type="dxa"/>
            <w:tcBorders>
              <w:top w:val="nil"/>
              <w:left w:val="nil"/>
              <w:bottom w:val="nil"/>
              <w:right w:val="nil"/>
            </w:tcBorders>
            <w:shd w:val="clear" w:color="auto" w:fill="auto"/>
            <w:noWrap/>
            <w:vAlign w:val="bottom"/>
          </w:tcPr>
          <w:p w:rsidR="00D25729" w:rsidRDefault="00D25729">
            <w:pPr>
              <w:jc w:val="right"/>
            </w:pPr>
            <w:r>
              <w:t>7,723</w:t>
            </w:r>
          </w:p>
        </w:tc>
        <w:tc>
          <w:tcPr>
            <w:tcW w:w="1591" w:type="dxa"/>
            <w:tcBorders>
              <w:top w:val="nil"/>
              <w:left w:val="nil"/>
              <w:bottom w:val="nil"/>
              <w:right w:val="nil"/>
            </w:tcBorders>
            <w:shd w:val="clear" w:color="auto" w:fill="auto"/>
            <w:noWrap/>
            <w:vAlign w:val="bottom"/>
          </w:tcPr>
          <w:p w:rsidR="00D25729" w:rsidRDefault="00D25729">
            <w:pPr>
              <w:jc w:val="right"/>
            </w:pPr>
            <w:r>
              <w:t>5,101</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2001/02</w:t>
            </w:r>
          </w:p>
        </w:tc>
        <w:tc>
          <w:tcPr>
            <w:tcW w:w="878" w:type="dxa"/>
            <w:tcBorders>
              <w:top w:val="nil"/>
              <w:left w:val="nil"/>
              <w:bottom w:val="nil"/>
              <w:right w:val="nil"/>
            </w:tcBorders>
            <w:shd w:val="clear" w:color="auto" w:fill="auto"/>
            <w:vAlign w:val="bottom"/>
          </w:tcPr>
          <w:p w:rsidR="00D25729" w:rsidRDefault="00D25729">
            <w:pPr>
              <w:jc w:val="right"/>
            </w:pPr>
            <w:r>
              <w:t>3,300</w:t>
            </w:r>
          </w:p>
        </w:tc>
        <w:tc>
          <w:tcPr>
            <w:tcW w:w="879" w:type="dxa"/>
            <w:tcBorders>
              <w:top w:val="nil"/>
              <w:left w:val="nil"/>
              <w:bottom w:val="nil"/>
              <w:right w:val="nil"/>
            </w:tcBorders>
            <w:shd w:val="clear" w:color="auto" w:fill="auto"/>
            <w:vAlign w:val="bottom"/>
          </w:tcPr>
          <w:p w:rsidR="00D25729" w:rsidRDefault="00D25729">
            <w:pPr>
              <w:jc w:val="right"/>
            </w:pPr>
            <w:r>
              <w:t>783</w:t>
            </w:r>
          </w:p>
        </w:tc>
        <w:tc>
          <w:tcPr>
            <w:tcW w:w="1380" w:type="dxa"/>
            <w:tcBorders>
              <w:top w:val="nil"/>
              <w:left w:val="nil"/>
              <w:bottom w:val="nil"/>
              <w:right w:val="nil"/>
            </w:tcBorders>
            <w:shd w:val="clear" w:color="auto" w:fill="auto"/>
            <w:noWrap/>
            <w:vAlign w:val="bottom"/>
          </w:tcPr>
          <w:p w:rsidR="00D25729" w:rsidRDefault="00D25729">
            <w:pPr>
              <w:jc w:val="right"/>
            </w:pPr>
            <w:r>
              <w:t>4,083</w:t>
            </w:r>
          </w:p>
        </w:tc>
        <w:tc>
          <w:tcPr>
            <w:tcW w:w="1591" w:type="dxa"/>
            <w:tcBorders>
              <w:top w:val="nil"/>
              <w:left w:val="nil"/>
              <w:bottom w:val="nil"/>
              <w:right w:val="nil"/>
            </w:tcBorders>
            <w:shd w:val="clear" w:color="auto" w:fill="auto"/>
            <w:noWrap/>
            <w:vAlign w:val="bottom"/>
          </w:tcPr>
          <w:p w:rsidR="00D25729" w:rsidRDefault="00D25729">
            <w:pPr>
              <w:jc w:val="right"/>
            </w:pPr>
            <w:r>
              <w:t>2,276</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2002/03</w:t>
            </w:r>
          </w:p>
        </w:tc>
        <w:tc>
          <w:tcPr>
            <w:tcW w:w="878" w:type="dxa"/>
            <w:tcBorders>
              <w:top w:val="nil"/>
              <w:left w:val="nil"/>
              <w:bottom w:val="nil"/>
              <w:right w:val="nil"/>
            </w:tcBorders>
            <w:shd w:val="clear" w:color="auto" w:fill="auto"/>
            <w:vAlign w:val="bottom"/>
          </w:tcPr>
          <w:p w:rsidR="00D25729" w:rsidRDefault="00D25729">
            <w:pPr>
              <w:jc w:val="right"/>
            </w:pPr>
            <w:r>
              <w:t>1,219</w:t>
            </w:r>
          </w:p>
        </w:tc>
        <w:tc>
          <w:tcPr>
            <w:tcW w:w="879" w:type="dxa"/>
            <w:tcBorders>
              <w:top w:val="nil"/>
              <w:left w:val="nil"/>
              <w:bottom w:val="nil"/>
              <w:right w:val="nil"/>
            </w:tcBorders>
            <w:shd w:val="clear" w:color="auto" w:fill="auto"/>
            <w:vAlign w:val="bottom"/>
          </w:tcPr>
          <w:p w:rsidR="00D25729" w:rsidRDefault="00D25729">
            <w:pPr>
              <w:jc w:val="right"/>
            </w:pPr>
            <w:r>
              <w:t>472</w:t>
            </w:r>
          </w:p>
        </w:tc>
        <w:tc>
          <w:tcPr>
            <w:tcW w:w="1380" w:type="dxa"/>
            <w:tcBorders>
              <w:top w:val="nil"/>
              <w:left w:val="nil"/>
              <w:bottom w:val="nil"/>
              <w:right w:val="nil"/>
            </w:tcBorders>
            <w:shd w:val="clear" w:color="auto" w:fill="auto"/>
            <w:noWrap/>
            <w:vAlign w:val="bottom"/>
          </w:tcPr>
          <w:p w:rsidR="00D25729" w:rsidRDefault="00D25729">
            <w:pPr>
              <w:jc w:val="right"/>
            </w:pPr>
            <w:r>
              <w:t>1,691</w:t>
            </w:r>
          </w:p>
        </w:tc>
        <w:tc>
          <w:tcPr>
            <w:tcW w:w="1591" w:type="dxa"/>
            <w:tcBorders>
              <w:top w:val="nil"/>
              <w:left w:val="nil"/>
              <w:bottom w:val="nil"/>
              <w:right w:val="nil"/>
            </w:tcBorders>
            <w:shd w:val="clear" w:color="auto" w:fill="auto"/>
            <w:noWrap/>
            <w:vAlign w:val="bottom"/>
          </w:tcPr>
          <w:p w:rsidR="00D25729" w:rsidRDefault="00D25729">
            <w:pPr>
              <w:jc w:val="right"/>
            </w:pPr>
            <w:r>
              <w:t>987</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2003/04</w:t>
            </w:r>
          </w:p>
        </w:tc>
        <w:tc>
          <w:tcPr>
            <w:tcW w:w="878" w:type="dxa"/>
            <w:tcBorders>
              <w:top w:val="nil"/>
              <w:left w:val="nil"/>
              <w:bottom w:val="nil"/>
              <w:right w:val="nil"/>
            </w:tcBorders>
            <w:shd w:val="clear" w:color="auto" w:fill="auto"/>
            <w:vAlign w:val="bottom"/>
          </w:tcPr>
          <w:p w:rsidR="00D25729" w:rsidRDefault="00D25729">
            <w:pPr>
              <w:jc w:val="right"/>
            </w:pPr>
            <w:r>
              <w:t>503</w:t>
            </w:r>
          </w:p>
        </w:tc>
        <w:tc>
          <w:tcPr>
            <w:tcW w:w="879" w:type="dxa"/>
            <w:tcBorders>
              <w:top w:val="nil"/>
              <w:left w:val="nil"/>
              <w:bottom w:val="nil"/>
              <w:right w:val="nil"/>
            </w:tcBorders>
            <w:shd w:val="clear" w:color="auto" w:fill="auto"/>
            <w:vAlign w:val="bottom"/>
          </w:tcPr>
          <w:p w:rsidR="00D25729" w:rsidRDefault="00D25729">
            <w:pPr>
              <w:jc w:val="right"/>
            </w:pPr>
            <w:r>
              <w:t>401</w:t>
            </w:r>
          </w:p>
        </w:tc>
        <w:tc>
          <w:tcPr>
            <w:tcW w:w="1380" w:type="dxa"/>
            <w:tcBorders>
              <w:top w:val="nil"/>
              <w:left w:val="nil"/>
              <w:bottom w:val="nil"/>
              <w:right w:val="nil"/>
            </w:tcBorders>
            <w:shd w:val="clear" w:color="auto" w:fill="auto"/>
            <w:noWrap/>
            <w:vAlign w:val="bottom"/>
          </w:tcPr>
          <w:p w:rsidR="00D25729" w:rsidRDefault="00D25729">
            <w:pPr>
              <w:jc w:val="right"/>
            </w:pPr>
            <w:r>
              <w:t>904</w:t>
            </w:r>
          </w:p>
        </w:tc>
        <w:tc>
          <w:tcPr>
            <w:tcW w:w="1591" w:type="dxa"/>
            <w:tcBorders>
              <w:top w:val="nil"/>
              <w:left w:val="nil"/>
              <w:bottom w:val="nil"/>
              <w:right w:val="nil"/>
            </w:tcBorders>
            <w:shd w:val="clear" w:color="auto" w:fill="auto"/>
            <w:noWrap/>
            <w:vAlign w:val="bottom"/>
          </w:tcPr>
          <w:p w:rsidR="00D25729" w:rsidRDefault="00D25729">
            <w:pPr>
              <w:jc w:val="right"/>
            </w:pPr>
            <w:r>
              <w:t>572</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2004/05</w:t>
            </w:r>
          </w:p>
        </w:tc>
        <w:tc>
          <w:tcPr>
            <w:tcW w:w="878" w:type="dxa"/>
            <w:tcBorders>
              <w:top w:val="nil"/>
              <w:left w:val="nil"/>
              <w:bottom w:val="nil"/>
              <w:right w:val="nil"/>
            </w:tcBorders>
            <w:shd w:val="clear" w:color="auto" w:fill="auto"/>
            <w:vAlign w:val="bottom"/>
          </w:tcPr>
          <w:p w:rsidR="00D25729" w:rsidRDefault="00D25729">
            <w:pPr>
              <w:jc w:val="right"/>
            </w:pPr>
            <w:r>
              <w:t>342</w:t>
            </w:r>
          </w:p>
        </w:tc>
        <w:tc>
          <w:tcPr>
            <w:tcW w:w="879" w:type="dxa"/>
            <w:tcBorders>
              <w:top w:val="nil"/>
              <w:left w:val="nil"/>
              <w:bottom w:val="nil"/>
              <w:right w:val="nil"/>
            </w:tcBorders>
            <w:shd w:val="clear" w:color="auto" w:fill="auto"/>
            <w:vAlign w:val="bottom"/>
          </w:tcPr>
          <w:p w:rsidR="00D25729" w:rsidRDefault="00D25729">
            <w:pPr>
              <w:jc w:val="right"/>
            </w:pPr>
            <w:r>
              <w:t>860</w:t>
            </w:r>
          </w:p>
        </w:tc>
        <w:tc>
          <w:tcPr>
            <w:tcW w:w="1380" w:type="dxa"/>
            <w:tcBorders>
              <w:top w:val="nil"/>
              <w:left w:val="nil"/>
              <w:bottom w:val="nil"/>
              <w:right w:val="nil"/>
            </w:tcBorders>
            <w:shd w:val="clear" w:color="auto" w:fill="auto"/>
            <w:noWrap/>
            <w:vAlign w:val="bottom"/>
          </w:tcPr>
          <w:p w:rsidR="00D25729" w:rsidRDefault="00D25729">
            <w:pPr>
              <w:jc w:val="right"/>
            </w:pPr>
            <w:r>
              <w:t>1,202</w:t>
            </w:r>
          </w:p>
        </w:tc>
        <w:tc>
          <w:tcPr>
            <w:tcW w:w="1591" w:type="dxa"/>
            <w:tcBorders>
              <w:top w:val="nil"/>
              <w:left w:val="nil"/>
              <w:bottom w:val="nil"/>
              <w:right w:val="nil"/>
            </w:tcBorders>
            <w:shd w:val="clear" w:color="auto" w:fill="auto"/>
            <w:noWrap/>
            <w:vAlign w:val="bottom"/>
          </w:tcPr>
          <w:p w:rsidR="00D25729" w:rsidRDefault="00D25729">
            <w:pPr>
              <w:jc w:val="right"/>
            </w:pPr>
            <w:r>
              <w:t>859</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2005/06</w:t>
            </w:r>
          </w:p>
        </w:tc>
        <w:tc>
          <w:tcPr>
            <w:tcW w:w="878" w:type="dxa"/>
            <w:tcBorders>
              <w:top w:val="nil"/>
              <w:left w:val="nil"/>
              <w:bottom w:val="nil"/>
              <w:right w:val="nil"/>
            </w:tcBorders>
            <w:shd w:val="clear" w:color="auto" w:fill="auto"/>
            <w:vAlign w:val="bottom"/>
          </w:tcPr>
          <w:p w:rsidR="00D25729" w:rsidRDefault="00D25729">
            <w:pPr>
              <w:jc w:val="right"/>
            </w:pPr>
            <w:r>
              <w:t>198</w:t>
            </w:r>
          </w:p>
        </w:tc>
        <w:tc>
          <w:tcPr>
            <w:tcW w:w="879" w:type="dxa"/>
            <w:tcBorders>
              <w:top w:val="nil"/>
              <w:left w:val="nil"/>
              <w:bottom w:val="nil"/>
              <w:right w:val="nil"/>
            </w:tcBorders>
            <w:shd w:val="clear" w:color="auto" w:fill="auto"/>
            <w:vAlign w:val="bottom"/>
          </w:tcPr>
          <w:p w:rsidR="00D25729" w:rsidRDefault="00D25729">
            <w:pPr>
              <w:jc w:val="right"/>
            </w:pPr>
            <w:r>
              <w:t>126</w:t>
            </w:r>
          </w:p>
        </w:tc>
        <w:tc>
          <w:tcPr>
            <w:tcW w:w="1380" w:type="dxa"/>
            <w:tcBorders>
              <w:top w:val="nil"/>
              <w:left w:val="nil"/>
              <w:bottom w:val="nil"/>
              <w:right w:val="nil"/>
            </w:tcBorders>
            <w:shd w:val="clear" w:color="auto" w:fill="auto"/>
            <w:noWrap/>
            <w:vAlign w:val="bottom"/>
          </w:tcPr>
          <w:p w:rsidR="00D25729" w:rsidRDefault="00D25729">
            <w:pPr>
              <w:jc w:val="right"/>
            </w:pPr>
            <w:r>
              <w:t>324</w:t>
            </w:r>
          </w:p>
        </w:tc>
        <w:tc>
          <w:tcPr>
            <w:tcW w:w="1591" w:type="dxa"/>
            <w:tcBorders>
              <w:top w:val="nil"/>
              <w:left w:val="nil"/>
              <w:bottom w:val="nil"/>
              <w:right w:val="nil"/>
            </w:tcBorders>
            <w:shd w:val="clear" w:color="auto" w:fill="auto"/>
            <w:noWrap/>
            <w:vAlign w:val="bottom"/>
          </w:tcPr>
          <w:p w:rsidR="00D25729" w:rsidRDefault="00D25729">
            <w:pPr>
              <w:jc w:val="right"/>
            </w:pPr>
            <w:r>
              <w:t>200</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2006/07</w:t>
            </w:r>
          </w:p>
        </w:tc>
        <w:tc>
          <w:tcPr>
            <w:tcW w:w="878" w:type="dxa"/>
            <w:tcBorders>
              <w:top w:val="nil"/>
              <w:left w:val="nil"/>
              <w:bottom w:val="nil"/>
              <w:right w:val="nil"/>
            </w:tcBorders>
            <w:shd w:val="clear" w:color="auto" w:fill="auto"/>
            <w:vAlign w:val="bottom"/>
          </w:tcPr>
          <w:p w:rsidR="00D25729" w:rsidRDefault="00D25729">
            <w:pPr>
              <w:jc w:val="right"/>
            </w:pPr>
            <w:r>
              <w:t>2,915</w:t>
            </w:r>
          </w:p>
        </w:tc>
        <w:tc>
          <w:tcPr>
            <w:tcW w:w="879" w:type="dxa"/>
            <w:tcBorders>
              <w:top w:val="nil"/>
              <w:left w:val="nil"/>
              <w:bottom w:val="nil"/>
              <w:right w:val="nil"/>
            </w:tcBorders>
            <w:shd w:val="clear" w:color="auto" w:fill="auto"/>
            <w:vAlign w:val="bottom"/>
          </w:tcPr>
          <w:p w:rsidR="00D25729" w:rsidRDefault="00D25729">
            <w:pPr>
              <w:jc w:val="right"/>
            </w:pPr>
            <w:r>
              <w:t>254</w:t>
            </w:r>
          </w:p>
        </w:tc>
        <w:tc>
          <w:tcPr>
            <w:tcW w:w="1380" w:type="dxa"/>
            <w:tcBorders>
              <w:top w:val="nil"/>
              <w:left w:val="nil"/>
              <w:bottom w:val="nil"/>
              <w:right w:val="nil"/>
            </w:tcBorders>
            <w:shd w:val="clear" w:color="auto" w:fill="auto"/>
            <w:noWrap/>
            <w:vAlign w:val="bottom"/>
          </w:tcPr>
          <w:p w:rsidR="00D25729" w:rsidRDefault="00D25729">
            <w:pPr>
              <w:jc w:val="right"/>
            </w:pPr>
            <w:r>
              <w:t>3,168</w:t>
            </w:r>
          </w:p>
        </w:tc>
        <w:tc>
          <w:tcPr>
            <w:tcW w:w="1591" w:type="dxa"/>
            <w:tcBorders>
              <w:top w:val="nil"/>
              <w:left w:val="nil"/>
              <w:bottom w:val="nil"/>
              <w:right w:val="nil"/>
            </w:tcBorders>
            <w:shd w:val="clear" w:color="auto" w:fill="auto"/>
            <w:noWrap/>
            <w:vAlign w:val="bottom"/>
          </w:tcPr>
          <w:p w:rsidR="00D25729" w:rsidRDefault="00D25729">
            <w:pPr>
              <w:jc w:val="right"/>
            </w:pPr>
            <w:r>
              <w:t>1,660</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2007/08</w:t>
            </w:r>
          </w:p>
        </w:tc>
        <w:tc>
          <w:tcPr>
            <w:tcW w:w="878" w:type="dxa"/>
            <w:tcBorders>
              <w:top w:val="nil"/>
              <w:left w:val="nil"/>
              <w:bottom w:val="nil"/>
              <w:right w:val="nil"/>
            </w:tcBorders>
            <w:shd w:val="clear" w:color="auto" w:fill="auto"/>
            <w:vAlign w:val="bottom"/>
          </w:tcPr>
          <w:p w:rsidR="00D25729" w:rsidRDefault="00D25729">
            <w:pPr>
              <w:jc w:val="right"/>
            </w:pPr>
            <w:r>
              <w:t>18,678</w:t>
            </w:r>
          </w:p>
        </w:tc>
        <w:tc>
          <w:tcPr>
            <w:tcW w:w="879" w:type="dxa"/>
            <w:tcBorders>
              <w:top w:val="nil"/>
              <w:left w:val="nil"/>
              <w:bottom w:val="nil"/>
              <w:right w:val="nil"/>
            </w:tcBorders>
            <w:shd w:val="clear" w:color="auto" w:fill="auto"/>
            <w:vAlign w:val="bottom"/>
          </w:tcPr>
          <w:p w:rsidR="00D25729" w:rsidRDefault="00D25729">
            <w:pPr>
              <w:jc w:val="right"/>
            </w:pPr>
            <w:r>
              <w:t>351</w:t>
            </w:r>
          </w:p>
        </w:tc>
        <w:tc>
          <w:tcPr>
            <w:tcW w:w="1380" w:type="dxa"/>
            <w:tcBorders>
              <w:top w:val="nil"/>
              <w:left w:val="nil"/>
              <w:bottom w:val="nil"/>
              <w:right w:val="nil"/>
            </w:tcBorders>
            <w:shd w:val="clear" w:color="auto" w:fill="auto"/>
            <w:noWrap/>
            <w:vAlign w:val="bottom"/>
          </w:tcPr>
          <w:p w:rsidR="00D25729" w:rsidRDefault="00D25729">
            <w:pPr>
              <w:jc w:val="right"/>
            </w:pPr>
            <w:r>
              <w:t>19,028</w:t>
            </w:r>
          </w:p>
        </w:tc>
        <w:tc>
          <w:tcPr>
            <w:tcW w:w="1591" w:type="dxa"/>
            <w:tcBorders>
              <w:top w:val="nil"/>
              <w:left w:val="nil"/>
              <w:bottom w:val="nil"/>
              <w:right w:val="nil"/>
            </w:tcBorders>
            <w:shd w:val="clear" w:color="auto" w:fill="auto"/>
            <w:noWrap/>
            <w:vAlign w:val="bottom"/>
          </w:tcPr>
          <w:p w:rsidR="00D25729" w:rsidRDefault="00D25729">
            <w:pPr>
              <w:jc w:val="right"/>
            </w:pPr>
            <w:r>
              <w:t>9,619</w:t>
            </w:r>
          </w:p>
        </w:tc>
      </w:tr>
      <w:tr w:rsidR="00D25729" w:rsidTr="009C3761">
        <w:trPr>
          <w:trHeight w:val="315"/>
        </w:trPr>
        <w:tc>
          <w:tcPr>
            <w:tcW w:w="2030" w:type="dxa"/>
            <w:tcBorders>
              <w:top w:val="nil"/>
              <w:left w:val="nil"/>
              <w:right w:val="nil"/>
            </w:tcBorders>
            <w:shd w:val="clear" w:color="auto" w:fill="auto"/>
            <w:noWrap/>
            <w:vAlign w:val="bottom"/>
          </w:tcPr>
          <w:p w:rsidR="00D25729" w:rsidRDefault="00D25729" w:rsidP="008C7CCE">
            <w:pPr>
              <w:jc w:val="center"/>
            </w:pPr>
            <w:r>
              <w:t>2008/09</w:t>
            </w:r>
          </w:p>
        </w:tc>
        <w:tc>
          <w:tcPr>
            <w:tcW w:w="878" w:type="dxa"/>
            <w:tcBorders>
              <w:top w:val="nil"/>
              <w:left w:val="nil"/>
              <w:right w:val="nil"/>
            </w:tcBorders>
            <w:shd w:val="clear" w:color="auto" w:fill="auto"/>
            <w:vAlign w:val="bottom"/>
          </w:tcPr>
          <w:p w:rsidR="00D25729" w:rsidRDefault="00D25729">
            <w:pPr>
              <w:jc w:val="right"/>
            </w:pPr>
            <w:r>
              <w:t>8,799</w:t>
            </w:r>
          </w:p>
        </w:tc>
        <w:tc>
          <w:tcPr>
            <w:tcW w:w="879" w:type="dxa"/>
            <w:tcBorders>
              <w:top w:val="nil"/>
              <w:left w:val="nil"/>
              <w:right w:val="nil"/>
            </w:tcBorders>
            <w:shd w:val="clear" w:color="auto" w:fill="auto"/>
            <w:vAlign w:val="bottom"/>
          </w:tcPr>
          <w:p w:rsidR="00D25729" w:rsidRDefault="00D25729">
            <w:pPr>
              <w:jc w:val="right"/>
            </w:pPr>
            <w:r>
              <w:t>3,433</w:t>
            </w:r>
          </w:p>
        </w:tc>
        <w:tc>
          <w:tcPr>
            <w:tcW w:w="1380" w:type="dxa"/>
            <w:tcBorders>
              <w:top w:val="nil"/>
              <w:left w:val="nil"/>
              <w:right w:val="nil"/>
            </w:tcBorders>
            <w:shd w:val="clear" w:color="auto" w:fill="auto"/>
            <w:noWrap/>
            <w:vAlign w:val="bottom"/>
          </w:tcPr>
          <w:p w:rsidR="00D25729" w:rsidRDefault="00D25729">
            <w:pPr>
              <w:jc w:val="right"/>
            </w:pPr>
            <w:r>
              <w:t>12,231</w:t>
            </w:r>
          </w:p>
        </w:tc>
        <w:tc>
          <w:tcPr>
            <w:tcW w:w="1591" w:type="dxa"/>
            <w:tcBorders>
              <w:top w:val="nil"/>
              <w:left w:val="nil"/>
              <w:right w:val="nil"/>
            </w:tcBorders>
            <w:shd w:val="clear" w:color="auto" w:fill="auto"/>
            <w:noWrap/>
            <w:vAlign w:val="bottom"/>
          </w:tcPr>
          <w:p w:rsidR="00D25729" w:rsidRDefault="00D25729">
            <w:pPr>
              <w:jc w:val="right"/>
            </w:pPr>
            <w:r>
              <w:t>7,145</w:t>
            </w:r>
          </w:p>
        </w:tc>
      </w:tr>
      <w:tr w:rsidR="00D25729" w:rsidTr="009C3761">
        <w:trPr>
          <w:trHeight w:val="315"/>
        </w:trPr>
        <w:tc>
          <w:tcPr>
            <w:tcW w:w="2030" w:type="dxa"/>
            <w:tcBorders>
              <w:top w:val="nil"/>
              <w:left w:val="nil"/>
              <w:bottom w:val="nil"/>
              <w:right w:val="nil"/>
            </w:tcBorders>
            <w:shd w:val="clear" w:color="auto" w:fill="auto"/>
            <w:noWrap/>
            <w:vAlign w:val="bottom"/>
          </w:tcPr>
          <w:p w:rsidR="00D25729" w:rsidRDefault="00D25729" w:rsidP="008C7CCE">
            <w:pPr>
              <w:jc w:val="center"/>
            </w:pPr>
            <w:r>
              <w:t>2009/10</w:t>
            </w:r>
          </w:p>
        </w:tc>
        <w:tc>
          <w:tcPr>
            <w:tcW w:w="878" w:type="dxa"/>
            <w:tcBorders>
              <w:top w:val="nil"/>
              <w:left w:val="nil"/>
              <w:bottom w:val="nil"/>
              <w:right w:val="nil"/>
            </w:tcBorders>
            <w:shd w:val="clear" w:color="auto" w:fill="auto"/>
            <w:vAlign w:val="bottom"/>
          </w:tcPr>
          <w:p w:rsidR="00D25729" w:rsidRDefault="00D25729">
            <w:pPr>
              <w:jc w:val="right"/>
            </w:pPr>
            <w:r>
              <w:t>7,228</w:t>
            </w:r>
          </w:p>
        </w:tc>
        <w:tc>
          <w:tcPr>
            <w:tcW w:w="879" w:type="dxa"/>
            <w:tcBorders>
              <w:top w:val="nil"/>
              <w:left w:val="nil"/>
              <w:bottom w:val="nil"/>
              <w:right w:val="nil"/>
            </w:tcBorders>
            <w:shd w:val="clear" w:color="auto" w:fill="auto"/>
            <w:vAlign w:val="bottom"/>
          </w:tcPr>
          <w:p w:rsidR="00D25729" w:rsidRDefault="00D25729">
            <w:pPr>
              <w:jc w:val="right"/>
            </w:pPr>
            <w:r>
              <w:t>13,464</w:t>
            </w:r>
          </w:p>
        </w:tc>
        <w:tc>
          <w:tcPr>
            <w:tcW w:w="1380" w:type="dxa"/>
            <w:tcBorders>
              <w:top w:val="nil"/>
              <w:left w:val="nil"/>
              <w:bottom w:val="nil"/>
              <w:right w:val="nil"/>
            </w:tcBorders>
            <w:shd w:val="clear" w:color="auto" w:fill="auto"/>
            <w:noWrap/>
            <w:vAlign w:val="bottom"/>
          </w:tcPr>
          <w:p w:rsidR="00D25729" w:rsidRDefault="00D25729">
            <w:pPr>
              <w:jc w:val="right"/>
            </w:pPr>
            <w:r>
              <w:t>13,574</w:t>
            </w:r>
          </w:p>
        </w:tc>
        <w:tc>
          <w:tcPr>
            <w:tcW w:w="1591" w:type="dxa"/>
            <w:tcBorders>
              <w:top w:val="nil"/>
              <w:left w:val="nil"/>
              <w:bottom w:val="nil"/>
              <w:right w:val="nil"/>
            </w:tcBorders>
            <w:shd w:val="clear" w:color="auto" w:fill="auto"/>
            <w:noWrap/>
            <w:vAlign w:val="bottom"/>
          </w:tcPr>
          <w:p w:rsidR="00D25729" w:rsidRDefault="00D25729">
            <w:pPr>
              <w:jc w:val="right"/>
            </w:pPr>
            <w:r>
              <w:t>10,826</w:t>
            </w:r>
          </w:p>
        </w:tc>
      </w:tr>
      <w:tr w:rsidR="0023752A" w:rsidTr="0081443B">
        <w:trPr>
          <w:trHeight w:val="315"/>
        </w:trPr>
        <w:tc>
          <w:tcPr>
            <w:tcW w:w="2030" w:type="dxa"/>
            <w:tcBorders>
              <w:top w:val="nil"/>
              <w:left w:val="nil"/>
              <w:bottom w:val="nil"/>
              <w:right w:val="nil"/>
            </w:tcBorders>
            <w:shd w:val="clear" w:color="auto" w:fill="auto"/>
            <w:noWrap/>
            <w:vAlign w:val="bottom"/>
          </w:tcPr>
          <w:p w:rsidR="0023752A" w:rsidRDefault="0023752A" w:rsidP="008C7CCE">
            <w:pPr>
              <w:jc w:val="center"/>
            </w:pPr>
            <w:r>
              <w:t>2010/11</w:t>
            </w:r>
          </w:p>
        </w:tc>
        <w:tc>
          <w:tcPr>
            <w:tcW w:w="878" w:type="dxa"/>
            <w:tcBorders>
              <w:top w:val="nil"/>
              <w:left w:val="nil"/>
              <w:bottom w:val="nil"/>
              <w:right w:val="nil"/>
            </w:tcBorders>
            <w:shd w:val="clear" w:color="auto" w:fill="auto"/>
            <w:vAlign w:val="bottom"/>
          </w:tcPr>
          <w:p w:rsidR="0023752A" w:rsidRDefault="0065613D">
            <w:pPr>
              <w:jc w:val="right"/>
            </w:pPr>
            <w:r>
              <w:t>1,966</w:t>
            </w:r>
          </w:p>
        </w:tc>
        <w:tc>
          <w:tcPr>
            <w:tcW w:w="879" w:type="dxa"/>
            <w:tcBorders>
              <w:top w:val="nil"/>
              <w:left w:val="nil"/>
              <w:bottom w:val="nil"/>
              <w:right w:val="nil"/>
            </w:tcBorders>
            <w:shd w:val="clear" w:color="auto" w:fill="auto"/>
            <w:vAlign w:val="bottom"/>
          </w:tcPr>
          <w:p w:rsidR="0023752A" w:rsidRDefault="0065613D">
            <w:pPr>
              <w:jc w:val="right"/>
            </w:pPr>
            <w:r>
              <w:t>1,213</w:t>
            </w:r>
          </w:p>
        </w:tc>
        <w:tc>
          <w:tcPr>
            <w:tcW w:w="1380" w:type="dxa"/>
            <w:tcBorders>
              <w:top w:val="nil"/>
              <w:left w:val="nil"/>
              <w:bottom w:val="nil"/>
              <w:right w:val="nil"/>
            </w:tcBorders>
            <w:shd w:val="clear" w:color="auto" w:fill="auto"/>
            <w:noWrap/>
            <w:vAlign w:val="bottom"/>
          </w:tcPr>
          <w:p w:rsidR="0023752A" w:rsidRDefault="0065613D">
            <w:pPr>
              <w:jc w:val="right"/>
            </w:pPr>
            <w:r>
              <w:t>3,179</w:t>
            </w:r>
          </w:p>
        </w:tc>
        <w:tc>
          <w:tcPr>
            <w:tcW w:w="1591" w:type="dxa"/>
            <w:tcBorders>
              <w:top w:val="nil"/>
              <w:left w:val="nil"/>
              <w:bottom w:val="nil"/>
              <w:right w:val="nil"/>
            </w:tcBorders>
            <w:shd w:val="clear" w:color="auto" w:fill="auto"/>
            <w:noWrap/>
            <w:vAlign w:val="bottom"/>
          </w:tcPr>
          <w:p w:rsidR="0023752A" w:rsidRDefault="0065613D">
            <w:pPr>
              <w:jc w:val="right"/>
            </w:pPr>
            <w:r>
              <w:t>1,953</w:t>
            </w:r>
          </w:p>
        </w:tc>
      </w:tr>
      <w:tr w:rsidR="0081443B" w:rsidTr="00453C4F">
        <w:trPr>
          <w:trHeight w:val="315"/>
        </w:trPr>
        <w:tc>
          <w:tcPr>
            <w:tcW w:w="2030" w:type="dxa"/>
            <w:tcBorders>
              <w:top w:val="nil"/>
              <w:left w:val="nil"/>
              <w:bottom w:val="single" w:sz="4" w:space="0" w:color="auto"/>
              <w:right w:val="nil"/>
            </w:tcBorders>
            <w:shd w:val="clear" w:color="auto" w:fill="auto"/>
            <w:noWrap/>
            <w:vAlign w:val="bottom"/>
          </w:tcPr>
          <w:p w:rsidR="0081443B" w:rsidRDefault="0081443B" w:rsidP="008C7CCE">
            <w:pPr>
              <w:jc w:val="center"/>
            </w:pPr>
            <w:r>
              <w:t>2011/12</w:t>
            </w:r>
          </w:p>
        </w:tc>
        <w:tc>
          <w:tcPr>
            <w:tcW w:w="878" w:type="dxa"/>
            <w:tcBorders>
              <w:top w:val="nil"/>
              <w:left w:val="nil"/>
              <w:bottom w:val="single" w:sz="4" w:space="0" w:color="auto"/>
              <w:right w:val="nil"/>
            </w:tcBorders>
            <w:shd w:val="clear" w:color="auto" w:fill="auto"/>
            <w:vAlign w:val="bottom"/>
          </w:tcPr>
          <w:p w:rsidR="0081443B" w:rsidRDefault="006E1C02">
            <w:pPr>
              <w:jc w:val="right"/>
            </w:pPr>
            <w:r>
              <w:t>3,489</w:t>
            </w:r>
          </w:p>
        </w:tc>
        <w:tc>
          <w:tcPr>
            <w:tcW w:w="879" w:type="dxa"/>
            <w:tcBorders>
              <w:top w:val="nil"/>
              <w:left w:val="nil"/>
              <w:bottom w:val="single" w:sz="4" w:space="0" w:color="auto"/>
              <w:right w:val="nil"/>
            </w:tcBorders>
            <w:shd w:val="clear" w:color="auto" w:fill="auto"/>
            <w:vAlign w:val="bottom"/>
          </w:tcPr>
          <w:p w:rsidR="0081443B" w:rsidRDefault="006E1C02">
            <w:pPr>
              <w:jc w:val="right"/>
            </w:pPr>
            <w:r>
              <w:t>5,664</w:t>
            </w:r>
          </w:p>
        </w:tc>
        <w:tc>
          <w:tcPr>
            <w:tcW w:w="1380" w:type="dxa"/>
            <w:tcBorders>
              <w:top w:val="nil"/>
              <w:left w:val="nil"/>
              <w:bottom w:val="single" w:sz="4" w:space="0" w:color="auto"/>
              <w:right w:val="nil"/>
            </w:tcBorders>
            <w:shd w:val="clear" w:color="auto" w:fill="auto"/>
            <w:noWrap/>
            <w:vAlign w:val="bottom"/>
          </w:tcPr>
          <w:p w:rsidR="0081443B" w:rsidRDefault="006E1C02">
            <w:pPr>
              <w:jc w:val="right"/>
            </w:pPr>
            <w:r>
              <w:t>9,153</w:t>
            </w:r>
          </w:p>
        </w:tc>
        <w:tc>
          <w:tcPr>
            <w:tcW w:w="1591" w:type="dxa"/>
            <w:tcBorders>
              <w:top w:val="nil"/>
              <w:left w:val="nil"/>
              <w:bottom w:val="single" w:sz="4" w:space="0" w:color="auto"/>
              <w:right w:val="nil"/>
            </w:tcBorders>
            <w:shd w:val="clear" w:color="auto" w:fill="auto"/>
            <w:noWrap/>
            <w:vAlign w:val="bottom"/>
          </w:tcPr>
          <w:p w:rsidR="006E1C02" w:rsidRDefault="006E1C02" w:rsidP="006E1C02">
            <w:pPr>
              <w:jc w:val="right"/>
            </w:pPr>
            <w:r>
              <w:t>6,276</w:t>
            </w:r>
          </w:p>
        </w:tc>
      </w:tr>
      <w:tr w:rsidR="00453C4F" w:rsidTr="00453C4F">
        <w:trPr>
          <w:trHeight w:val="315"/>
        </w:trPr>
        <w:tc>
          <w:tcPr>
            <w:tcW w:w="2030" w:type="dxa"/>
            <w:tcBorders>
              <w:top w:val="single" w:sz="4" w:space="0" w:color="auto"/>
              <w:left w:val="nil"/>
              <w:bottom w:val="single" w:sz="4" w:space="0" w:color="auto"/>
              <w:right w:val="nil"/>
            </w:tcBorders>
            <w:shd w:val="clear" w:color="auto" w:fill="auto"/>
            <w:noWrap/>
            <w:vAlign w:val="bottom"/>
          </w:tcPr>
          <w:p w:rsidR="00453C4F" w:rsidRDefault="00453C4F" w:rsidP="008C7CCE">
            <w:pPr>
              <w:jc w:val="center"/>
            </w:pPr>
            <w:r>
              <w:t>Average</w:t>
            </w:r>
          </w:p>
        </w:tc>
        <w:tc>
          <w:tcPr>
            <w:tcW w:w="878" w:type="dxa"/>
            <w:tcBorders>
              <w:top w:val="single" w:sz="4" w:space="0" w:color="auto"/>
              <w:left w:val="nil"/>
              <w:bottom w:val="single" w:sz="4" w:space="0" w:color="auto"/>
              <w:right w:val="nil"/>
            </w:tcBorders>
            <w:shd w:val="clear" w:color="auto" w:fill="auto"/>
            <w:vAlign w:val="bottom"/>
          </w:tcPr>
          <w:p w:rsidR="00453C4F" w:rsidRDefault="00453C4F">
            <w:pPr>
              <w:jc w:val="right"/>
            </w:pPr>
            <w:r>
              <w:t>4,337</w:t>
            </w:r>
          </w:p>
        </w:tc>
        <w:tc>
          <w:tcPr>
            <w:tcW w:w="879" w:type="dxa"/>
            <w:tcBorders>
              <w:top w:val="single" w:sz="4" w:space="0" w:color="auto"/>
              <w:left w:val="nil"/>
              <w:bottom w:val="single" w:sz="4" w:space="0" w:color="auto"/>
              <w:right w:val="nil"/>
            </w:tcBorders>
            <w:shd w:val="clear" w:color="auto" w:fill="auto"/>
            <w:vAlign w:val="bottom"/>
          </w:tcPr>
          <w:p w:rsidR="00453C4F" w:rsidRDefault="00453C4F">
            <w:pPr>
              <w:jc w:val="right"/>
            </w:pPr>
            <w:r>
              <w:t>4,834</w:t>
            </w:r>
          </w:p>
        </w:tc>
        <w:tc>
          <w:tcPr>
            <w:tcW w:w="1380" w:type="dxa"/>
            <w:tcBorders>
              <w:top w:val="single" w:sz="4" w:space="0" w:color="auto"/>
              <w:left w:val="nil"/>
              <w:bottom w:val="single" w:sz="4" w:space="0" w:color="auto"/>
              <w:right w:val="nil"/>
            </w:tcBorders>
            <w:shd w:val="clear" w:color="auto" w:fill="auto"/>
            <w:noWrap/>
            <w:vAlign w:val="bottom"/>
          </w:tcPr>
          <w:p w:rsidR="00453C4F" w:rsidRDefault="00453C4F">
            <w:pPr>
              <w:jc w:val="right"/>
            </w:pPr>
            <w:r>
              <w:t>8,832</w:t>
            </w:r>
          </w:p>
        </w:tc>
        <w:tc>
          <w:tcPr>
            <w:tcW w:w="1591" w:type="dxa"/>
            <w:tcBorders>
              <w:top w:val="single" w:sz="4" w:space="0" w:color="auto"/>
              <w:left w:val="nil"/>
              <w:bottom w:val="single" w:sz="4" w:space="0" w:color="auto"/>
              <w:right w:val="nil"/>
            </w:tcBorders>
            <w:shd w:val="clear" w:color="auto" w:fill="auto"/>
            <w:noWrap/>
            <w:vAlign w:val="bottom"/>
          </w:tcPr>
          <w:p w:rsidR="00453C4F" w:rsidRDefault="00453C4F" w:rsidP="006E1C02">
            <w:pPr>
              <w:jc w:val="right"/>
            </w:pPr>
            <w:r>
              <w:t>5,866</w:t>
            </w:r>
          </w:p>
        </w:tc>
      </w:tr>
    </w:tbl>
    <w:p w:rsidR="001C4AFA" w:rsidRDefault="001C4AFA" w:rsidP="002625EE">
      <w:pPr>
        <w:pStyle w:val="Caption"/>
        <w:jc w:val="both"/>
      </w:pPr>
    </w:p>
    <w:p w:rsidR="001C4AFA" w:rsidRDefault="0023040E" w:rsidP="002625EE">
      <w:pPr>
        <w:pStyle w:val="Caption"/>
        <w:jc w:val="both"/>
      </w:pPr>
      <w:r>
        <w:br w:type="page"/>
      </w:r>
    </w:p>
    <w:p w:rsidR="00F81B47" w:rsidRPr="00BB6536" w:rsidRDefault="005C139A" w:rsidP="002B1761">
      <w:pPr>
        <w:ind w:left="864" w:hanging="864"/>
        <w:jc w:val="both"/>
        <w:rPr>
          <w:color w:val="000000"/>
          <w:lang w:val="en-US" w:eastAsia="en-US"/>
        </w:rPr>
      </w:pPr>
      <w:proofErr w:type="gramStart"/>
      <w:r>
        <w:lastRenderedPageBreak/>
        <w:t xml:space="preserve">Table </w:t>
      </w:r>
      <w:r w:rsidR="0018473E">
        <w:t>4</w:t>
      </w:r>
      <w:r w:rsidR="007B610B">
        <w:t>.</w:t>
      </w:r>
      <w:proofErr w:type="gramEnd"/>
      <w:r w:rsidR="007B610B">
        <w:t xml:space="preserve"> </w:t>
      </w:r>
      <w:r w:rsidR="00F81B47">
        <w:t xml:space="preserve">Data for calculation of </w:t>
      </w:r>
      <w:r w:rsidR="00F81B47" w:rsidRPr="00F81B47">
        <w:rPr>
          <w:color w:val="000000"/>
          <w:lang w:val="en-US" w:eastAsia="en-US"/>
        </w:rPr>
        <w:t>RET</w:t>
      </w:r>
      <w:r w:rsidR="00F81B47" w:rsidRPr="00F81B47">
        <w:rPr>
          <w:color w:val="000000"/>
          <w:vertAlign w:val="subscript"/>
          <w:lang w:val="en-US" w:eastAsia="en-US"/>
        </w:rPr>
        <w:t>1993-1998</w:t>
      </w:r>
      <w:r w:rsidR="00F81B47">
        <w:rPr>
          <w:color w:val="000000"/>
          <w:lang w:val="en-US" w:eastAsia="en-US"/>
        </w:rPr>
        <w:t xml:space="preserve"> </w:t>
      </w:r>
      <w:r w:rsidR="00F81B47">
        <w:t xml:space="preserve">and estimates used in calculation of </w:t>
      </w:r>
      <w:r w:rsidR="00F81B47" w:rsidRPr="00F81B47">
        <w:rPr>
          <w:color w:val="000000"/>
          <w:lang w:val="en-US" w:eastAsia="en-US"/>
        </w:rPr>
        <w:t>R</w:t>
      </w:r>
      <w:r w:rsidR="00F81B47" w:rsidRPr="00F81B47">
        <w:rPr>
          <w:color w:val="000000"/>
          <w:vertAlign w:val="subscript"/>
          <w:lang w:val="en-US" w:eastAsia="en-US"/>
        </w:rPr>
        <w:t>2001-201</w:t>
      </w:r>
      <w:r w:rsidR="006D008C">
        <w:rPr>
          <w:color w:val="000000"/>
          <w:vertAlign w:val="subscript"/>
          <w:lang w:val="en-US" w:eastAsia="en-US"/>
        </w:rPr>
        <w:t>0</w:t>
      </w:r>
      <w:r w:rsidR="00F81B47">
        <w:rPr>
          <w:color w:val="000000"/>
          <w:lang w:val="en-US" w:eastAsia="en-US"/>
        </w:rPr>
        <w:t xml:space="preserve">, </w:t>
      </w:r>
      <w:r w:rsidR="00F81B47" w:rsidRPr="00F81B47">
        <w:rPr>
          <w:color w:val="000000"/>
          <w:lang w:val="en-US" w:eastAsia="en-US"/>
        </w:rPr>
        <w:t>BM</w:t>
      </w:r>
      <w:r w:rsidR="00F81B47" w:rsidRPr="00F81B47">
        <w:rPr>
          <w:color w:val="000000"/>
          <w:vertAlign w:val="subscript"/>
          <w:lang w:val="en-US" w:eastAsia="en-US"/>
        </w:rPr>
        <w:t>NC,1994-1998</w:t>
      </w:r>
      <w:r w:rsidR="00F81B47">
        <w:rPr>
          <w:color w:val="000000"/>
          <w:lang w:val="en-US" w:eastAsia="en-US"/>
        </w:rPr>
        <w:t xml:space="preserve">, and </w:t>
      </w:r>
      <w:r w:rsidR="00F81B47" w:rsidRPr="00F81B47">
        <w:rPr>
          <w:color w:val="000000"/>
          <w:lang w:val="en-US" w:eastAsia="en-US"/>
        </w:rPr>
        <w:t>BM</w:t>
      </w:r>
      <w:r w:rsidR="00F81B47" w:rsidRPr="00F81B47">
        <w:rPr>
          <w:color w:val="000000"/>
          <w:vertAlign w:val="subscript"/>
          <w:lang w:val="en-US" w:eastAsia="en-US"/>
        </w:rPr>
        <w:t>GF,92/93-98/99</w:t>
      </w:r>
      <w:r w:rsidR="00F81B47">
        <w:rPr>
          <w:color w:val="000000"/>
          <w:lang w:val="en-US" w:eastAsia="en-US"/>
        </w:rPr>
        <w:t xml:space="preserve"> for calculation of the Alternative 1 Pribilof Isla</w:t>
      </w:r>
      <w:r w:rsidR="006D008C">
        <w:rPr>
          <w:color w:val="000000"/>
          <w:lang w:val="en-US" w:eastAsia="en-US"/>
        </w:rPr>
        <w:t>nds golden king crab Tier 5 201</w:t>
      </w:r>
      <w:r w:rsidR="006A0BEC">
        <w:rPr>
          <w:color w:val="000000"/>
          <w:lang w:val="en-US" w:eastAsia="en-US"/>
        </w:rPr>
        <w:t>4</w:t>
      </w:r>
      <w:r w:rsidR="00F81B47">
        <w:rPr>
          <w:color w:val="000000"/>
          <w:lang w:val="en-US" w:eastAsia="en-US"/>
        </w:rPr>
        <w:t xml:space="preserve"> total-catch OFL; values </w:t>
      </w:r>
      <w:r w:rsidR="007B610B">
        <w:rPr>
          <w:color w:val="000000"/>
          <w:lang w:val="en-US" w:eastAsia="en-US"/>
        </w:rPr>
        <w:t>under</w:t>
      </w:r>
      <w:r w:rsidR="00F81B47">
        <w:rPr>
          <w:color w:val="000000"/>
          <w:lang w:val="en-US" w:eastAsia="en-US"/>
        </w:rPr>
        <w:t xml:space="preserve">  </w:t>
      </w:r>
      <w:r w:rsidR="007B610B" w:rsidRPr="00F81B47">
        <w:rPr>
          <w:color w:val="000000"/>
          <w:lang w:val="en-US" w:eastAsia="en-US"/>
        </w:rPr>
        <w:t>RET</w:t>
      </w:r>
      <w:r w:rsidR="007B610B" w:rsidRPr="00F81B47">
        <w:rPr>
          <w:color w:val="000000"/>
          <w:vertAlign w:val="subscript"/>
          <w:lang w:val="en-US" w:eastAsia="en-US"/>
        </w:rPr>
        <w:t>1993-1998</w:t>
      </w:r>
      <w:r w:rsidR="007B610B">
        <w:rPr>
          <w:color w:val="000000"/>
          <w:lang w:val="en-US" w:eastAsia="en-US"/>
        </w:rPr>
        <w:t xml:space="preserve"> are from Table 1, values under</w:t>
      </w:r>
      <w:r w:rsidR="00F81B47">
        <w:rPr>
          <w:color w:val="000000"/>
          <w:lang w:val="en-US" w:eastAsia="en-US"/>
        </w:rPr>
        <w:t xml:space="preserve">  </w:t>
      </w:r>
      <w:r w:rsidR="007B610B" w:rsidRPr="00F81B47">
        <w:rPr>
          <w:color w:val="000000"/>
          <w:lang w:val="en-US" w:eastAsia="en-US"/>
        </w:rPr>
        <w:t>R</w:t>
      </w:r>
      <w:r w:rsidR="007B610B" w:rsidRPr="00F81B47">
        <w:rPr>
          <w:color w:val="000000"/>
          <w:vertAlign w:val="subscript"/>
          <w:lang w:val="en-US" w:eastAsia="en-US"/>
        </w:rPr>
        <w:t>2001-2010</w:t>
      </w:r>
      <w:r w:rsidR="00F81B47">
        <w:rPr>
          <w:color w:val="000000"/>
          <w:lang w:val="en-US" w:eastAsia="en-US"/>
        </w:rPr>
        <w:t xml:space="preserve"> were computed from the retained catch data</w:t>
      </w:r>
      <w:r w:rsidR="007B610B">
        <w:rPr>
          <w:color w:val="000000"/>
          <w:lang w:val="en-US" w:eastAsia="en-US"/>
        </w:rPr>
        <w:t xml:space="preserve"> and the directed fishery bycatch </w:t>
      </w:r>
      <w:r w:rsidR="00F81B47">
        <w:rPr>
          <w:color w:val="000000"/>
          <w:lang w:val="en-US" w:eastAsia="en-US"/>
        </w:rPr>
        <w:t xml:space="preserve">estimates in Table </w:t>
      </w:r>
      <w:r w:rsidR="007B610B">
        <w:rPr>
          <w:color w:val="000000"/>
          <w:lang w:val="en-US" w:eastAsia="en-US"/>
        </w:rPr>
        <w:t>2 (assumed bycatch mortality rate = 0.2)</w:t>
      </w:r>
      <w:r w:rsidR="00F81B47">
        <w:rPr>
          <w:color w:val="000000"/>
          <w:lang w:val="en-US" w:eastAsia="en-US"/>
        </w:rPr>
        <w:t xml:space="preserve">, </w:t>
      </w:r>
      <w:r w:rsidR="007B610B">
        <w:rPr>
          <w:color w:val="000000"/>
          <w:lang w:val="en-US" w:eastAsia="en-US"/>
        </w:rPr>
        <w:t xml:space="preserve">values under  </w:t>
      </w:r>
      <w:r w:rsidR="007B610B" w:rsidRPr="00F81B47">
        <w:rPr>
          <w:color w:val="000000"/>
          <w:lang w:val="en-US" w:eastAsia="en-US"/>
        </w:rPr>
        <w:t>BM</w:t>
      </w:r>
      <w:r w:rsidR="007B610B" w:rsidRPr="00F81B47">
        <w:rPr>
          <w:color w:val="000000"/>
          <w:vertAlign w:val="subscript"/>
          <w:lang w:val="en-US" w:eastAsia="en-US"/>
        </w:rPr>
        <w:t>NC,1994-1998</w:t>
      </w:r>
      <w:r w:rsidR="007B610B">
        <w:rPr>
          <w:color w:val="000000"/>
          <w:vertAlign w:val="subscript"/>
          <w:lang w:val="en-US" w:eastAsia="en-US"/>
        </w:rPr>
        <w:t xml:space="preserve"> </w:t>
      </w:r>
      <w:r w:rsidR="007B610B">
        <w:rPr>
          <w:color w:val="000000"/>
          <w:lang w:val="en-US" w:eastAsia="en-US"/>
        </w:rPr>
        <w:t xml:space="preserve">were computed from the non-directed crab fishery bycatch estimates in Table 2 (assumed bycatch mortality rate = 0.5) </w:t>
      </w:r>
      <w:r w:rsidR="00F81B47">
        <w:rPr>
          <w:color w:val="000000"/>
          <w:lang w:val="en-US" w:eastAsia="en-US"/>
        </w:rPr>
        <w:t xml:space="preserve">and values </w:t>
      </w:r>
      <w:r w:rsidR="007B610B">
        <w:rPr>
          <w:color w:val="000000"/>
          <w:lang w:val="en-US" w:eastAsia="en-US"/>
        </w:rPr>
        <w:t>under</w:t>
      </w:r>
      <w:r w:rsidR="00F81B47">
        <w:rPr>
          <w:color w:val="000000"/>
          <w:lang w:val="en-US" w:eastAsia="en-US"/>
        </w:rPr>
        <w:t xml:space="preserve"> </w:t>
      </w:r>
      <w:r w:rsidR="006D008C" w:rsidRPr="00F81B47">
        <w:rPr>
          <w:color w:val="000000"/>
          <w:lang w:val="en-US" w:eastAsia="en-US"/>
        </w:rPr>
        <w:t>BM</w:t>
      </w:r>
      <w:r w:rsidR="006D008C" w:rsidRPr="00F81B47">
        <w:rPr>
          <w:color w:val="000000"/>
          <w:vertAlign w:val="subscript"/>
          <w:lang w:val="en-US" w:eastAsia="en-US"/>
        </w:rPr>
        <w:t>GF,92/93-98/99</w:t>
      </w:r>
      <w:r w:rsidR="00F81B47">
        <w:rPr>
          <w:color w:val="000000"/>
          <w:lang w:val="en-US" w:eastAsia="en-US"/>
        </w:rPr>
        <w:t xml:space="preserve"> are from Table </w:t>
      </w:r>
      <w:r w:rsidR="007B610B">
        <w:rPr>
          <w:color w:val="000000"/>
          <w:lang w:val="en-US" w:eastAsia="en-US"/>
        </w:rPr>
        <w:t>3</w:t>
      </w:r>
      <w:r w:rsidR="00304FE7">
        <w:rPr>
          <w:color w:val="000000"/>
          <w:lang w:val="en-US" w:eastAsia="en-US"/>
        </w:rPr>
        <w:t xml:space="preserve">; </w:t>
      </w:r>
      <w:r w:rsidR="00304FE7" w:rsidRPr="008264C8">
        <w:t>from 2012 SAFE</w:t>
      </w:r>
      <w:r w:rsidR="00F81B47">
        <w:rPr>
          <w:color w:val="000000"/>
          <w:lang w:val="en-US" w:eastAsia="en-US"/>
        </w:rPr>
        <w:t>.</w:t>
      </w:r>
    </w:p>
    <w:p w:rsidR="00F81B47" w:rsidRDefault="00F81B47" w:rsidP="001707B6">
      <w:pPr>
        <w:ind w:left="864" w:hanging="864"/>
      </w:pPr>
    </w:p>
    <w:tbl>
      <w:tblPr>
        <w:tblW w:w="8046" w:type="dxa"/>
        <w:tblInd w:w="100" w:type="dxa"/>
        <w:tblLook w:val="04A0"/>
      </w:tblPr>
      <w:tblGrid>
        <w:gridCol w:w="967"/>
        <w:gridCol w:w="1003"/>
        <w:gridCol w:w="1483"/>
        <w:gridCol w:w="1190"/>
        <w:gridCol w:w="1666"/>
        <w:gridCol w:w="1737"/>
      </w:tblGrid>
      <w:tr w:rsidR="00F81B47" w:rsidRPr="00F81B47" w:rsidTr="00F81B47">
        <w:trPr>
          <w:trHeight w:val="405"/>
        </w:trPr>
        <w:tc>
          <w:tcPr>
            <w:tcW w:w="967" w:type="dxa"/>
            <w:tcBorders>
              <w:top w:val="single" w:sz="4" w:space="0" w:color="auto"/>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proofErr w:type="spellStart"/>
            <w:r w:rsidRPr="00F81B47">
              <w:rPr>
                <w:color w:val="000000"/>
                <w:lang w:val="en-US" w:eastAsia="en-US"/>
              </w:rPr>
              <w:t>Season</w:t>
            </w:r>
            <w:r w:rsidRPr="00F81B47">
              <w:rPr>
                <w:color w:val="000000"/>
                <w:vertAlign w:val="superscript"/>
                <w:lang w:val="en-US" w:eastAsia="en-US"/>
              </w:rPr>
              <w:t>a</w:t>
            </w:r>
            <w:proofErr w:type="spellEnd"/>
          </w:p>
        </w:tc>
        <w:tc>
          <w:tcPr>
            <w:tcW w:w="1003" w:type="dxa"/>
            <w:tcBorders>
              <w:top w:val="single" w:sz="4" w:space="0" w:color="auto"/>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proofErr w:type="spellStart"/>
            <w:r w:rsidRPr="00F81B47">
              <w:rPr>
                <w:color w:val="000000"/>
                <w:lang w:val="en-US" w:eastAsia="en-US"/>
              </w:rPr>
              <w:t>Season</w:t>
            </w:r>
            <w:r w:rsidRPr="00F81B47">
              <w:rPr>
                <w:color w:val="000000"/>
                <w:vertAlign w:val="superscript"/>
                <w:lang w:val="en-US" w:eastAsia="en-US"/>
              </w:rPr>
              <w:t>b</w:t>
            </w:r>
            <w:proofErr w:type="spellEnd"/>
          </w:p>
        </w:tc>
        <w:tc>
          <w:tcPr>
            <w:tcW w:w="1483" w:type="dxa"/>
            <w:tcBorders>
              <w:top w:val="single" w:sz="4" w:space="0" w:color="auto"/>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RET</w:t>
            </w:r>
            <w:r w:rsidRPr="00F81B47">
              <w:rPr>
                <w:color w:val="000000"/>
                <w:vertAlign w:val="subscript"/>
                <w:lang w:val="en-US" w:eastAsia="en-US"/>
              </w:rPr>
              <w:t>1993-1998</w:t>
            </w:r>
          </w:p>
        </w:tc>
        <w:tc>
          <w:tcPr>
            <w:tcW w:w="1190" w:type="dxa"/>
            <w:tcBorders>
              <w:top w:val="single" w:sz="4" w:space="0" w:color="auto"/>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R</w:t>
            </w:r>
            <w:r w:rsidRPr="00F81B47">
              <w:rPr>
                <w:color w:val="000000"/>
                <w:vertAlign w:val="subscript"/>
                <w:lang w:val="en-US" w:eastAsia="en-US"/>
              </w:rPr>
              <w:t>2001-2010</w:t>
            </w:r>
          </w:p>
        </w:tc>
        <w:tc>
          <w:tcPr>
            <w:tcW w:w="1666" w:type="dxa"/>
            <w:tcBorders>
              <w:top w:val="single" w:sz="4" w:space="0" w:color="auto"/>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BM</w:t>
            </w:r>
            <w:r w:rsidRPr="00F81B47">
              <w:rPr>
                <w:color w:val="000000"/>
                <w:vertAlign w:val="subscript"/>
                <w:lang w:val="en-US" w:eastAsia="en-US"/>
              </w:rPr>
              <w:t>NC,1994-1998</w:t>
            </w:r>
          </w:p>
        </w:tc>
        <w:tc>
          <w:tcPr>
            <w:tcW w:w="1737" w:type="dxa"/>
            <w:tcBorders>
              <w:top w:val="single" w:sz="4" w:space="0" w:color="auto"/>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BM</w:t>
            </w:r>
            <w:r w:rsidRPr="00F81B47">
              <w:rPr>
                <w:color w:val="000000"/>
                <w:vertAlign w:val="subscript"/>
                <w:lang w:val="en-US" w:eastAsia="en-US"/>
              </w:rPr>
              <w:t>GF,92/93-98/99</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1993</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1992/93</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67,458</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19,480</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1994</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1993/94</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88,985</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5,459</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17,556</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1995</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1994/95</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341,908</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17,941</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5,962</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1996</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1995/96</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329,009</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2,839</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3,797</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1997</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1996/97</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179,249</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4,469</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1,561</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1998</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1997/98</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35,722</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36,380</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2,335</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1999</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1998/99</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7,781</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2000</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1999/00</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2001</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2000/01</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0.054</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2002</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2001/02</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0.056</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2003</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2002/03</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center"/>
              <w:rPr>
                <w:color w:val="000000"/>
                <w:lang w:val="en-US" w:eastAsia="en-US"/>
              </w:rPr>
            </w:pPr>
            <w:r w:rsidRPr="00F81B47">
              <w:rPr>
                <w:color w:val="000000"/>
                <w:lang w:val="en-US" w:eastAsia="en-US"/>
              </w:rPr>
              <w:t>conf.</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2004</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2003/04</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center"/>
              <w:rPr>
                <w:color w:val="000000"/>
                <w:lang w:val="en-US" w:eastAsia="en-US"/>
              </w:rPr>
            </w:pPr>
            <w:r w:rsidRPr="00F81B47">
              <w:rPr>
                <w:color w:val="000000"/>
                <w:lang w:val="en-US" w:eastAsia="en-US"/>
              </w:rPr>
              <w:t>conf.</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2005</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2004/05</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center"/>
              <w:rPr>
                <w:color w:val="000000"/>
                <w:lang w:val="en-US" w:eastAsia="en-US"/>
              </w:rPr>
            </w:pPr>
            <w:r w:rsidRPr="00F81B47">
              <w:rPr>
                <w:color w:val="000000"/>
                <w:lang w:val="en-US" w:eastAsia="en-US"/>
              </w:rPr>
              <w:t>conf.</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2006</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2005/06</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2007</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2006/07</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2008</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2007/08</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2009</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2008/09</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2010</w:t>
            </w: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2009/10</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center"/>
              <w:rPr>
                <w:color w:val="000000"/>
                <w:lang w:val="en-US" w:eastAsia="en-US"/>
              </w:rPr>
            </w:pPr>
            <w:r w:rsidRPr="00F81B47">
              <w:rPr>
                <w:color w:val="000000"/>
                <w:lang w:val="en-US" w:eastAsia="en-US"/>
              </w:rPr>
              <w:t>conf.</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73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r>
      <w:tr w:rsidR="00F81B47" w:rsidRPr="00F81B47" w:rsidTr="00F81B47">
        <w:trPr>
          <w:trHeight w:val="315"/>
        </w:trPr>
        <w:tc>
          <w:tcPr>
            <w:tcW w:w="967" w:type="dxa"/>
            <w:tcBorders>
              <w:top w:val="single" w:sz="4" w:space="0" w:color="auto"/>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 </w:t>
            </w:r>
          </w:p>
        </w:tc>
        <w:tc>
          <w:tcPr>
            <w:tcW w:w="1003" w:type="dxa"/>
            <w:tcBorders>
              <w:top w:val="single" w:sz="4" w:space="0" w:color="auto"/>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N</w:t>
            </w:r>
          </w:p>
        </w:tc>
        <w:tc>
          <w:tcPr>
            <w:tcW w:w="1483" w:type="dxa"/>
            <w:tcBorders>
              <w:top w:val="single" w:sz="4" w:space="0" w:color="auto"/>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6</w:t>
            </w:r>
          </w:p>
        </w:tc>
        <w:tc>
          <w:tcPr>
            <w:tcW w:w="1190" w:type="dxa"/>
            <w:tcBorders>
              <w:top w:val="single" w:sz="4" w:space="0" w:color="auto"/>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6</w:t>
            </w:r>
          </w:p>
        </w:tc>
        <w:tc>
          <w:tcPr>
            <w:tcW w:w="1666" w:type="dxa"/>
            <w:tcBorders>
              <w:top w:val="single" w:sz="4" w:space="0" w:color="auto"/>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5</w:t>
            </w:r>
          </w:p>
        </w:tc>
        <w:tc>
          <w:tcPr>
            <w:tcW w:w="1737" w:type="dxa"/>
            <w:tcBorders>
              <w:top w:val="single" w:sz="4" w:space="0" w:color="auto"/>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7</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Mean</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173,722</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0.052</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13,418</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8,353</w:t>
            </w:r>
          </w:p>
        </w:tc>
      </w:tr>
      <w:tr w:rsidR="00F81B47" w:rsidRPr="00F81B47" w:rsidTr="00F81B47">
        <w:trPr>
          <w:trHeight w:val="315"/>
        </w:trPr>
        <w:tc>
          <w:tcPr>
            <w:tcW w:w="967"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p>
        </w:tc>
        <w:tc>
          <w:tcPr>
            <w:tcW w:w="1003" w:type="dxa"/>
            <w:tcBorders>
              <w:top w:val="nil"/>
              <w:left w:val="nil"/>
              <w:bottom w:val="nil"/>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S.E.M</w:t>
            </w:r>
          </w:p>
        </w:tc>
        <w:tc>
          <w:tcPr>
            <w:tcW w:w="1483"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54,756</w:t>
            </w:r>
          </w:p>
        </w:tc>
        <w:tc>
          <w:tcPr>
            <w:tcW w:w="1190"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0.004</w:t>
            </w:r>
          </w:p>
        </w:tc>
        <w:tc>
          <w:tcPr>
            <w:tcW w:w="1666"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6,337</w:t>
            </w:r>
          </w:p>
        </w:tc>
        <w:tc>
          <w:tcPr>
            <w:tcW w:w="1737" w:type="dxa"/>
            <w:tcBorders>
              <w:top w:val="nil"/>
              <w:left w:val="nil"/>
              <w:bottom w:val="nil"/>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2,750</w:t>
            </w:r>
          </w:p>
        </w:tc>
      </w:tr>
      <w:tr w:rsidR="00F81B47" w:rsidRPr="00F81B47" w:rsidTr="00F81B47">
        <w:trPr>
          <w:trHeight w:val="315"/>
        </w:trPr>
        <w:tc>
          <w:tcPr>
            <w:tcW w:w="967" w:type="dxa"/>
            <w:tcBorders>
              <w:top w:val="nil"/>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 </w:t>
            </w:r>
          </w:p>
        </w:tc>
        <w:tc>
          <w:tcPr>
            <w:tcW w:w="1003" w:type="dxa"/>
            <w:tcBorders>
              <w:top w:val="nil"/>
              <w:left w:val="nil"/>
              <w:bottom w:val="single" w:sz="4" w:space="0" w:color="auto"/>
              <w:right w:val="nil"/>
            </w:tcBorders>
            <w:shd w:val="clear" w:color="auto" w:fill="auto"/>
            <w:noWrap/>
            <w:vAlign w:val="bottom"/>
            <w:hideMark/>
          </w:tcPr>
          <w:p w:rsidR="00F81B47" w:rsidRPr="00F81B47" w:rsidRDefault="00F81B47" w:rsidP="00F81B47">
            <w:pPr>
              <w:rPr>
                <w:color w:val="000000"/>
                <w:lang w:val="en-US" w:eastAsia="en-US"/>
              </w:rPr>
            </w:pPr>
            <w:r w:rsidRPr="00F81B47">
              <w:rPr>
                <w:color w:val="000000"/>
                <w:lang w:val="en-US" w:eastAsia="en-US"/>
              </w:rPr>
              <w:t>CV</w:t>
            </w:r>
          </w:p>
        </w:tc>
        <w:tc>
          <w:tcPr>
            <w:tcW w:w="1483" w:type="dxa"/>
            <w:tcBorders>
              <w:top w:val="nil"/>
              <w:left w:val="nil"/>
              <w:bottom w:val="single" w:sz="4" w:space="0" w:color="auto"/>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0.32</w:t>
            </w:r>
          </w:p>
        </w:tc>
        <w:tc>
          <w:tcPr>
            <w:tcW w:w="1190" w:type="dxa"/>
            <w:tcBorders>
              <w:top w:val="nil"/>
              <w:left w:val="nil"/>
              <w:bottom w:val="single" w:sz="4" w:space="0" w:color="auto"/>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0.07</w:t>
            </w:r>
          </w:p>
        </w:tc>
        <w:tc>
          <w:tcPr>
            <w:tcW w:w="1666" w:type="dxa"/>
            <w:tcBorders>
              <w:top w:val="nil"/>
              <w:left w:val="nil"/>
              <w:bottom w:val="single" w:sz="4" w:space="0" w:color="auto"/>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0.47</w:t>
            </w:r>
          </w:p>
        </w:tc>
        <w:tc>
          <w:tcPr>
            <w:tcW w:w="1737" w:type="dxa"/>
            <w:tcBorders>
              <w:top w:val="nil"/>
              <w:left w:val="nil"/>
              <w:bottom w:val="single" w:sz="4" w:space="0" w:color="auto"/>
              <w:right w:val="nil"/>
            </w:tcBorders>
            <w:shd w:val="clear" w:color="auto" w:fill="auto"/>
            <w:noWrap/>
            <w:vAlign w:val="bottom"/>
            <w:hideMark/>
          </w:tcPr>
          <w:p w:rsidR="00F81B47" w:rsidRPr="00F81B47" w:rsidRDefault="00F81B47" w:rsidP="00F81B47">
            <w:pPr>
              <w:jc w:val="right"/>
              <w:rPr>
                <w:color w:val="000000"/>
                <w:lang w:val="en-US" w:eastAsia="en-US"/>
              </w:rPr>
            </w:pPr>
            <w:r w:rsidRPr="00F81B47">
              <w:rPr>
                <w:color w:val="000000"/>
                <w:lang w:val="en-US" w:eastAsia="en-US"/>
              </w:rPr>
              <w:t>0.33</w:t>
            </w:r>
          </w:p>
        </w:tc>
      </w:tr>
    </w:tbl>
    <w:p w:rsidR="00F81B47" w:rsidRPr="001255A8" w:rsidRDefault="001255A8" w:rsidP="002F1A19">
      <w:pPr>
        <w:numPr>
          <w:ilvl w:val="1"/>
          <w:numId w:val="16"/>
        </w:numPr>
      </w:pPr>
      <w:r>
        <w:t xml:space="preserve">Season convention corresponding with values under </w:t>
      </w:r>
      <w:r w:rsidRPr="00F81B47">
        <w:rPr>
          <w:color w:val="000000"/>
          <w:lang w:val="en-US" w:eastAsia="en-US"/>
        </w:rPr>
        <w:t>RET</w:t>
      </w:r>
      <w:r w:rsidRPr="00F81B47">
        <w:rPr>
          <w:color w:val="000000"/>
          <w:vertAlign w:val="subscript"/>
          <w:lang w:val="en-US" w:eastAsia="en-US"/>
        </w:rPr>
        <w:t>1993-1998</w:t>
      </w:r>
      <w:r>
        <w:rPr>
          <w:color w:val="000000"/>
          <w:lang w:val="en-US" w:eastAsia="en-US"/>
        </w:rPr>
        <w:t>,</w:t>
      </w:r>
      <w:r w:rsidRPr="001255A8">
        <w:rPr>
          <w:color w:val="000000"/>
          <w:lang w:val="en-US" w:eastAsia="en-US"/>
        </w:rPr>
        <w:t xml:space="preserve"> </w:t>
      </w:r>
      <w:r w:rsidRPr="00F81B47">
        <w:rPr>
          <w:color w:val="000000"/>
          <w:lang w:val="en-US" w:eastAsia="en-US"/>
        </w:rPr>
        <w:t>R</w:t>
      </w:r>
      <w:r w:rsidRPr="00F81B47">
        <w:rPr>
          <w:color w:val="000000"/>
          <w:vertAlign w:val="subscript"/>
          <w:lang w:val="en-US" w:eastAsia="en-US"/>
        </w:rPr>
        <w:t>2001-201</w:t>
      </w:r>
      <w:r w:rsidR="00647374">
        <w:rPr>
          <w:color w:val="000000"/>
          <w:vertAlign w:val="subscript"/>
          <w:lang w:val="en-US" w:eastAsia="en-US"/>
        </w:rPr>
        <w:t>0</w:t>
      </w:r>
      <w:r>
        <w:rPr>
          <w:color w:val="000000"/>
          <w:lang w:val="en-US" w:eastAsia="en-US"/>
        </w:rPr>
        <w:t xml:space="preserve">, and </w:t>
      </w:r>
      <w:r w:rsidRPr="00F81B47">
        <w:rPr>
          <w:color w:val="000000"/>
          <w:lang w:val="en-US" w:eastAsia="en-US"/>
        </w:rPr>
        <w:t>BM</w:t>
      </w:r>
      <w:r w:rsidRPr="00F81B47">
        <w:rPr>
          <w:color w:val="000000"/>
          <w:vertAlign w:val="subscript"/>
          <w:lang w:val="en-US" w:eastAsia="en-US"/>
        </w:rPr>
        <w:t>NC</w:t>
      </w:r>
      <w:proofErr w:type="gramStart"/>
      <w:r w:rsidRPr="00F81B47">
        <w:rPr>
          <w:color w:val="000000"/>
          <w:vertAlign w:val="subscript"/>
          <w:lang w:val="en-US" w:eastAsia="en-US"/>
        </w:rPr>
        <w:t>,1994</w:t>
      </w:r>
      <w:proofErr w:type="gramEnd"/>
      <w:r w:rsidRPr="00F81B47">
        <w:rPr>
          <w:color w:val="000000"/>
          <w:vertAlign w:val="subscript"/>
          <w:lang w:val="en-US" w:eastAsia="en-US"/>
        </w:rPr>
        <w:t>-1998</w:t>
      </w:r>
      <w:r>
        <w:rPr>
          <w:color w:val="000000"/>
          <w:lang w:val="en-US" w:eastAsia="en-US"/>
        </w:rPr>
        <w:t>.</w:t>
      </w:r>
    </w:p>
    <w:p w:rsidR="001255A8" w:rsidRDefault="001255A8" w:rsidP="002F1A19">
      <w:pPr>
        <w:numPr>
          <w:ilvl w:val="1"/>
          <w:numId w:val="16"/>
        </w:numPr>
      </w:pPr>
      <w:r>
        <w:t>Season convention corresponding with values under</w:t>
      </w:r>
      <w:r w:rsidR="006D008C">
        <w:t xml:space="preserve"> </w:t>
      </w:r>
      <w:r w:rsidRPr="00F81B47">
        <w:rPr>
          <w:color w:val="000000"/>
          <w:lang w:val="en-US" w:eastAsia="en-US"/>
        </w:rPr>
        <w:t>BM</w:t>
      </w:r>
      <w:r w:rsidRPr="00F81B47">
        <w:rPr>
          <w:color w:val="000000"/>
          <w:vertAlign w:val="subscript"/>
          <w:lang w:val="en-US" w:eastAsia="en-US"/>
        </w:rPr>
        <w:t>GF</w:t>
      </w:r>
      <w:proofErr w:type="gramStart"/>
      <w:r w:rsidRPr="00F81B47">
        <w:rPr>
          <w:color w:val="000000"/>
          <w:vertAlign w:val="subscript"/>
          <w:lang w:val="en-US" w:eastAsia="en-US"/>
        </w:rPr>
        <w:t>,92</w:t>
      </w:r>
      <w:proofErr w:type="gramEnd"/>
      <w:r w:rsidRPr="00F81B47">
        <w:rPr>
          <w:color w:val="000000"/>
          <w:vertAlign w:val="subscript"/>
          <w:lang w:val="en-US" w:eastAsia="en-US"/>
        </w:rPr>
        <w:t>/93-98/99</w:t>
      </w:r>
      <w:r w:rsidR="006D008C" w:rsidRPr="006D008C">
        <w:rPr>
          <w:color w:val="000000"/>
          <w:lang w:val="en-US" w:eastAsia="en-US"/>
        </w:rPr>
        <w:t>.</w:t>
      </w:r>
    </w:p>
    <w:p w:rsidR="00010A75" w:rsidRDefault="003133BB" w:rsidP="00010A75">
      <w:pPr>
        <w:ind w:left="864" w:hanging="864"/>
        <w:jc w:val="both"/>
      </w:pPr>
      <w:r>
        <w:br w:type="page"/>
      </w:r>
      <w:r w:rsidR="00010A75">
        <w:lastRenderedPageBreak/>
        <w:t xml:space="preserve"> </w:t>
      </w:r>
    </w:p>
    <w:p w:rsidR="00BE14C8" w:rsidRDefault="0018473E" w:rsidP="00DB05AF">
      <w:pPr>
        <w:ind w:left="864" w:hanging="864"/>
        <w:jc w:val="both"/>
      </w:pPr>
      <w:proofErr w:type="gramStart"/>
      <w:r>
        <w:t>Table 5</w:t>
      </w:r>
      <w:r w:rsidR="00234F95">
        <w:t>.</w:t>
      </w:r>
      <w:proofErr w:type="gramEnd"/>
      <w:r w:rsidR="00234F95">
        <w:t xml:space="preserve"> </w:t>
      </w:r>
      <w:r w:rsidR="00234F95" w:rsidRPr="006A0BEC">
        <w:t xml:space="preserve">Statistics for 1,000 bootstrap </w:t>
      </w:r>
      <w:r w:rsidR="00D72D00" w:rsidRPr="006A0BEC">
        <w:t>201</w:t>
      </w:r>
      <w:r w:rsidR="006A0BEC" w:rsidRPr="006A0BEC">
        <w:t>4</w:t>
      </w:r>
      <w:r w:rsidR="00D72D00" w:rsidRPr="006A0BEC">
        <w:t xml:space="preserve"> </w:t>
      </w:r>
      <w:r w:rsidR="00234F95" w:rsidRPr="006A0BEC">
        <w:t xml:space="preserve">OFL </w:t>
      </w:r>
      <w:r w:rsidR="00D72D00" w:rsidRPr="006A0BEC">
        <w:t xml:space="preserve">for Pribilof Islands golden king crab stock </w:t>
      </w:r>
      <w:r w:rsidR="00234F95" w:rsidRPr="006A0BEC">
        <w:t>calcula</w:t>
      </w:r>
      <w:r w:rsidR="001A6F94" w:rsidRPr="006A0BEC">
        <w:t>ted according to Alternatives 1</w:t>
      </w:r>
      <w:r w:rsidR="00234F95" w:rsidRPr="006A0BEC">
        <w:t xml:space="preserve"> with the computed OFL for comparison.</w:t>
      </w:r>
    </w:p>
    <w:p w:rsidR="00234F95" w:rsidRDefault="00234F95" w:rsidP="001707B6">
      <w:pPr>
        <w:ind w:left="864" w:hanging="864"/>
      </w:pPr>
    </w:p>
    <w:tbl>
      <w:tblPr>
        <w:tblW w:w="6059" w:type="dxa"/>
        <w:tblInd w:w="90" w:type="dxa"/>
        <w:tblLook w:val="04A0"/>
      </w:tblPr>
      <w:tblGrid>
        <w:gridCol w:w="3950"/>
        <w:gridCol w:w="2109"/>
      </w:tblGrid>
      <w:tr w:rsidR="00010A75" w:rsidRPr="006A0BEC" w:rsidTr="00010A75">
        <w:trPr>
          <w:trHeight w:val="315"/>
        </w:trPr>
        <w:tc>
          <w:tcPr>
            <w:tcW w:w="3950" w:type="dxa"/>
            <w:tcBorders>
              <w:top w:val="single" w:sz="4" w:space="0" w:color="auto"/>
              <w:left w:val="nil"/>
              <w:bottom w:val="single" w:sz="4" w:space="0" w:color="auto"/>
              <w:right w:val="nil"/>
            </w:tcBorders>
            <w:shd w:val="clear" w:color="auto" w:fill="auto"/>
            <w:noWrap/>
            <w:vAlign w:val="bottom"/>
            <w:hideMark/>
          </w:tcPr>
          <w:p w:rsidR="00010A75" w:rsidRPr="00A37E9D" w:rsidRDefault="00010A75" w:rsidP="0023752A">
            <w:pPr>
              <w:rPr>
                <w:color w:val="000000"/>
                <w:lang w:val="en-US" w:eastAsia="en-US"/>
              </w:rPr>
            </w:pPr>
            <w:r w:rsidRPr="00A37E9D">
              <w:rPr>
                <w:color w:val="000000"/>
                <w:lang w:val="en-US" w:eastAsia="en-US"/>
              </w:rPr>
              <w:t> </w:t>
            </w:r>
          </w:p>
        </w:tc>
        <w:tc>
          <w:tcPr>
            <w:tcW w:w="2109" w:type="dxa"/>
            <w:tcBorders>
              <w:top w:val="single" w:sz="4" w:space="0" w:color="auto"/>
              <w:left w:val="nil"/>
              <w:bottom w:val="single" w:sz="4" w:space="0" w:color="auto"/>
              <w:right w:val="nil"/>
            </w:tcBorders>
            <w:shd w:val="clear" w:color="auto" w:fill="auto"/>
            <w:noWrap/>
            <w:vAlign w:val="bottom"/>
            <w:hideMark/>
          </w:tcPr>
          <w:p w:rsidR="00010A75" w:rsidRPr="00A37E9D" w:rsidRDefault="00010A75" w:rsidP="0023752A">
            <w:pPr>
              <w:rPr>
                <w:color w:val="000000"/>
                <w:lang w:val="en-US" w:eastAsia="en-US"/>
              </w:rPr>
            </w:pPr>
            <w:r w:rsidRPr="00A37E9D">
              <w:rPr>
                <w:color w:val="000000"/>
                <w:lang w:val="en-US" w:eastAsia="en-US"/>
              </w:rPr>
              <w:t>Alternative 1</w:t>
            </w:r>
            <w:r>
              <w:rPr>
                <w:color w:val="000000"/>
                <w:lang w:val="en-US" w:eastAsia="en-US"/>
              </w:rPr>
              <w:t xml:space="preserve"> OFL</w:t>
            </w:r>
          </w:p>
        </w:tc>
      </w:tr>
      <w:tr w:rsidR="00010A75" w:rsidRPr="006A0BEC" w:rsidTr="00010A75">
        <w:trPr>
          <w:trHeight w:val="315"/>
        </w:trPr>
        <w:tc>
          <w:tcPr>
            <w:tcW w:w="3950" w:type="dxa"/>
            <w:tcBorders>
              <w:top w:val="nil"/>
              <w:left w:val="nil"/>
              <w:bottom w:val="nil"/>
              <w:right w:val="nil"/>
            </w:tcBorders>
            <w:shd w:val="clear" w:color="auto" w:fill="auto"/>
            <w:noWrap/>
            <w:vAlign w:val="bottom"/>
            <w:hideMark/>
          </w:tcPr>
          <w:p w:rsidR="00010A75" w:rsidRPr="00A37E9D" w:rsidRDefault="00010A75" w:rsidP="0023752A">
            <w:pPr>
              <w:rPr>
                <w:color w:val="000000"/>
                <w:lang w:val="en-US" w:eastAsia="en-US"/>
              </w:rPr>
            </w:pPr>
            <w:r>
              <w:rPr>
                <w:color w:val="000000"/>
                <w:lang w:val="en-US" w:eastAsia="en-US"/>
              </w:rPr>
              <w:t xml:space="preserve">Computed </w:t>
            </w:r>
            <w:r w:rsidRPr="00A37E9D">
              <w:rPr>
                <w:color w:val="000000"/>
                <w:lang w:val="en-US" w:eastAsia="en-US"/>
              </w:rPr>
              <w:t>OFL</w:t>
            </w:r>
          </w:p>
        </w:tc>
        <w:tc>
          <w:tcPr>
            <w:tcW w:w="2109" w:type="dxa"/>
            <w:tcBorders>
              <w:top w:val="nil"/>
              <w:left w:val="nil"/>
              <w:bottom w:val="nil"/>
              <w:right w:val="nil"/>
            </w:tcBorders>
            <w:shd w:val="clear" w:color="auto" w:fill="auto"/>
            <w:noWrap/>
            <w:vAlign w:val="bottom"/>
            <w:hideMark/>
          </w:tcPr>
          <w:p w:rsidR="00010A75" w:rsidRDefault="00010A75">
            <w:pPr>
              <w:jc w:val="right"/>
              <w:rPr>
                <w:color w:val="000000"/>
              </w:rPr>
            </w:pPr>
            <w:r>
              <w:rPr>
                <w:color w:val="000000"/>
              </w:rPr>
              <w:t>204,611</w:t>
            </w:r>
          </w:p>
        </w:tc>
      </w:tr>
      <w:tr w:rsidR="00010A75" w:rsidRPr="006A0BEC" w:rsidTr="00010A75">
        <w:trPr>
          <w:trHeight w:val="315"/>
        </w:trPr>
        <w:tc>
          <w:tcPr>
            <w:tcW w:w="3950" w:type="dxa"/>
            <w:tcBorders>
              <w:top w:val="nil"/>
              <w:left w:val="nil"/>
              <w:bottom w:val="nil"/>
              <w:right w:val="nil"/>
            </w:tcBorders>
            <w:shd w:val="clear" w:color="auto" w:fill="auto"/>
            <w:noWrap/>
            <w:vAlign w:val="bottom"/>
            <w:hideMark/>
          </w:tcPr>
          <w:p w:rsidR="00010A75" w:rsidRPr="00A37E9D" w:rsidRDefault="00010A75" w:rsidP="0023752A">
            <w:pPr>
              <w:rPr>
                <w:color w:val="000000"/>
                <w:lang w:val="en-US" w:eastAsia="en-US"/>
              </w:rPr>
            </w:pPr>
            <w:r w:rsidRPr="00A37E9D">
              <w:rPr>
                <w:color w:val="000000"/>
                <w:lang w:val="en-US" w:eastAsia="en-US"/>
              </w:rPr>
              <w:t>Mean of 1,000 bootstrapped OFLs</w:t>
            </w:r>
          </w:p>
        </w:tc>
        <w:tc>
          <w:tcPr>
            <w:tcW w:w="2109" w:type="dxa"/>
            <w:tcBorders>
              <w:top w:val="nil"/>
              <w:left w:val="nil"/>
              <w:bottom w:val="nil"/>
              <w:right w:val="nil"/>
            </w:tcBorders>
            <w:shd w:val="clear" w:color="auto" w:fill="auto"/>
            <w:noWrap/>
            <w:vAlign w:val="bottom"/>
            <w:hideMark/>
          </w:tcPr>
          <w:p w:rsidR="00010A75" w:rsidRDefault="00010A75">
            <w:pPr>
              <w:jc w:val="right"/>
              <w:rPr>
                <w:color w:val="000000"/>
              </w:rPr>
            </w:pPr>
            <w:r>
              <w:rPr>
                <w:color w:val="000000"/>
              </w:rPr>
              <w:t>203,870</w:t>
            </w:r>
          </w:p>
        </w:tc>
      </w:tr>
      <w:tr w:rsidR="00010A75" w:rsidRPr="006A0BEC" w:rsidTr="00010A75">
        <w:trPr>
          <w:trHeight w:val="315"/>
        </w:trPr>
        <w:tc>
          <w:tcPr>
            <w:tcW w:w="3950" w:type="dxa"/>
            <w:tcBorders>
              <w:top w:val="nil"/>
              <w:left w:val="nil"/>
              <w:bottom w:val="nil"/>
              <w:right w:val="nil"/>
            </w:tcBorders>
            <w:shd w:val="clear" w:color="auto" w:fill="auto"/>
            <w:noWrap/>
            <w:vAlign w:val="bottom"/>
            <w:hideMark/>
          </w:tcPr>
          <w:p w:rsidR="00010A75" w:rsidRPr="00A37E9D" w:rsidRDefault="00010A75" w:rsidP="0023752A">
            <w:pPr>
              <w:rPr>
                <w:color w:val="000000"/>
                <w:lang w:val="en-US" w:eastAsia="en-US"/>
              </w:rPr>
            </w:pPr>
            <w:r w:rsidRPr="00A37E9D">
              <w:rPr>
                <w:color w:val="000000"/>
                <w:lang w:val="en-US" w:eastAsia="en-US"/>
              </w:rPr>
              <w:t>Std. dev. of 1,000 bootstrapped OFLs</w:t>
            </w:r>
          </w:p>
        </w:tc>
        <w:tc>
          <w:tcPr>
            <w:tcW w:w="2109" w:type="dxa"/>
            <w:tcBorders>
              <w:top w:val="nil"/>
              <w:left w:val="nil"/>
              <w:bottom w:val="nil"/>
              <w:right w:val="nil"/>
            </w:tcBorders>
            <w:shd w:val="clear" w:color="auto" w:fill="auto"/>
            <w:noWrap/>
            <w:vAlign w:val="bottom"/>
            <w:hideMark/>
          </w:tcPr>
          <w:p w:rsidR="00010A75" w:rsidRDefault="00010A75">
            <w:pPr>
              <w:jc w:val="right"/>
              <w:rPr>
                <w:color w:val="000000"/>
              </w:rPr>
            </w:pPr>
            <w:r>
              <w:rPr>
                <w:color w:val="000000"/>
              </w:rPr>
              <w:t>51,030</w:t>
            </w:r>
          </w:p>
        </w:tc>
      </w:tr>
      <w:tr w:rsidR="00010A75" w:rsidRPr="006A0BEC" w:rsidTr="00010A75">
        <w:trPr>
          <w:trHeight w:val="315"/>
        </w:trPr>
        <w:tc>
          <w:tcPr>
            <w:tcW w:w="3950" w:type="dxa"/>
            <w:tcBorders>
              <w:top w:val="nil"/>
              <w:left w:val="nil"/>
              <w:bottom w:val="single" w:sz="4" w:space="0" w:color="auto"/>
              <w:right w:val="nil"/>
            </w:tcBorders>
            <w:shd w:val="clear" w:color="auto" w:fill="auto"/>
            <w:noWrap/>
            <w:vAlign w:val="bottom"/>
            <w:hideMark/>
          </w:tcPr>
          <w:p w:rsidR="00010A75" w:rsidRPr="00A37E9D" w:rsidRDefault="00010A75" w:rsidP="0023752A">
            <w:pPr>
              <w:rPr>
                <w:color w:val="000000"/>
                <w:lang w:val="en-US" w:eastAsia="en-US"/>
              </w:rPr>
            </w:pPr>
            <w:r w:rsidRPr="00A37E9D">
              <w:rPr>
                <w:color w:val="000000"/>
                <w:lang w:val="en-US" w:eastAsia="en-US"/>
              </w:rPr>
              <w:t>CV = (std. dev.)/(Mean)</w:t>
            </w:r>
          </w:p>
        </w:tc>
        <w:tc>
          <w:tcPr>
            <w:tcW w:w="2109" w:type="dxa"/>
            <w:tcBorders>
              <w:top w:val="nil"/>
              <w:left w:val="nil"/>
              <w:bottom w:val="single" w:sz="4" w:space="0" w:color="auto"/>
              <w:right w:val="nil"/>
            </w:tcBorders>
            <w:shd w:val="clear" w:color="auto" w:fill="auto"/>
            <w:noWrap/>
            <w:vAlign w:val="bottom"/>
            <w:hideMark/>
          </w:tcPr>
          <w:p w:rsidR="00010A75" w:rsidRDefault="00010A75">
            <w:pPr>
              <w:jc w:val="right"/>
              <w:rPr>
                <w:color w:val="000000"/>
              </w:rPr>
            </w:pPr>
            <w:r>
              <w:rPr>
                <w:color w:val="000000"/>
              </w:rPr>
              <w:t>0.25</w:t>
            </w:r>
          </w:p>
        </w:tc>
      </w:tr>
    </w:tbl>
    <w:p w:rsidR="00234F95" w:rsidRDefault="00234F95" w:rsidP="001707B6">
      <w:pPr>
        <w:ind w:left="864" w:hanging="864"/>
      </w:pPr>
    </w:p>
    <w:p w:rsidR="001707B6" w:rsidRPr="001F6CB3" w:rsidRDefault="00F81B47" w:rsidP="001707B6">
      <w:pPr>
        <w:ind w:left="864" w:hanging="864"/>
      </w:pPr>
      <w:r>
        <w:br w:type="page"/>
      </w:r>
    </w:p>
    <w:p w:rsidR="0052646F" w:rsidRPr="00B2234D" w:rsidRDefault="0052646F" w:rsidP="006439D2">
      <w:pPr>
        <w:jc w:val="both"/>
        <w:rPr>
          <w:sz w:val="20"/>
          <w:szCs w:val="20"/>
          <w:lang w:val="en-US" w:eastAsia="en-US"/>
        </w:rPr>
      </w:pPr>
    </w:p>
    <w:p w:rsidR="002C74C8" w:rsidRDefault="00E57103" w:rsidP="00EA06DC">
      <w:pPr>
        <w:pStyle w:val="Caption"/>
        <w:tabs>
          <w:tab w:val="clear" w:pos="720"/>
          <w:tab w:val="clear" w:pos="1440"/>
        </w:tabs>
        <w:ind w:left="936" w:hanging="936"/>
      </w:pPr>
      <w:r>
        <w:rPr>
          <w:noProof/>
          <w:snapToGrid/>
        </w:rPr>
        <w:drawing>
          <wp:inline distT="0" distB="0" distL="0" distR="0">
            <wp:extent cx="5673090" cy="3799205"/>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73090" cy="3799205"/>
                    </a:xfrm>
                    <a:prstGeom prst="rect">
                      <a:avLst/>
                    </a:prstGeom>
                    <a:noFill/>
                    <a:ln w="9525">
                      <a:noFill/>
                      <a:miter lim="800000"/>
                      <a:headEnd/>
                      <a:tailEnd/>
                    </a:ln>
                  </pic:spPr>
                </pic:pic>
              </a:graphicData>
            </a:graphic>
          </wp:inline>
        </w:drawing>
      </w:r>
    </w:p>
    <w:p w:rsidR="00CC23F6" w:rsidRDefault="00430C28" w:rsidP="004F3C9A">
      <w:pPr>
        <w:pStyle w:val="Caption"/>
        <w:tabs>
          <w:tab w:val="clear" w:pos="720"/>
          <w:tab w:val="clear" w:pos="1440"/>
        </w:tabs>
        <w:ind w:left="936" w:hanging="936"/>
        <w:jc w:val="both"/>
        <w:rPr>
          <w:sz w:val="24"/>
          <w:szCs w:val="24"/>
          <w:u w:val="none"/>
        </w:rPr>
      </w:pPr>
      <w:proofErr w:type="gramStart"/>
      <w:r w:rsidRPr="00286744">
        <w:rPr>
          <w:sz w:val="24"/>
          <w:szCs w:val="24"/>
          <w:u w:val="none"/>
        </w:rPr>
        <w:t>Figure 1.</w:t>
      </w:r>
      <w:proofErr w:type="gramEnd"/>
      <w:r w:rsidRPr="00286744">
        <w:rPr>
          <w:sz w:val="24"/>
          <w:szCs w:val="24"/>
          <w:u w:val="none"/>
        </w:rPr>
        <w:t xml:space="preserve"> </w:t>
      </w:r>
      <w:r w:rsidR="002C74C8" w:rsidRPr="00010A75">
        <w:rPr>
          <w:rStyle w:val="CaptiontitleChar"/>
          <w:sz w:val="24"/>
          <w:szCs w:val="24"/>
          <w:u w:val="none"/>
        </w:rPr>
        <w:t>King crab Registration Area Q (Bering Sea)</w:t>
      </w:r>
      <w:r w:rsidR="004F3C9A" w:rsidRPr="00010A75">
        <w:rPr>
          <w:rStyle w:val="CaptiontitleChar"/>
          <w:sz w:val="24"/>
          <w:szCs w:val="24"/>
          <w:u w:val="none"/>
        </w:rPr>
        <w:t xml:space="preserve">, showing borders of the Pribilof </w:t>
      </w:r>
      <w:proofErr w:type="gramStart"/>
      <w:r w:rsidR="0019189C" w:rsidRPr="00010A75">
        <w:rPr>
          <w:rStyle w:val="CaptiontitleChar"/>
          <w:sz w:val="24"/>
          <w:szCs w:val="24"/>
          <w:u w:val="none"/>
        </w:rPr>
        <w:t>District</w:t>
      </w:r>
      <w:r w:rsidR="004F3C9A" w:rsidRPr="00010A75">
        <w:rPr>
          <w:rStyle w:val="CaptiontitleChar"/>
          <w:sz w:val="24"/>
          <w:szCs w:val="24"/>
          <w:u w:val="none"/>
        </w:rPr>
        <w:t xml:space="preserve"> </w:t>
      </w:r>
      <w:r w:rsidR="002C74C8" w:rsidRPr="00010A75">
        <w:rPr>
          <w:sz w:val="24"/>
          <w:szCs w:val="24"/>
          <w:u w:val="none"/>
        </w:rPr>
        <w:t xml:space="preserve"> (</w:t>
      </w:r>
      <w:proofErr w:type="gramEnd"/>
      <w:r w:rsidR="002C74C8" w:rsidRPr="00010A75">
        <w:rPr>
          <w:sz w:val="24"/>
          <w:szCs w:val="24"/>
          <w:u w:val="none"/>
        </w:rPr>
        <w:t xml:space="preserve">from </w:t>
      </w:r>
      <w:r w:rsidR="00B64614" w:rsidRPr="00010A75">
        <w:rPr>
          <w:sz w:val="24"/>
          <w:szCs w:val="24"/>
          <w:u w:val="none"/>
        </w:rPr>
        <w:t xml:space="preserve">Figure 2-4 </w:t>
      </w:r>
      <w:r w:rsidR="00B64614" w:rsidRPr="00010A75">
        <w:rPr>
          <w:i/>
          <w:sz w:val="24"/>
          <w:szCs w:val="24"/>
          <w:u w:val="none"/>
        </w:rPr>
        <w:t>in</w:t>
      </w:r>
      <w:r w:rsidR="00B64614" w:rsidRPr="00010A75">
        <w:rPr>
          <w:sz w:val="24"/>
          <w:szCs w:val="24"/>
          <w:u w:val="none"/>
        </w:rPr>
        <w:t xml:space="preserve"> </w:t>
      </w:r>
      <w:r w:rsidR="00010A75" w:rsidRPr="00010A75">
        <w:rPr>
          <w:sz w:val="24"/>
          <w:szCs w:val="24"/>
          <w:u w:val="none"/>
        </w:rPr>
        <w:t>Fitch</w:t>
      </w:r>
      <w:r w:rsidR="002C74C8" w:rsidRPr="00010A75">
        <w:rPr>
          <w:sz w:val="24"/>
          <w:szCs w:val="24"/>
          <w:u w:val="none"/>
        </w:rPr>
        <w:t xml:space="preserve"> et al. 20</w:t>
      </w:r>
      <w:r w:rsidR="00B64614" w:rsidRPr="00010A75">
        <w:rPr>
          <w:sz w:val="24"/>
          <w:szCs w:val="24"/>
          <w:u w:val="none"/>
        </w:rPr>
        <w:t>1</w:t>
      </w:r>
      <w:r w:rsidR="00010A75" w:rsidRPr="00010A75">
        <w:rPr>
          <w:sz w:val="24"/>
          <w:szCs w:val="24"/>
          <w:u w:val="none"/>
        </w:rPr>
        <w:t>2</w:t>
      </w:r>
      <w:r w:rsidR="002C74C8" w:rsidRPr="00010A75">
        <w:rPr>
          <w:sz w:val="24"/>
          <w:szCs w:val="24"/>
          <w:u w:val="none"/>
        </w:rPr>
        <w:t>).</w:t>
      </w:r>
    </w:p>
    <w:p w:rsidR="00E10DBF" w:rsidRDefault="00E10DBF" w:rsidP="007644C6">
      <w:pPr>
        <w:pStyle w:val="Caption"/>
        <w:tabs>
          <w:tab w:val="clear" w:pos="720"/>
          <w:tab w:val="clear" w:pos="1440"/>
        </w:tabs>
        <w:jc w:val="both"/>
        <w:rPr>
          <w:sz w:val="24"/>
          <w:szCs w:val="24"/>
          <w:u w:val="none"/>
        </w:rPr>
      </w:pPr>
      <w:r>
        <w:rPr>
          <w:sz w:val="24"/>
          <w:szCs w:val="24"/>
          <w:u w:val="none"/>
        </w:rPr>
        <w:br w:type="page"/>
      </w:r>
    </w:p>
    <w:p w:rsidR="00E10DBF" w:rsidRDefault="00E10DBF" w:rsidP="007644C6">
      <w:pPr>
        <w:pStyle w:val="Caption"/>
        <w:tabs>
          <w:tab w:val="clear" w:pos="720"/>
          <w:tab w:val="clear" w:pos="1440"/>
        </w:tabs>
        <w:jc w:val="both"/>
        <w:rPr>
          <w:sz w:val="24"/>
          <w:szCs w:val="24"/>
          <w:u w:val="none"/>
        </w:rPr>
      </w:pPr>
    </w:p>
    <w:p w:rsidR="00C67A90" w:rsidRDefault="00C67A90" w:rsidP="00954A59">
      <w:pPr>
        <w:jc w:val="both"/>
      </w:pPr>
    </w:p>
    <w:p w:rsidR="00FC735E" w:rsidRDefault="00E57103" w:rsidP="00954A59">
      <w:pPr>
        <w:jc w:val="both"/>
      </w:pPr>
      <w:r>
        <w:rPr>
          <w:noProof/>
          <w:lang w:val="en-US" w:eastAsia="en-US"/>
        </w:rPr>
        <w:drawing>
          <wp:inline distT="0" distB="0" distL="0" distR="0">
            <wp:extent cx="2620645" cy="2208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620645" cy="2208530"/>
                    </a:xfrm>
                    <a:prstGeom prst="rect">
                      <a:avLst/>
                    </a:prstGeom>
                    <a:noFill/>
                    <a:ln w="9525">
                      <a:noFill/>
                      <a:miter lim="800000"/>
                      <a:headEnd/>
                      <a:tailEnd/>
                    </a:ln>
                  </pic:spPr>
                </pic:pic>
              </a:graphicData>
            </a:graphic>
          </wp:inline>
        </w:drawing>
      </w:r>
      <w:r w:rsidR="00B14DC5" w:rsidRPr="00B14DC5">
        <w:t xml:space="preserve"> </w:t>
      </w:r>
      <w:r>
        <w:rPr>
          <w:noProof/>
          <w:lang w:val="en-US" w:eastAsia="en-US"/>
        </w:rPr>
        <w:drawing>
          <wp:inline distT="0" distB="0" distL="0" distR="0">
            <wp:extent cx="2343785" cy="22085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343785" cy="2208530"/>
                    </a:xfrm>
                    <a:prstGeom prst="rect">
                      <a:avLst/>
                    </a:prstGeom>
                    <a:noFill/>
                    <a:ln w="9525">
                      <a:noFill/>
                      <a:miter lim="800000"/>
                      <a:headEnd/>
                      <a:tailEnd/>
                    </a:ln>
                  </pic:spPr>
                </pic:pic>
              </a:graphicData>
            </a:graphic>
          </wp:inline>
        </w:drawing>
      </w:r>
    </w:p>
    <w:p w:rsidR="00FC735E" w:rsidRDefault="00FC735E" w:rsidP="00954A59">
      <w:pPr>
        <w:jc w:val="both"/>
      </w:pPr>
    </w:p>
    <w:p w:rsidR="00FC735E" w:rsidRDefault="00FC735E" w:rsidP="00954A59">
      <w:pPr>
        <w:jc w:val="both"/>
      </w:pPr>
    </w:p>
    <w:p w:rsidR="00CC4526" w:rsidRDefault="00B0503A" w:rsidP="00CC4526">
      <w:pPr>
        <w:ind w:left="1080" w:hanging="1080"/>
        <w:jc w:val="both"/>
        <w:rPr>
          <w:szCs w:val="22"/>
        </w:rPr>
      </w:pPr>
      <w:proofErr w:type="gramStart"/>
      <w:r>
        <w:t xml:space="preserve">Figure </w:t>
      </w:r>
      <w:r w:rsidR="00774E55">
        <w:t>2</w:t>
      </w:r>
      <w:r w:rsidR="00CC4526">
        <w:t>.</w:t>
      </w:r>
      <w:proofErr w:type="gramEnd"/>
      <w:r w:rsidR="00CC4526">
        <w:t xml:space="preserve"> </w:t>
      </w:r>
      <w:r w:rsidR="00CC4526">
        <w:rPr>
          <w:szCs w:val="22"/>
        </w:rPr>
        <w:t xml:space="preserve">Bootstrapped estimates of the sampling distribution of the Alternative 1 </w:t>
      </w:r>
      <w:r w:rsidR="00A93A58">
        <w:rPr>
          <w:szCs w:val="22"/>
        </w:rPr>
        <w:t>201</w:t>
      </w:r>
      <w:r w:rsidR="006A0BEC">
        <w:rPr>
          <w:szCs w:val="22"/>
        </w:rPr>
        <w:t>4</w:t>
      </w:r>
      <w:r w:rsidR="00CC4526">
        <w:rPr>
          <w:szCs w:val="22"/>
        </w:rPr>
        <w:t xml:space="preserve"> Tier 5 OFLs </w:t>
      </w:r>
      <w:r w:rsidR="005B1ABF">
        <w:rPr>
          <w:szCs w:val="22"/>
        </w:rPr>
        <w:t xml:space="preserve">(pounds of total catch) </w:t>
      </w:r>
      <w:r w:rsidR="00CC4526">
        <w:rPr>
          <w:szCs w:val="22"/>
        </w:rPr>
        <w:t xml:space="preserve">for the Pribilof Islands golden king crab stock; histograms in left column, </w:t>
      </w:r>
      <w:proofErr w:type="spellStart"/>
      <w:r w:rsidR="00CC4526">
        <w:rPr>
          <w:szCs w:val="22"/>
        </w:rPr>
        <w:t>quantile</w:t>
      </w:r>
      <w:proofErr w:type="spellEnd"/>
      <w:r w:rsidR="00CC4526">
        <w:rPr>
          <w:szCs w:val="22"/>
        </w:rPr>
        <w:t xml:space="preserve"> plots in right column.</w:t>
      </w:r>
    </w:p>
    <w:p w:rsidR="00A938DF" w:rsidRDefault="00A938DF" w:rsidP="00954A59">
      <w:pPr>
        <w:jc w:val="both"/>
      </w:pPr>
    </w:p>
    <w:sectPr w:rsidR="00A938DF" w:rsidSect="0020725C">
      <w:headerReference w:type="even" r:id="rId15"/>
      <w:headerReference w:type="default" r:id="rId16"/>
      <w:pgSz w:w="11906" w:h="16838"/>
      <w:pgMar w:top="126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7B8" w:rsidRDefault="005647B8">
      <w:r>
        <w:separator/>
      </w:r>
    </w:p>
  </w:endnote>
  <w:endnote w:type="continuationSeparator" w:id="0">
    <w:p w:rsidR="005647B8" w:rsidRDefault="00564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7B8" w:rsidRDefault="005647B8">
      <w:r>
        <w:separator/>
      </w:r>
    </w:p>
  </w:footnote>
  <w:footnote w:type="continuationSeparator" w:id="0">
    <w:p w:rsidR="005647B8" w:rsidRDefault="00564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2D" w:rsidRDefault="00CA7D2D" w:rsidP="002C1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D2D" w:rsidRDefault="00CA7D2D" w:rsidP="002C15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2D" w:rsidRDefault="00CA7D2D" w:rsidP="002C1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9DA">
      <w:rPr>
        <w:rStyle w:val="PageNumber"/>
        <w:noProof/>
      </w:rPr>
      <w:t>13</w:t>
    </w:r>
    <w:r>
      <w:rPr>
        <w:rStyle w:val="PageNumber"/>
      </w:rPr>
      <w:fldChar w:fldCharType="end"/>
    </w:r>
  </w:p>
  <w:p w:rsidR="00CA7D2D" w:rsidRDefault="00CA7D2D" w:rsidP="002C15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12"/>
      </v:shape>
    </w:pict>
  </w:numPicBullet>
  <w:abstractNum w:abstractNumId="0">
    <w:nsid w:val="FFFFFF89"/>
    <w:multiLevelType w:val="singleLevel"/>
    <w:tmpl w:val="3C584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5485E36"/>
    <w:lvl w:ilvl="0">
      <w:numFmt w:val="decimal"/>
      <w:pStyle w:val="nl"/>
      <w:lvlText w:val="*"/>
      <w:lvlJc w:val="left"/>
    </w:lvl>
  </w:abstractNum>
  <w:abstractNum w:abstractNumId="2">
    <w:nsid w:val="01F966E9"/>
    <w:multiLevelType w:val="hybridMultilevel"/>
    <w:tmpl w:val="3582325E"/>
    <w:lvl w:ilvl="0" w:tplc="A95011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CD2C6A"/>
    <w:multiLevelType w:val="hybridMultilevel"/>
    <w:tmpl w:val="248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61A65"/>
    <w:multiLevelType w:val="hybridMultilevel"/>
    <w:tmpl w:val="A1D86E12"/>
    <w:lvl w:ilvl="0" w:tplc="0C090019">
      <w:start w:val="1"/>
      <w:numFmt w:val="lowerLetter"/>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138A8"/>
    <w:multiLevelType w:val="hybridMultilevel"/>
    <w:tmpl w:val="A75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A2A5B"/>
    <w:multiLevelType w:val="hybridMultilevel"/>
    <w:tmpl w:val="220A25D2"/>
    <w:lvl w:ilvl="0" w:tplc="1D42B5D4">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B0010"/>
    <w:multiLevelType w:val="hybridMultilevel"/>
    <w:tmpl w:val="103E9E86"/>
    <w:lvl w:ilvl="0" w:tplc="723A9D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66487C"/>
    <w:multiLevelType w:val="hybridMultilevel"/>
    <w:tmpl w:val="00307D10"/>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1D92B41"/>
    <w:multiLevelType w:val="hybridMultilevel"/>
    <w:tmpl w:val="C16A80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B572C"/>
    <w:multiLevelType w:val="hybridMultilevel"/>
    <w:tmpl w:val="48F8B2A0"/>
    <w:lvl w:ilvl="0" w:tplc="21EE16A8">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47E88"/>
    <w:multiLevelType w:val="hybridMultilevel"/>
    <w:tmpl w:val="D33A0EC4"/>
    <w:lvl w:ilvl="0" w:tplc="2AAA0782">
      <w:start w:val="1"/>
      <w:numFmt w:val="decimal"/>
      <w:lvlText w:val="%1."/>
      <w:lvlJc w:val="left"/>
      <w:pPr>
        <w:tabs>
          <w:tab w:val="num" w:pos="360"/>
        </w:tabs>
        <w:ind w:left="360" w:hanging="360"/>
      </w:pPr>
      <w:rPr>
        <w:rFonts w:ascii="Times New Roman Bold" w:hAnsi="Times New Roman Bold" w:hint="default"/>
        <w:i w:val="0"/>
        <w:sz w:val="24"/>
        <w:szCs w:val="24"/>
      </w:rPr>
    </w:lvl>
    <w:lvl w:ilvl="1" w:tplc="B510BD9A">
      <w:start w:val="1"/>
      <w:numFmt w:val="lowerLetter"/>
      <w:lvlText w:val="%2."/>
      <w:lvlJc w:val="left"/>
      <w:pPr>
        <w:tabs>
          <w:tab w:val="num" w:pos="1080"/>
        </w:tabs>
        <w:ind w:left="1080" w:hanging="360"/>
      </w:pPr>
      <w:rPr>
        <w:rFonts w:ascii="Times New Roman" w:hAnsi="Times New Roman"/>
        <w:b w:val="0"/>
        <w:i w:val="0"/>
        <w:sz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28144ADF"/>
    <w:multiLevelType w:val="hybridMultilevel"/>
    <w:tmpl w:val="63508E66"/>
    <w:lvl w:ilvl="0" w:tplc="4B927C06">
      <w:start w:val="1"/>
      <w:numFmt w:val="lowerLetter"/>
      <w:lvlText w:val="%1."/>
      <w:lvlJc w:val="left"/>
      <w:pPr>
        <w:tabs>
          <w:tab w:val="num" w:pos="1080"/>
        </w:tabs>
        <w:ind w:left="1080"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E824A5"/>
    <w:multiLevelType w:val="hybridMultilevel"/>
    <w:tmpl w:val="1394932C"/>
    <w:lvl w:ilvl="0" w:tplc="DFE26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C4918"/>
    <w:multiLevelType w:val="hybridMultilevel"/>
    <w:tmpl w:val="111E26B4"/>
    <w:lvl w:ilvl="0" w:tplc="9BC4209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611596D"/>
    <w:multiLevelType w:val="hybridMultilevel"/>
    <w:tmpl w:val="F106058A"/>
    <w:lvl w:ilvl="0" w:tplc="0CCE9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1F3EA8"/>
    <w:multiLevelType w:val="hybridMultilevel"/>
    <w:tmpl w:val="535E9D4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E60357F"/>
    <w:multiLevelType w:val="hybridMultilevel"/>
    <w:tmpl w:val="11F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97A9F"/>
    <w:multiLevelType w:val="hybridMultilevel"/>
    <w:tmpl w:val="E1DEA05E"/>
    <w:lvl w:ilvl="0" w:tplc="E2E065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E22BF3"/>
    <w:multiLevelType w:val="hybridMultilevel"/>
    <w:tmpl w:val="682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529EB"/>
    <w:multiLevelType w:val="hybridMultilevel"/>
    <w:tmpl w:val="239A248C"/>
    <w:lvl w:ilvl="0" w:tplc="7DACB550">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E11511"/>
    <w:multiLevelType w:val="hybridMultilevel"/>
    <w:tmpl w:val="3FBA1880"/>
    <w:lvl w:ilvl="0" w:tplc="A190AF3E">
      <w:start w:val="1"/>
      <w:numFmt w:val="bullet"/>
      <w:pStyle w:val="bull"/>
      <w:lvlText w:val=""/>
      <w:lvlJc w:val="left"/>
      <w:pPr>
        <w:tabs>
          <w:tab w:val="num" w:pos="720"/>
        </w:tabs>
        <w:ind w:left="720" w:hanging="360"/>
      </w:pPr>
      <w:rPr>
        <w:rFonts w:ascii="Symbol" w:hAnsi="Symbol" w:hint="default"/>
      </w:rPr>
    </w:lvl>
    <w:lvl w:ilvl="1" w:tplc="5E1A62E0">
      <w:numFmt w:val="bullet"/>
      <w:lvlText w:val=""/>
      <w:lvlJc w:val="left"/>
      <w:pPr>
        <w:tabs>
          <w:tab w:val="num" w:pos="2520"/>
        </w:tabs>
        <w:ind w:left="2520" w:hanging="144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BA138D"/>
    <w:multiLevelType w:val="hybridMultilevel"/>
    <w:tmpl w:val="94FE6C56"/>
    <w:lvl w:ilvl="0" w:tplc="EFC02F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7679D0"/>
    <w:multiLevelType w:val="hybridMultilevel"/>
    <w:tmpl w:val="A1D86E12"/>
    <w:lvl w:ilvl="0" w:tplc="0C090019">
      <w:start w:val="1"/>
      <w:numFmt w:val="lowerLetter"/>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C76BE"/>
    <w:multiLevelType w:val="hybridMultilevel"/>
    <w:tmpl w:val="3CC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21F0C"/>
    <w:multiLevelType w:val="hybridMultilevel"/>
    <w:tmpl w:val="D1E84296"/>
    <w:lvl w:ilvl="0" w:tplc="0409000F">
      <w:start w:val="1"/>
      <w:numFmt w:val="decimal"/>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nsid w:val="53152683"/>
    <w:multiLevelType w:val="hybridMultilevel"/>
    <w:tmpl w:val="559EF6D0"/>
    <w:lvl w:ilvl="0" w:tplc="B36CCF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044278"/>
    <w:multiLevelType w:val="hybridMultilevel"/>
    <w:tmpl w:val="E3CCA7C4"/>
    <w:lvl w:ilvl="0" w:tplc="4B7647EE">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D876E5"/>
    <w:multiLevelType w:val="hybridMultilevel"/>
    <w:tmpl w:val="FC26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47758"/>
    <w:multiLevelType w:val="hybridMultilevel"/>
    <w:tmpl w:val="B8647538"/>
    <w:lvl w:ilvl="0" w:tplc="9BC4209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610B2690"/>
    <w:multiLevelType w:val="hybridMultilevel"/>
    <w:tmpl w:val="4BF8C674"/>
    <w:lvl w:ilvl="0" w:tplc="C35C42E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0B40A6"/>
    <w:multiLevelType w:val="hybridMultilevel"/>
    <w:tmpl w:val="F536B0A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1F54C38"/>
    <w:multiLevelType w:val="hybridMultilevel"/>
    <w:tmpl w:val="9796D9EE"/>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1080"/>
        </w:tabs>
        <w:ind w:left="1080" w:hanging="360"/>
      </w:pPr>
      <w:rPr>
        <w:rFonts w:ascii="Symbol" w:hAnsi="Symbol"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66981798"/>
    <w:multiLevelType w:val="hybridMultilevel"/>
    <w:tmpl w:val="610A33B2"/>
    <w:lvl w:ilvl="0" w:tplc="9BC4209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nsid w:val="693A13D3"/>
    <w:multiLevelType w:val="hybridMultilevel"/>
    <w:tmpl w:val="4156D3FE"/>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A952227"/>
    <w:multiLevelType w:val="hybridMultilevel"/>
    <w:tmpl w:val="825813AC"/>
    <w:lvl w:ilvl="0" w:tplc="EA24077C">
      <w:start w:val="3"/>
      <w:numFmt w:val="decimal"/>
      <w:lvlText w:val="%1."/>
      <w:lvlJc w:val="left"/>
      <w:pPr>
        <w:tabs>
          <w:tab w:val="num" w:pos="360"/>
        </w:tabs>
        <w:ind w:left="360" w:hanging="360"/>
      </w:pPr>
      <w:rPr>
        <w:rFonts w:hint="default"/>
      </w:rPr>
    </w:lvl>
    <w:lvl w:ilvl="1" w:tplc="4B7647EE">
      <w:start w:val="6"/>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297C02"/>
    <w:multiLevelType w:val="hybridMultilevel"/>
    <w:tmpl w:val="6296A58C"/>
    <w:lvl w:ilvl="0" w:tplc="E2BCC2AA">
      <w:start w:val="1"/>
      <w:numFmt w:val="decimal"/>
      <w:lvlText w:val="%1."/>
      <w:lvlJc w:val="left"/>
      <w:pPr>
        <w:tabs>
          <w:tab w:val="num" w:pos="720"/>
        </w:tabs>
        <w:ind w:left="720" w:hanging="360"/>
      </w:pPr>
      <w:rPr>
        <w:rFonts w:hint="default"/>
        <w:b/>
      </w:rPr>
    </w:lvl>
    <w:lvl w:ilvl="1" w:tplc="9F96C9D8">
      <w:start w:val="1"/>
      <w:numFmt w:val="lowerLetter"/>
      <w:lvlText w:val="%2."/>
      <w:lvlJc w:val="left"/>
      <w:pPr>
        <w:tabs>
          <w:tab w:val="num" w:pos="1440"/>
        </w:tabs>
        <w:ind w:left="1440" w:hanging="360"/>
      </w:pPr>
      <w:rPr>
        <w:b/>
        <w:i/>
      </w:rPr>
    </w:lvl>
    <w:lvl w:ilvl="2" w:tplc="87E83F7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EB279B9"/>
    <w:multiLevelType w:val="hybridMultilevel"/>
    <w:tmpl w:val="1EBC6B5A"/>
    <w:lvl w:ilvl="0" w:tplc="B3F67018">
      <w:start w:val="1"/>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nsid w:val="71692718"/>
    <w:multiLevelType w:val="hybridMultilevel"/>
    <w:tmpl w:val="C8560132"/>
    <w:lvl w:ilvl="0" w:tplc="D250E07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4759FB"/>
    <w:multiLevelType w:val="hybridMultilevel"/>
    <w:tmpl w:val="220A6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518F2"/>
    <w:multiLevelType w:val="hybridMultilevel"/>
    <w:tmpl w:val="828E0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696D27"/>
    <w:multiLevelType w:val="hybridMultilevel"/>
    <w:tmpl w:val="2392E1CC"/>
    <w:lvl w:ilvl="0" w:tplc="9BC42098">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nsid w:val="7735017E"/>
    <w:multiLevelType w:val="hybridMultilevel"/>
    <w:tmpl w:val="938E5656"/>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nsid w:val="7C7A2B67"/>
    <w:multiLevelType w:val="hybridMultilevel"/>
    <w:tmpl w:val="AB4AA7CA"/>
    <w:lvl w:ilvl="0" w:tplc="81E4AAFC">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pStyle w:val="nl"/>
        <w:lvlText w:val="!"/>
        <w:legacy w:legacy="1" w:legacySpace="0" w:legacyIndent="1"/>
        <w:lvlJc w:val="left"/>
        <w:pPr>
          <w:ind w:left="1" w:hanging="1"/>
        </w:pPr>
        <w:rPr>
          <w:rFonts w:ascii="WP TypographicSymbols" w:hAnsi="WP TypographicSymbols" w:hint="default"/>
        </w:rPr>
      </w:lvl>
    </w:lvlOverride>
  </w:num>
  <w:num w:numId="2">
    <w:abstractNumId w:val="0"/>
  </w:num>
  <w:num w:numId="3">
    <w:abstractNumId w:val="21"/>
  </w:num>
  <w:num w:numId="4">
    <w:abstractNumId w:val="29"/>
  </w:num>
  <w:num w:numId="5">
    <w:abstractNumId w:val="37"/>
  </w:num>
  <w:num w:numId="6">
    <w:abstractNumId w:val="41"/>
  </w:num>
  <w:num w:numId="7">
    <w:abstractNumId w:val="33"/>
  </w:num>
  <w:num w:numId="8">
    <w:abstractNumId w:val="14"/>
  </w:num>
  <w:num w:numId="9">
    <w:abstractNumId w:val="11"/>
  </w:num>
  <w:num w:numId="10">
    <w:abstractNumId w:val="36"/>
  </w:num>
  <w:num w:numId="11">
    <w:abstractNumId w:val="20"/>
  </w:num>
  <w:num w:numId="12">
    <w:abstractNumId w:val="7"/>
  </w:num>
  <w:num w:numId="13">
    <w:abstractNumId w:val="42"/>
  </w:num>
  <w:num w:numId="14">
    <w:abstractNumId w:val="34"/>
  </w:num>
  <w:num w:numId="15">
    <w:abstractNumId w:val="16"/>
  </w:num>
  <w:num w:numId="16">
    <w:abstractNumId w:val="25"/>
  </w:num>
  <w:num w:numId="17">
    <w:abstractNumId w:val="32"/>
  </w:num>
  <w:num w:numId="18">
    <w:abstractNumId w:val="13"/>
  </w:num>
  <w:num w:numId="19">
    <w:abstractNumId w:val="35"/>
  </w:num>
  <w:num w:numId="20">
    <w:abstractNumId w:val="40"/>
  </w:num>
  <w:num w:numId="21">
    <w:abstractNumId w:val="2"/>
  </w:num>
  <w:num w:numId="22">
    <w:abstractNumId w:val="38"/>
  </w:num>
  <w:num w:numId="23">
    <w:abstractNumId w:val="27"/>
  </w:num>
  <w:num w:numId="24">
    <w:abstractNumId w:val="30"/>
  </w:num>
  <w:num w:numId="25">
    <w:abstractNumId w:val="10"/>
  </w:num>
  <w:num w:numId="26">
    <w:abstractNumId w:val="18"/>
  </w:num>
  <w:num w:numId="27">
    <w:abstractNumId w:val="22"/>
  </w:num>
  <w:num w:numId="28">
    <w:abstractNumId w:val="15"/>
  </w:num>
  <w:num w:numId="29">
    <w:abstractNumId w:val="26"/>
  </w:num>
  <w:num w:numId="30">
    <w:abstractNumId w:val="9"/>
  </w:num>
  <w:num w:numId="31">
    <w:abstractNumId w:val="12"/>
  </w:num>
  <w:num w:numId="32">
    <w:abstractNumId w:val="3"/>
  </w:num>
  <w:num w:numId="33">
    <w:abstractNumId w:val="17"/>
  </w:num>
  <w:num w:numId="34">
    <w:abstractNumId w:val="19"/>
  </w:num>
  <w:num w:numId="35">
    <w:abstractNumId w:val="39"/>
  </w:num>
  <w:num w:numId="36">
    <w:abstractNumId w:val="5"/>
  </w:num>
  <w:num w:numId="37">
    <w:abstractNumId w:val="4"/>
  </w:num>
  <w:num w:numId="38">
    <w:abstractNumId w:val="23"/>
  </w:num>
  <w:num w:numId="39">
    <w:abstractNumId w:val="24"/>
  </w:num>
  <w:num w:numId="40">
    <w:abstractNumId w:val="6"/>
  </w:num>
  <w:num w:numId="41">
    <w:abstractNumId w:val="43"/>
  </w:num>
  <w:num w:numId="42">
    <w:abstractNumId w:val="31"/>
  </w:num>
  <w:num w:numId="43">
    <w:abstractNumId w:val="8"/>
  </w:num>
  <w:num w:numId="44">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AE5C84"/>
    <w:rsid w:val="000007A5"/>
    <w:rsid w:val="00001EE5"/>
    <w:rsid w:val="00002FD6"/>
    <w:rsid w:val="0000347D"/>
    <w:rsid w:val="00003D65"/>
    <w:rsid w:val="00010036"/>
    <w:rsid w:val="00010A75"/>
    <w:rsid w:val="00010E86"/>
    <w:rsid w:val="00012BA2"/>
    <w:rsid w:val="00013A72"/>
    <w:rsid w:val="00013DA7"/>
    <w:rsid w:val="00015DAC"/>
    <w:rsid w:val="00016DC1"/>
    <w:rsid w:val="00016EEA"/>
    <w:rsid w:val="00017898"/>
    <w:rsid w:val="00017BB1"/>
    <w:rsid w:val="0002082B"/>
    <w:rsid w:val="00020BC5"/>
    <w:rsid w:val="00020BE9"/>
    <w:rsid w:val="0002185A"/>
    <w:rsid w:val="000225CE"/>
    <w:rsid w:val="00023182"/>
    <w:rsid w:val="00023589"/>
    <w:rsid w:val="00024C1B"/>
    <w:rsid w:val="0002648E"/>
    <w:rsid w:val="00026FF9"/>
    <w:rsid w:val="000314A8"/>
    <w:rsid w:val="00031A50"/>
    <w:rsid w:val="00031DAC"/>
    <w:rsid w:val="00031EFC"/>
    <w:rsid w:val="000351CE"/>
    <w:rsid w:val="00035543"/>
    <w:rsid w:val="00035698"/>
    <w:rsid w:val="00036AA1"/>
    <w:rsid w:val="00042D11"/>
    <w:rsid w:val="00044408"/>
    <w:rsid w:val="00045352"/>
    <w:rsid w:val="00046861"/>
    <w:rsid w:val="0005179E"/>
    <w:rsid w:val="000533A6"/>
    <w:rsid w:val="00053B9C"/>
    <w:rsid w:val="00054ED6"/>
    <w:rsid w:val="000550A4"/>
    <w:rsid w:val="00057073"/>
    <w:rsid w:val="0006138F"/>
    <w:rsid w:val="00061B6A"/>
    <w:rsid w:val="000628EF"/>
    <w:rsid w:val="00064E7B"/>
    <w:rsid w:val="000650FB"/>
    <w:rsid w:val="000658BA"/>
    <w:rsid w:val="00065B7C"/>
    <w:rsid w:val="00067343"/>
    <w:rsid w:val="00072B66"/>
    <w:rsid w:val="00073A1A"/>
    <w:rsid w:val="00074695"/>
    <w:rsid w:val="00074923"/>
    <w:rsid w:val="000749E1"/>
    <w:rsid w:val="000756B1"/>
    <w:rsid w:val="000761E4"/>
    <w:rsid w:val="00076B38"/>
    <w:rsid w:val="00080D06"/>
    <w:rsid w:val="00082B91"/>
    <w:rsid w:val="00083AF1"/>
    <w:rsid w:val="00083B0E"/>
    <w:rsid w:val="00086735"/>
    <w:rsid w:val="00087D42"/>
    <w:rsid w:val="000912F3"/>
    <w:rsid w:val="000923B6"/>
    <w:rsid w:val="00094C53"/>
    <w:rsid w:val="00094CFF"/>
    <w:rsid w:val="00095111"/>
    <w:rsid w:val="0009538E"/>
    <w:rsid w:val="00095480"/>
    <w:rsid w:val="00096428"/>
    <w:rsid w:val="000A07C2"/>
    <w:rsid w:val="000A18E0"/>
    <w:rsid w:val="000A3E3A"/>
    <w:rsid w:val="000A4889"/>
    <w:rsid w:val="000A5015"/>
    <w:rsid w:val="000A6DE5"/>
    <w:rsid w:val="000A704D"/>
    <w:rsid w:val="000B1FD2"/>
    <w:rsid w:val="000B2929"/>
    <w:rsid w:val="000B54B6"/>
    <w:rsid w:val="000B7492"/>
    <w:rsid w:val="000B78BD"/>
    <w:rsid w:val="000B79D0"/>
    <w:rsid w:val="000C0BE7"/>
    <w:rsid w:val="000C21DF"/>
    <w:rsid w:val="000C373F"/>
    <w:rsid w:val="000C4A2E"/>
    <w:rsid w:val="000C6155"/>
    <w:rsid w:val="000C7EEF"/>
    <w:rsid w:val="000D04FD"/>
    <w:rsid w:val="000D1013"/>
    <w:rsid w:val="000D2C18"/>
    <w:rsid w:val="000D6FEE"/>
    <w:rsid w:val="000D749A"/>
    <w:rsid w:val="000E077E"/>
    <w:rsid w:val="000E1FBD"/>
    <w:rsid w:val="000E2EBD"/>
    <w:rsid w:val="000E380A"/>
    <w:rsid w:val="000E4490"/>
    <w:rsid w:val="000E47FC"/>
    <w:rsid w:val="000E4F45"/>
    <w:rsid w:val="000F04D1"/>
    <w:rsid w:val="000F0CA2"/>
    <w:rsid w:val="000F1832"/>
    <w:rsid w:val="000F1B1E"/>
    <w:rsid w:val="000F1FBA"/>
    <w:rsid w:val="000F36F0"/>
    <w:rsid w:val="000F57E5"/>
    <w:rsid w:val="000F6C50"/>
    <w:rsid w:val="000F7080"/>
    <w:rsid w:val="000F7E68"/>
    <w:rsid w:val="0010014D"/>
    <w:rsid w:val="00100395"/>
    <w:rsid w:val="001006C7"/>
    <w:rsid w:val="001055F6"/>
    <w:rsid w:val="0010685F"/>
    <w:rsid w:val="0011039D"/>
    <w:rsid w:val="00110EE6"/>
    <w:rsid w:val="00112201"/>
    <w:rsid w:val="00113134"/>
    <w:rsid w:val="001131CB"/>
    <w:rsid w:val="00113A1C"/>
    <w:rsid w:val="00113D7B"/>
    <w:rsid w:val="00114547"/>
    <w:rsid w:val="00114964"/>
    <w:rsid w:val="00115261"/>
    <w:rsid w:val="0011536D"/>
    <w:rsid w:val="00116A93"/>
    <w:rsid w:val="001170DB"/>
    <w:rsid w:val="00121B97"/>
    <w:rsid w:val="00122234"/>
    <w:rsid w:val="00122E7F"/>
    <w:rsid w:val="00124513"/>
    <w:rsid w:val="001255A8"/>
    <w:rsid w:val="00126776"/>
    <w:rsid w:val="00127613"/>
    <w:rsid w:val="001277C7"/>
    <w:rsid w:val="00127ADE"/>
    <w:rsid w:val="00127C1B"/>
    <w:rsid w:val="00127F8E"/>
    <w:rsid w:val="00130882"/>
    <w:rsid w:val="00130BC6"/>
    <w:rsid w:val="0013115F"/>
    <w:rsid w:val="00132264"/>
    <w:rsid w:val="001345A8"/>
    <w:rsid w:val="00134B60"/>
    <w:rsid w:val="001373F2"/>
    <w:rsid w:val="001379CD"/>
    <w:rsid w:val="00137D12"/>
    <w:rsid w:val="00140C26"/>
    <w:rsid w:val="00141240"/>
    <w:rsid w:val="001412C8"/>
    <w:rsid w:val="0014218A"/>
    <w:rsid w:val="00144830"/>
    <w:rsid w:val="0014487B"/>
    <w:rsid w:val="00144EAE"/>
    <w:rsid w:val="00144EBD"/>
    <w:rsid w:val="00145993"/>
    <w:rsid w:val="0014777F"/>
    <w:rsid w:val="0014789E"/>
    <w:rsid w:val="00147E9D"/>
    <w:rsid w:val="00151451"/>
    <w:rsid w:val="00151934"/>
    <w:rsid w:val="0015193B"/>
    <w:rsid w:val="001529C9"/>
    <w:rsid w:val="00152A06"/>
    <w:rsid w:val="00153E16"/>
    <w:rsid w:val="0016034E"/>
    <w:rsid w:val="00160707"/>
    <w:rsid w:val="0016166C"/>
    <w:rsid w:val="0016488A"/>
    <w:rsid w:val="00165439"/>
    <w:rsid w:val="0016590D"/>
    <w:rsid w:val="00166111"/>
    <w:rsid w:val="001665AF"/>
    <w:rsid w:val="001707B6"/>
    <w:rsid w:val="00170C0E"/>
    <w:rsid w:val="0017277D"/>
    <w:rsid w:val="00173F8A"/>
    <w:rsid w:val="0017439C"/>
    <w:rsid w:val="0017497E"/>
    <w:rsid w:val="00175A9A"/>
    <w:rsid w:val="00177088"/>
    <w:rsid w:val="0017786B"/>
    <w:rsid w:val="00181AA6"/>
    <w:rsid w:val="00182123"/>
    <w:rsid w:val="001827CF"/>
    <w:rsid w:val="00182849"/>
    <w:rsid w:val="00182957"/>
    <w:rsid w:val="0018473E"/>
    <w:rsid w:val="001869F3"/>
    <w:rsid w:val="0019015C"/>
    <w:rsid w:val="00190EFF"/>
    <w:rsid w:val="001914E1"/>
    <w:rsid w:val="0019189C"/>
    <w:rsid w:val="00191B39"/>
    <w:rsid w:val="00192769"/>
    <w:rsid w:val="00194440"/>
    <w:rsid w:val="00194813"/>
    <w:rsid w:val="00195263"/>
    <w:rsid w:val="00195E12"/>
    <w:rsid w:val="0019617D"/>
    <w:rsid w:val="00196FA4"/>
    <w:rsid w:val="001975FC"/>
    <w:rsid w:val="001A180F"/>
    <w:rsid w:val="001A29BA"/>
    <w:rsid w:val="001A6F94"/>
    <w:rsid w:val="001A7A83"/>
    <w:rsid w:val="001B0807"/>
    <w:rsid w:val="001B0874"/>
    <w:rsid w:val="001B29DE"/>
    <w:rsid w:val="001B2A14"/>
    <w:rsid w:val="001B39BE"/>
    <w:rsid w:val="001B3A3A"/>
    <w:rsid w:val="001B4B35"/>
    <w:rsid w:val="001B65A9"/>
    <w:rsid w:val="001B6E7B"/>
    <w:rsid w:val="001C254A"/>
    <w:rsid w:val="001C26EA"/>
    <w:rsid w:val="001C3898"/>
    <w:rsid w:val="001C3969"/>
    <w:rsid w:val="001C4AFA"/>
    <w:rsid w:val="001C4D2E"/>
    <w:rsid w:val="001C5550"/>
    <w:rsid w:val="001C79B8"/>
    <w:rsid w:val="001D2573"/>
    <w:rsid w:val="001D39A2"/>
    <w:rsid w:val="001D6138"/>
    <w:rsid w:val="001D735B"/>
    <w:rsid w:val="001D7663"/>
    <w:rsid w:val="001E20C2"/>
    <w:rsid w:val="001E239B"/>
    <w:rsid w:val="001E382A"/>
    <w:rsid w:val="001E419E"/>
    <w:rsid w:val="001E51B1"/>
    <w:rsid w:val="001E6737"/>
    <w:rsid w:val="001E6EDC"/>
    <w:rsid w:val="001E7862"/>
    <w:rsid w:val="001E7BE9"/>
    <w:rsid w:val="001F0435"/>
    <w:rsid w:val="001F0C73"/>
    <w:rsid w:val="001F0D3C"/>
    <w:rsid w:val="001F412B"/>
    <w:rsid w:val="001F452A"/>
    <w:rsid w:val="001F69DA"/>
    <w:rsid w:val="001F6CB3"/>
    <w:rsid w:val="0020111F"/>
    <w:rsid w:val="00202056"/>
    <w:rsid w:val="00202DA8"/>
    <w:rsid w:val="00202EDF"/>
    <w:rsid w:val="002031CB"/>
    <w:rsid w:val="0020418F"/>
    <w:rsid w:val="00204C25"/>
    <w:rsid w:val="00205007"/>
    <w:rsid w:val="00205B16"/>
    <w:rsid w:val="00205B50"/>
    <w:rsid w:val="002060EE"/>
    <w:rsid w:val="0020624C"/>
    <w:rsid w:val="00206D13"/>
    <w:rsid w:val="002071C8"/>
    <w:rsid w:val="0020725C"/>
    <w:rsid w:val="00214491"/>
    <w:rsid w:val="00214BE1"/>
    <w:rsid w:val="002163C7"/>
    <w:rsid w:val="002167B1"/>
    <w:rsid w:val="002178FE"/>
    <w:rsid w:val="002200C2"/>
    <w:rsid w:val="002215DB"/>
    <w:rsid w:val="002247C1"/>
    <w:rsid w:val="00225F3B"/>
    <w:rsid w:val="0022676A"/>
    <w:rsid w:val="00226ACF"/>
    <w:rsid w:val="00226B5C"/>
    <w:rsid w:val="00227644"/>
    <w:rsid w:val="0023040E"/>
    <w:rsid w:val="00231FD3"/>
    <w:rsid w:val="00232702"/>
    <w:rsid w:val="0023480E"/>
    <w:rsid w:val="00234F95"/>
    <w:rsid w:val="00235A9A"/>
    <w:rsid w:val="0023752A"/>
    <w:rsid w:val="002431BE"/>
    <w:rsid w:val="002442F6"/>
    <w:rsid w:val="002446BF"/>
    <w:rsid w:val="002453BB"/>
    <w:rsid w:val="0024718C"/>
    <w:rsid w:val="00251C98"/>
    <w:rsid w:val="00252149"/>
    <w:rsid w:val="00252231"/>
    <w:rsid w:val="00254D23"/>
    <w:rsid w:val="002560A3"/>
    <w:rsid w:val="00256273"/>
    <w:rsid w:val="0026115E"/>
    <w:rsid w:val="0026173F"/>
    <w:rsid w:val="0026244C"/>
    <w:rsid w:val="002625A3"/>
    <w:rsid w:val="002625B8"/>
    <w:rsid w:val="002625EE"/>
    <w:rsid w:val="00264D2C"/>
    <w:rsid w:val="002651FD"/>
    <w:rsid w:val="00270586"/>
    <w:rsid w:val="002712DB"/>
    <w:rsid w:val="00272632"/>
    <w:rsid w:val="00272EFE"/>
    <w:rsid w:val="002740B9"/>
    <w:rsid w:val="00274859"/>
    <w:rsid w:val="00275619"/>
    <w:rsid w:val="00276EB3"/>
    <w:rsid w:val="00277CEF"/>
    <w:rsid w:val="00281A76"/>
    <w:rsid w:val="00282C75"/>
    <w:rsid w:val="002835A4"/>
    <w:rsid w:val="002863EE"/>
    <w:rsid w:val="00286744"/>
    <w:rsid w:val="0028677B"/>
    <w:rsid w:val="00286BEF"/>
    <w:rsid w:val="00290B26"/>
    <w:rsid w:val="002923EC"/>
    <w:rsid w:val="0029442E"/>
    <w:rsid w:val="002955F6"/>
    <w:rsid w:val="00297429"/>
    <w:rsid w:val="002A1217"/>
    <w:rsid w:val="002A1917"/>
    <w:rsid w:val="002A2445"/>
    <w:rsid w:val="002A2BE4"/>
    <w:rsid w:val="002A2C2E"/>
    <w:rsid w:val="002A2F14"/>
    <w:rsid w:val="002A47AD"/>
    <w:rsid w:val="002A512B"/>
    <w:rsid w:val="002A6E09"/>
    <w:rsid w:val="002A76E0"/>
    <w:rsid w:val="002B1761"/>
    <w:rsid w:val="002B1FAD"/>
    <w:rsid w:val="002B3517"/>
    <w:rsid w:val="002B4856"/>
    <w:rsid w:val="002B4D73"/>
    <w:rsid w:val="002B5415"/>
    <w:rsid w:val="002B7564"/>
    <w:rsid w:val="002C152D"/>
    <w:rsid w:val="002C178F"/>
    <w:rsid w:val="002C4273"/>
    <w:rsid w:val="002C42B6"/>
    <w:rsid w:val="002C4D49"/>
    <w:rsid w:val="002C4EA8"/>
    <w:rsid w:val="002C659F"/>
    <w:rsid w:val="002C74C8"/>
    <w:rsid w:val="002D010A"/>
    <w:rsid w:val="002D3570"/>
    <w:rsid w:val="002D360A"/>
    <w:rsid w:val="002D3BA0"/>
    <w:rsid w:val="002D5E0A"/>
    <w:rsid w:val="002D753C"/>
    <w:rsid w:val="002E0BC6"/>
    <w:rsid w:val="002E1309"/>
    <w:rsid w:val="002E1325"/>
    <w:rsid w:val="002E24CA"/>
    <w:rsid w:val="002E2591"/>
    <w:rsid w:val="002E5146"/>
    <w:rsid w:val="002E63E6"/>
    <w:rsid w:val="002E78C1"/>
    <w:rsid w:val="002F05A3"/>
    <w:rsid w:val="002F1A19"/>
    <w:rsid w:val="002F4A3F"/>
    <w:rsid w:val="002F5380"/>
    <w:rsid w:val="002F605F"/>
    <w:rsid w:val="002F61C9"/>
    <w:rsid w:val="002F69E8"/>
    <w:rsid w:val="002F77D8"/>
    <w:rsid w:val="00300410"/>
    <w:rsid w:val="003041EC"/>
    <w:rsid w:val="0030488E"/>
    <w:rsid w:val="00304D8D"/>
    <w:rsid w:val="00304DB1"/>
    <w:rsid w:val="00304FE7"/>
    <w:rsid w:val="00310DED"/>
    <w:rsid w:val="003122BB"/>
    <w:rsid w:val="003133BB"/>
    <w:rsid w:val="00314822"/>
    <w:rsid w:val="00314E53"/>
    <w:rsid w:val="00314FEA"/>
    <w:rsid w:val="00315DD8"/>
    <w:rsid w:val="00320882"/>
    <w:rsid w:val="003223B3"/>
    <w:rsid w:val="00322E82"/>
    <w:rsid w:val="00327346"/>
    <w:rsid w:val="00332581"/>
    <w:rsid w:val="0033258D"/>
    <w:rsid w:val="00333219"/>
    <w:rsid w:val="00334A16"/>
    <w:rsid w:val="00334FF7"/>
    <w:rsid w:val="00335FB0"/>
    <w:rsid w:val="0033714E"/>
    <w:rsid w:val="003374F7"/>
    <w:rsid w:val="0033794B"/>
    <w:rsid w:val="00340130"/>
    <w:rsid w:val="00340382"/>
    <w:rsid w:val="003405FE"/>
    <w:rsid w:val="00341257"/>
    <w:rsid w:val="00341991"/>
    <w:rsid w:val="003426B4"/>
    <w:rsid w:val="00342EEE"/>
    <w:rsid w:val="00343806"/>
    <w:rsid w:val="00344708"/>
    <w:rsid w:val="00344879"/>
    <w:rsid w:val="00344C32"/>
    <w:rsid w:val="00346429"/>
    <w:rsid w:val="0035235C"/>
    <w:rsid w:val="003527D2"/>
    <w:rsid w:val="003527FC"/>
    <w:rsid w:val="00355575"/>
    <w:rsid w:val="0035653D"/>
    <w:rsid w:val="0035667C"/>
    <w:rsid w:val="0035675D"/>
    <w:rsid w:val="00357581"/>
    <w:rsid w:val="00357740"/>
    <w:rsid w:val="00362FCA"/>
    <w:rsid w:val="00363280"/>
    <w:rsid w:val="00363763"/>
    <w:rsid w:val="003664F0"/>
    <w:rsid w:val="0037196D"/>
    <w:rsid w:val="00371ABC"/>
    <w:rsid w:val="00374295"/>
    <w:rsid w:val="00375550"/>
    <w:rsid w:val="00375CA3"/>
    <w:rsid w:val="00376AF6"/>
    <w:rsid w:val="0037780B"/>
    <w:rsid w:val="00380A22"/>
    <w:rsid w:val="003822FE"/>
    <w:rsid w:val="0038287B"/>
    <w:rsid w:val="00384D25"/>
    <w:rsid w:val="00385A31"/>
    <w:rsid w:val="0038694B"/>
    <w:rsid w:val="00390A65"/>
    <w:rsid w:val="003925F4"/>
    <w:rsid w:val="00395689"/>
    <w:rsid w:val="00395C1B"/>
    <w:rsid w:val="00397905"/>
    <w:rsid w:val="00397C8B"/>
    <w:rsid w:val="003A073B"/>
    <w:rsid w:val="003A49DE"/>
    <w:rsid w:val="003A5638"/>
    <w:rsid w:val="003A5BB9"/>
    <w:rsid w:val="003A661F"/>
    <w:rsid w:val="003A7CC4"/>
    <w:rsid w:val="003B00F4"/>
    <w:rsid w:val="003B06FC"/>
    <w:rsid w:val="003B08C5"/>
    <w:rsid w:val="003B1A5B"/>
    <w:rsid w:val="003B323D"/>
    <w:rsid w:val="003B54BA"/>
    <w:rsid w:val="003B5C2C"/>
    <w:rsid w:val="003B614D"/>
    <w:rsid w:val="003B6E82"/>
    <w:rsid w:val="003B74BB"/>
    <w:rsid w:val="003B79B1"/>
    <w:rsid w:val="003C194F"/>
    <w:rsid w:val="003C2000"/>
    <w:rsid w:val="003C3C04"/>
    <w:rsid w:val="003C5C62"/>
    <w:rsid w:val="003C5F58"/>
    <w:rsid w:val="003C6888"/>
    <w:rsid w:val="003C7F53"/>
    <w:rsid w:val="003D0343"/>
    <w:rsid w:val="003D1016"/>
    <w:rsid w:val="003D1089"/>
    <w:rsid w:val="003D1330"/>
    <w:rsid w:val="003D1A03"/>
    <w:rsid w:val="003D2C90"/>
    <w:rsid w:val="003D2D44"/>
    <w:rsid w:val="003D31BE"/>
    <w:rsid w:val="003D37AB"/>
    <w:rsid w:val="003D45AB"/>
    <w:rsid w:val="003D53AE"/>
    <w:rsid w:val="003D6DD1"/>
    <w:rsid w:val="003E09E3"/>
    <w:rsid w:val="003E12E9"/>
    <w:rsid w:val="003E25B7"/>
    <w:rsid w:val="003E3D71"/>
    <w:rsid w:val="003E3F3A"/>
    <w:rsid w:val="003E4C22"/>
    <w:rsid w:val="003E503C"/>
    <w:rsid w:val="003E5E43"/>
    <w:rsid w:val="003E72F2"/>
    <w:rsid w:val="003E77FC"/>
    <w:rsid w:val="003F1D57"/>
    <w:rsid w:val="003F2AEF"/>
    <w:rsid w:val="003F5A9C"/>
    <w:rsid w:val="003F66B0"/>
    <w:rsid w:val="003F7AE5"/>
    <w:rsid w:val="003F7BF5"/>
    <w:rsid w:val="00400680"/>
    <w:rsid w:val="004021CA"/>
    <w:rsid w:val="004030FB"/>
    <w:rsid w:val="00412805"/>
    <w:rsid w:val="00412E7B"/>
    <w:rsid w:val="00413487"/>
    <w:rsid w:val="00413DA2"/>
    <w:rsid w:val="004143A3"/>
    <w:rsid w:val="00415592"/>
    <w:rsid w:val="00416A7F"/>
    <w:rsid w:val="00417050"/>
    <w:rsid w:val="004170C0"/>
    <w:rsid w:val="00417536"/>
    <w:rsid w:val="00417A99"/>
    <w:rsid w:val="0042081A"/>
    <w:rsid w:val="004209D8"/>
    <w:rsid w:val="00420AF4"/>
    <w:rsid w:val="00423BD9"/>
    <w:rsid w:val="00424391"/>
    <w:rsid w:val="00424955"/>
    <w:rsid w:val="0042501A"/>
    <w:rsid w:val="004267CC"/>
    <w:rsid w:val="00427EDC"/>
    <w:rsid w:val="004305F2"/>
    <w:rsid w:val="00430733"/>
    <w:rsid w:val="00430C28"/>
    <w:rsid w:val="00430E80"/>
    <w:rsid w:val="00432A1F"/>
    <w:rsid w:val="00433531"/>
    <w:rsid w:val="00433F55"/>
    <w:rsid w:val="00434F40"/>
    <w:rsid w:val="00435F74"/>
    <w:rsid w:val="00436D30"/>
    <w:rsid w:val="00436FC5"/>
    <w:rsid w:val="004375B9"/>
    <w:rsid w:val="00440537"/>
    <w:rsid w:val="00443271"/>
    <w:rsid w:val="004440AA"/>
    <w:rsid w:val="00445D75"/>
    <w:rsid w:val="004468B8"/>
    <w:rsid w:val="0044740C"/>
    <w:rsid w:val="0045099F"/>
    <w:rsid w:val="0045127A"/>
    <w:rsid w:val="00452691"/>
    <w:rsid w:val="00453AE5"/>
    <w:rsid w:val="00453C4F"/>
    <w:rsid w:val="00455352"/>
    <w:rsid w:val="0045613B"/>
    <w:rsid w:val="00456CF7"/>
    <w:rsid w:val="00456E37"/>
    <w:rsid w:val="0045770A"/>
    <w:rsid w:val="004605FB"/>
    <w:rsid w:val="00460B7C"/>
    <w:rsid w:val="00460C07"/>
    <w:rsid w:val="00462052"/>
    <w:rsid w:val="00463308"/>
    <w:rsid w:val="004635D2"/>
    <w:rsid w:val="00463853"/>
    <w:rsid w:val="00463C23"/>
    <w:rsid w:val="00463EF9"/>
    <w:rsid w:val="00465DF3"/>
    <w:rsid w:val="00466363"/>
    <w:rsid w:val="004702E5"/>
    <w:rsid w:val="00472D91"/>
    <w:rsid w:val="00474128"/>
    <w:rsid w:val="004753A1"/>
    <w:rsid w:val="0047648A"/>
    <w:rsid w:val="00480150"/>
    <w:rsid w:val="004810ED"/>
    <w:rsid w:val="00483801"/>
    <w:rsid w:val="004838CA"/>
    <w:rsid w:val="00484FAE"/>
    <w:rsid w:val="004871C8"/>
    <w:rsid w:val="00487F2C"/>
    <w:rsid w:val="00491281"/>
    <w:rsid w:val="00491BDE"/>
    <w:rsid w:val="00492EDB"/>
    <w:rsid w:val="00493D82"/>
    <w:rsid w:val="004964B3"/>
    <w:rsid w:val="004971B8"/>
    <w:rsid w:val="004973DA"/>
    <w:rsid w:val="004A1DA1"/>
    <w:rsid w:val="004A4926"/>
    <w:rsid w:val="004A743B"/>
    <w:rsid w:val="004B0A97"/>
    <w:rsid w:val="004B2054"/>
    <w:rsid w:val="004B30DA"/>
    <w:rsid w:val="004B33E9"/>
    <w:rsid w:val="004B65AC"/>
    <w:rsid w:val="004C0040"/>
    <w:rsid w:val="004C0DA8"/>
    <w:rsid w:val="004C1CDA"/>
    <w:rsid w:val="004C200F"/>
    <w:rsid w:val="004C232F"/>
    <w:rsid w:val="004C3F84"/>
    <w:rsid w:val="004C4AE4"/>
    <w:rsid w:val="004C5DEF"/>
    <w:rsid w:val="004C66E8"/>
    <w:rsid w:val="004C7418"/>
    <w:rsid w:val="004C7586"/>
    <w:rsid w:val="004D199D"/>
    <w:rsid w:val="004D1C05"/>
    <w:rsid w:val="004D3F30"/>
    <w:rsid w:val="004D4838"/>
    <w:rsid w:val="004D511A"/>
    <w:rsid w:val="004D6A78"/>
    <w:rsid w:val="004D6F17"/>
    <w:rsid w:val="004D7BA3"/>
    <w:rsid w:val="004D7D18"/>
    <w:rsid w:val="004E0F5A"/>
    <w:rsid w:val="004E1BF6"/>
    <w:rsid w:val="004E250A"/>
    <w:rsid w:val="004E2C86"/>
    <w:rsid w:val="004E4D59"/>
    <w:rsid w:val="004E61AB"/>
    <w:rsid w:val="004E67B8"/>
    <w:rsid w:val="004E67BC"/>
    <w:rsid w:val="004E68A8"/>
    <w:rsid w:val="004E68E3"/>
    <w:rsid w:val="004E6D70"/>
    <w:rsid w:val="004E7A15"/>
    <w:rsid w:val="004F03CF"/>
    <w:rsid w:val="004F068B"/>
    <w:rsid w:val="004F21C2"/>
    <w:rsid w:val="004F27BA"/>
    <w:rsid w:val="004F3C9A"/>
    <w:rsid w:val="004F46D5"/>
    <w:rsid w:val="004F5441"/>
    <w:rsid w:val="004F5BF6"/>
    <w:rsid w:val="004F78CE"/>
    <w:rsid w:val="00500489"/>
    <w:rsid w:val="00500A26"/>
    <w:rsid w:val="00500CB2"/>
    <w:rsid w:val="00500E70"/>
    <w:rsid w:val="00500F8E"/>
    <w:rsid w:val="005022D6"/>
    <w:rsid w:val="0050239B"/>
    <w:rsid w:val="00502D96"/>
    <w:rsid w:val="005061CA"/>
    <w:rsid w:val="00506849"/>
    <w:rsid w:val="00506914"/>
    <w:rsid w:val="005102D3"/>
    <w:rsid w:val="00510508"/>
    <w:rsid w:val="00511A3C"/>
    <w:rsid w:val="005178AD"/>
    <w:rsid w:val="005179E1"/>
    <w:rsid w:val="00517F68"/>
    <w:rsid w:val="00521D67"/>
    <w:rsid w:val="0052446F"/>
    <w:rsid w:val="00524586"/>
    <w:rsid w:val="0052646F"/>
    <w:rsid w:val="005304A2"/>
    <w:rsid w:val="00531196"/>
    <w:rsid w:val="00531B37"/>
    <w:rsid w:val="00532DA1"/>
    <w:rsid w:val="0053341C"/>
    <w:rsid w:val="00536623"/>
    <w:rsid w:val="0053672D"/>
    <w:rsid w:val="00537040"/>
    <w:rsid w:val="0054009B"/>
    <w:rsid w:val="005402EC"/>
    <w:rsid w:val="0054064B"/>
    <w:rsid w:val="00540A2B"/>
    <w:rsid w:val="0054143D"/>
    <w:rsid w:val="00541CA4"/>
    <w:rsid w:val="005432D3"/>
    <w:rsid w:val="00544227"/>
    <w:rsid w:val="0054673B"/>
    <w:rsid w:val="00547075"/>
    <w:rsid w:val="005478A2"/>
    <w:rsid w:val="00552652"/>
    <w:rsid w:val="0055335E"/>
    <w:rsid w:val="005554FA"/>
    <w:rsid w:val="00555CDB"/>
    <w:rsid w:val="00556AF8"/>
    <w:rsid w:val="00557B72"/>
    <w:rsid w:val="00560467"/>
    <w:rsid w:val="00561845"/>
    <w:rsid w:val="00563551"/>
    <w:rsid w:val="005644BF"/>
    <w:rsid w:val="005647B8"/>
    <w:rsid w:val="00566E15"/>
    <w:rsid w:val="00566FA4"/>
    <w:rsid w:val="00567058"/>
    <w:rsid w:val="00567249"/>
    <w:rsid w:val="0056755E"/>
    <w:rsid w:val="00571C83"/>
    <w:rsid w:val="005721FC"/>
    <w:rsid w:val="005730E9"/>
    <w:rsid w:val="00574729"/>
    <w:rsid w:val="005761C3"/>
    <w:rsid w:val="005829C5"/>
    <w:rsid w:val="00585B14"/>
    <w:rsid w:val="00585E7D"/>
    <w:rsid w:val="00586108"/>
    <w:rsid w:val="0058643C"/>
    <w:rsid w:val="005875F0"/>
    <w:rsid w:val="005877AB"/>
    <w:rsid w:val="00587E47"/>
    <w:rsid w:val="00587ED5"/>
    <w:rsid w:val="00590C06"/>
    <w:rsid w:val="005919D3"/>
    <w:rsid w:val="0059336A"/>
    <w:rsid w:val="00594CE9"/>
    <w:rsid w:val="005964D6"/>
    <w:rsid w:val="00596B98"/>
    <w:rsid w:val="00596FEC"/>
    <w:rsid w:val="00597DBD"/>
    <w:rsid w:val="005A00A2"/>
    <w:rsid w:val="005A039A"/>
    <w:rsid w:val="005A0B52"/>
    <w:rsid w:val="005A6895"/>
    <w:rsid w:val="005B0085"/>
    <w:rsid w:val="005B0AE4"/>
    <w:rsid w:val="005B0ECD"/>
    <w:rsid w:val="005B0F89"/>
    <w:rsid w:val="005B1ABF"/>
    <w:rsid w:val="005B33EE"/>
    <w:rsid w:val="005B39C5"/>
    <w:rsid w:val="005B3CE2"/>
    <w:rsid w:val="005B537D"/>
    <w:rsid w:val="005B7CE6"/>
    <w:rsid w:val="005C139A"/>
    <w:rsid w:val="005C21D7"/>
    <w:rsid w:val="005C3293"/>
    <w:rsid w:val="005C39C1"/>
    <w:rsid w:val="005D1074"/>
    <w:rsid w:val="005D1972"/>
    <w:rsid w:val="005D5422"/>
    <w:rsid w:val="005D6D67"/>
    <w:rsid w:val="005D7025"/>
    <w:rsid w:val="005D7D8D"/>
    <w:rsid w:val="005E0328"/>
    <w:rsid w:val="005E0B23"/>
    <w:rsid w:val="005E1172"/>
    <w:rsid w:val="005E23AC"/>
    <w:rsid w:val="005E28FC"/>
    <w:rsid w:val="005E6165"/>
    <w:rsid w:val="005E6DBA"/>
    <w:rsid w:val="005F2FC4"/>
    <w:rsid w:val="005F46F0"/>
    <w:rsid w:val="005F494D"/>
    <w:rsid w:val="005F5515"/>
    <w:rsid w:val="005F6A4E"/>
    <w:rsid w:val="005F7703"/>
    <w:rsid w:val="005F79BF"/>
    <w:rsid w:val="00601906"/>
    <w:rsid w:val="00602D65"/>
    <w:rsid w:val="00603404"/>
    <w:rsid w:val="0060352A"/>
    <w:rsid w:val="00603A4F"/>
    <w:rsid w:val="0060415F"/>
    <w:rsid w:val="00604B9D"/>
    <w:rsid w:val="00604F22"/>
    <w:rsid w:val="006057D0"/>
    <w:rsid w:val="00605D06"/>
    <w:rsid w:val="00605F3D"/>
    <w:rsid w:val="00606DF2"/>
    <w:rsid w:val="00607E69"/>
    <w:rsid w:val="00610298"/>
    <w:rsid w:val="006125F9"/>
    <w:rsid w:val="0061280A"/>
    <w:rsid w:val="00612A47"/>
    <w:rsid w:val="006132AB"/>
    <w:rsid w:val="00613DA0"/>
    <w:rsid w:val="00614177"/>
    <w:rsid w:val="00615086"/>
    <w:rsid w:val="00617705"/>
    <w:rsid w:val="006205B0"/>
    <w:rsid w:val="0062346F"/>
    <w:rsid w:val="00623D64"/>
    <w:rsid w:val="006241AC"/>
    <w:rsid w:val="00625C86"/>
    <w:rsid w:val="00630A29"/>
    <w:rsid w:val="006326BA"/>
    <w:rsid w:val="00633F3A"/>
    <w:rsid w:val="0063405F"/>
    <w:rsid w:val="00634AE9"/>
    <w:rsid w:val="00635366"/>
    <w:rsid w:val="0063721D"/>
    <w:rsid w:val="00640878"/>
    <w:rsid w:val="006426CE"/>
    <w:rsid w:val="006439D2"/>
    <w:rsid w:val="00643C46"/>
    <w:rsid w:val="00643D1B"/>
    <w:rsid w:val="00644AD0"/>
    <w:rsid w:val="00644C32"/>
    <w:rsid w:val="00645809"/>
    <w:rsid w:val="00647374"/>
    <w:rsid w:val="00650E79"/>
    <w:rsid w:val="0065122A"/>
    <w:rsid w:val="00651EBC"/>
    <w:rsid w:val="00652B0E"/>
    <w:rsid w:val="00653E90"/>
    <w:rsid w:val="00655001"/>
    <w:rsid w:val="0065613D"/>
    <w:rsid w:val="006565E3"/>
    <w:rsid w:val="00660B08"/>
    <w:rsid w:val="00660C1C"/>
    <w:rsid w:val="006612F0"/>
    <w:rsid w:val="00662E48"/>
    <w:rsid w:val="006632DF"/>
    <w:rsid w:val="00663DF6"/>
    <w:rsid w:val="00670ECB"/>
    <w:rsid w:val="006715E1"/>
    <w:rsid w:val="00671724"/>
    <w:rsid w:val="00671F03"/>
    <w:rsid w:val="006729BB"/>
    <w:rsid w:val="00673DB8"/>
    <w:rsid w:val="00673FB3"/>
    <w:rsid w:val="006743C0"/>
    <w:rsid w:val="00674939"/>
    <w:rsid w:val="00674EAC"/>
    <w:rsid w:val="00677062"/>
    <w:rsid w:val="006827E5"/>
    <w:rsid w:val="00683836"/>
    <w:rsid w:val="00683FEE"/>
    <w:rsid w:val="00685426"/>
    <w:rsid w:val="00686460"/>
    <w:rsid w:val="00686C6A"/>
    <w:rsid w:val="00687EB0"/>
    <w:rsid w:val="0069320A"/>
    <w:rsid w:val="0069380F"/>
    <w:rsid w:val="00696B54"/>
    <w:rsid w:val="00696D55"/>
    <w:rsid w:val="00697E6F"/>
    <w:rsid w:val="006A0BEC"/>
    <w:rsid w:val="006A16FA"/>
    <w:rsid w:val="006A24FF"/>
    <w:rsid w:val="006A2C91"/>
    <w:rsid w:val="006A30B9"/>
    <w:rsid w:val="006A34E3"/>
    <w:rsid w:val="006A3C13"/>
    <w:rsid w:val="006A3C90"/>
    <w:rsid w:val="006A4DDE"/>
    <w:rsid w:val="006A5765"/>
    <w:rsid w:val="006A79C8"/>
    <w:rsid w:val="006A7DB0"/>
    <w:rsid w:val="006B013B"/>
    <w:rsid w:val="006B022D"/>
    <w:rsid w:val="006B0652"/>
    <w:rsid w:val="006B1AB6"/>
    <w:rsid w:val="006B2159"/>
    <w:rsid w:val="006B238D"/>
    <w:rsid w:val="006B243E"/>
    <w:rsid w:val="006B42B0"/>
    <w:rsid w:val="006B47D4"/>
    <w:rsid w:val="006B6771"/>
    <w:rsid w:val="006B6B74"/>
    <w:rsid w:val="006B71F3"/>
    <w:rsid w:val="006B7D96"/>
    <w:rsid w:val="006C1693"/>
    <w:rsid w:val="006C18CB"/>
    <w:rsid w:val="006C2818"/>
    <w:rsid w:val="006C5A83"/>
    <w:rsid w:val="006C5BBA"/>
    <w:rsid w:val="006C79D8"/>
    <w:rsid w:val="006C7E29"/>
    <w:rsid w:val="006D008C"/>
    <w:rsid w:val="006D0535"/>
    <w:rsid w:val="006D0EB3"/>
    <w:rsid w:val="006D0F04"/>
    <w:rsid w:val="006D1E8C"/>
    <w:rsid w:val="006D1F3C"/>
    <w:rsid w:val="006D2465"/>
    <w:rsid w:val="006D3D76"/>
    <w:rsid w:val="006D4020"/>
    <w:rsid w:val="006D4694"/>
    <w:rsid w:val="006D57A3"/>
    <w:rsid w:val="006D71AB"/>
    <w:rsid w:val="006E00AA"/>
    <w:rsid w:val="006E038D"/>
    <w:rsid w:val="006E1574"/>
    <w:rsid w:val="006E1930"/>
    <w:rsid w:val="006E1C02"/>
    <w:rsid w:val="006E5B6A"/>
    <w:rsid w:val="006F1B05"/>
    <w:rsid w:val="006F3A72"/>
    <w:rsid w:val="0070061C"/>
    <w:rsid w:val="00700F7D"/>
    <w:rsid w:val="00701E90"/>
    <w:rsid w:val="00703C7C"/>
    <w:rsid w:val="00703FEB"/>
    <w:rsid w:val="0070538D"/>
    <w:rsid w:val="007107D1"/>
    <w:rsid w:val="00711714"/>
    <w:rsid w:val="007132F6"/>
    <w:rsid w:val="00716EA5"/>
    <w:rsid w:val="00720A8D"/>
    <w:rsid w:val="00721CF0"/>
    <w:rsid w:val="00724987"/>
    <w:rsid w:val="00724DC4"/>
    <w:rsid w:val="00725197"/>
    <w:rsid w:val="00726756"/>
    <w:rsid w:val="00726888"/>
    <w:rsid w:val="007321FE"/>
    <w:rsid w:val="00733E72"/>
    <w:rsid w:val="007348CB"/>
    <w:rsid w:val="0073598D"/>
    <w:rsid w:val="0073633D"/>
    <w:rsid w:val="0073748B"/>
    <w:rsid w:val="00737DA2"/>
    <w:rsid w:val="00740174"/>
    <w:rsid w:val="007409DC"/>
    <w:rsid w:val="00741265"/>
    <w:rsid w:val="007425A4"/>
    <w:rsid w:val="007461AA"/>
    <w:rsid w:val="0075015E"/>
    <w:rsid w:val="00750ED7"/>
    <w:rsid w:val="0075244F"/>
    <w:rsid w:val="007529C0"/>
    <w:rsid w:val="007533F6"/>
    <w:rsid w:val="00755CCD"/>
    <w:rsid w:val="0075685F"/>
    <w:rsid w:val="0075688B"/>
    <w:rsid w:val="00757FAD"/>
    <w:rsid w:val="00760ED6"/>
    <w:rsid w:val="0076126B"/>
    <w:rsid w:val="007644C6"/>
    <w:rsid w:val="00767C4A"/>
    <w:rsid w:val="0077042E"/>
    <w:rsid w:val="00770510"/>
    <w:rsid w:val="00771574"/>
    <w:rsid w:val="007715EE"/>
    <w:rsid w:val="00773064"/>
    <w:rsid w:val="00774E55"/>
    <w:rsid w:val="0077630A"/>
    <w:rsid w:val="00776845"/>
    <w:rsid w:val="0077693C"/>
    <w:rsid w:val="00780968"/>
    <w:rsid w:val="00781CAB"/>
    <w:rsid w:val="00781D00"/>
    <w:rsid w:val="0078242F"/>
    <w:rsid w:val="00783772"/>
    <w:rsid w:val="0078490C"/>
    <w:rsid w:val="00784AC0"/>
    <w:rsid w:val="00785B23"/>
    <w:rsid w:val="00787208"/>
    <w:rsid w:val="007879D3"/>
    <w:rsid w:val="007911BE"/>
    <w:rsid w:val="00792CE0"/>
    <w:rsid w:val="0079382B"/>
    <w:rsid w:val="0079441E"/>
    <w:rsid w:val="00795305"/>
    <w:rsid w:val="00795A5F"/>
    <w:rsid w:val="00796391"/>
    <w:rsid w:val="00797711"/>
    <w:rsid w:val="007A0183"/>
    <w:rsid w:val="007A0D07"/>
    <w:rsid w:val="007A12A9"/>
    <w:rsid w:val="007A3000"/>
    <w:rsid w:val="007A424F"/>
    <w:rsid w:val="007A594E"/>
    <w:rsid w:val="007A5A23"/>
    <w:rsid w:val="007A5B06"/>
    <w:rsid w:val="007A649D"/>
    <w:rsid w:val="007A660A"/>
    <w:rsid w:val="007A67A9"/>
    <w:rsid w:val="007B0781"/>
    <w:rsid w:val="007B2759"/>
    <w:rsid w:val="007B2A71"/>
    <w:rsid w:val="007B3140"/>
    <w:rsid w:val="007B4128"/>
    <w:rsid w:val="007B460C"/>
    <w:rsid w:val="007B5B81"/>
    <w:rsid w:val="007B610B"/>
    <w:rsid w:val="007B6F8A"/>
    <w:rsid w:val="007C04CD"/>
    <w:rsid w:val="007C085E"/>
    <w:rsid w:val="007C2AA6"/>
    <w:rsid w:val="007C33EF"/>
    <w:rsid w:val="007C403C"/>
    <w:rsid w:val="007C5E10"/>
    <w:rsid w:val="007C6605"/>
    <w:rsid w:val="007C6C03"/>
    <w:rsid w:val="007D0048"/>
    <w:rsid w:val="007D058B"/>
    <w:rsid w:val="007D0E93"/>
    <w:rsid w:val="007D2C79"/>
    <w:rsid w:val="007D3EEC"/>
    <w:rsid w:val="007D5E81"/>
    <w:rsid w:val="007D618F"/>
    <w:rsid w:val="007D6B33"/>
    <w:rsid w:val="007D6C02"/>
    <w:rsid w:val="007D6D49"/>
    <w:rsid w:val="007E5611"/>
    <w:rsid w:val="007E5E53"/>
    <w:rsid w:val="007E6A12"/>
    <w:rsid w:val="007E789C"/>
    <w:rsid w:val="007F63B9"/>
    <w:rsid w:val="007F783E"/>
    <w:rsid w:val="00803E37"/>
    <w:rsid w:val="008057FC"/>
    <w:rsid w:val="00806091"/>
    <w:rsid w:val="008064D1"/>
    <w:rsid w:val="00806EA8"/>
    <w:rsid w:val="00810572"/>
    <w:rsid w:val="00811D8C"/>
    <w:rsid w:val="00811FA2"/>
    <w:rsid w:val="00812979"/>
    <w:rsid w:val="00812A75"/>
    <w:rsid w:val="00813090"/>
    <w:rsid w:val="0081405F"/>
    <w:rsid w:val="0081443B"/>
    <w:rsid w:val="00814954"/>
    <w:rsid w:val="008169C4"/>
    <w:rsid w:val="00816ECC"/>
    <w:rsid w:val="00823686"/>
    <w:rsid w:val="00824C35"/>
    <w:rsid w:val="00825130"/>
    <w:rsid w:val="0082591C"/>
    <w:rsid w:val="00825A7D"/>
    <w:rsid w:val="008264C8"/>
    <w:rsid w:val="00827401"/>
    <w:rsid w:val="00827B8F"/>
    <w:rsid w:val="00827C3F"/>
    <w:rsid w:val="00830442"/>
    <w:rsid w:val="008313F7"/>
    <w:rsid w:val="0083396F"/>
    <w:rsid w:val="0083398C"/>
    <w:rsid w:val="00833A37"/>
    <w:rsid w:val="008347EC"/>
    <w:rsid w:val="00835750"/>
    <w:rsid w:val="00835833"/>
    <w:rsid w:val="00842BC9"/>
    <w:rsid w:val="008446DA"/>
    <w:rsid w:val="00844701"/>
    <w:rsid w:val="00850D3C"/>
    <w:rsid w:val="00851C70"/>
    <w:rsid w:val="0085312F"/>
    <w:rsid w:val="008539F0"/>
    <w:rsid w:val="00854E41"/>
    <w:rsid w:val="0085669B"/>
    <w:rsid w:val="008577A6"/>
    <w:rsid w:val="0085781F"/>
    <w:rsid w:val="008607E3"/>
    <w:rsid w:val="008611C0"/>
    <w:rsid w:val="008613FE"/>
    <w:rsid w:val="00862149"/>
    <w:rsid w:val="00863511"/>
    <w:rsid w:val="00863EEE"/>
    <w:rsid w:val="00864925"/>
    <w:rsid w:val="008650F1"/>
    <w:rsid w:val="0086664D"/>
    <w:rsid w:val="008707C2"/>
    <w:rsid w:val="0087363F"/>
    <w:rsid w:val="0087580B"/>
    <w:rsid w:val="00881370"/>
    <w:rsid w:val="0088185F"/>
    <w:rsid w:val="008829CC"/>
    <w:rsid w:val="00883BE9"/>
    <w:rsid w:val="008843AE"/>
    <w:rsid w:val="00884EEE"/>
    <w:rsid w:val="0088630E"/>
    <w:rsid w:val="0089243E"/>
    <w:rsid w:val="00892A05"/>
    <w:rsid w:val="008939D2"/>
    <w:rsid w:val="00894CB3"/>
    <w:rsid w:val="008A03AA"/>
    <w:rsid w:val="008A0A80"/>
    <w:rsid w:val="008A1CC1"/>
    <w:rsid w:val="008A3231"/>
    <w:rsid w:val="008A444E"/>
    <w:rsid w:val="008A4451"/>
    <w:rsid w:val="008A5EA4"/>
    <w:rsid w:val="008A6DCD"/>
    <w:rsid w:val="008A6E74"/>
    <w:rsid w:val="008A73C7"/>
    <w:rsid w:val="008A7880"/>
    <w:rsid w:val="008B19C0"/>
    <w:rsid w:val="008B328A"/>
    <w:rsid w:val="008B3801"/>
    <w:rsid w:val="008B3B72"/>
    <w:rsid w:val="008B3D99"/>
    <w:rsid w:val="008B446E"/>
    <w:rsid w:val="008B44BA"/>
    <w:rsid w:val="008B5645"/>
    <w:rsid w:val="008B6D0C"/>
    <w:rsid w:val="008B6D16"/>
    <w:rsid w:val="008B75CD"/>
    <w:rsid w:val="008B772E"/>
    <w:rsid w:val="008B78E9"/>
    <w:rsid w:val="008B7F29"/>
    <w:rsid w:val="008C00C2"/>
    <w:rsid w:val="008C03CF"/>
    <w:rsid w:val="008C3A8D"/>
    <w:rsid w:val="008C438E"/>
    <w:rsid w:val="008C468B"/>
    <w:rsid w:val="008C4DFB"/>
    <w:rsid w:val="008C4E57"/>
    <w:rsid w:val="008C7CCE"/>
    <w:rsid w:val="008D0492"/>
    <w:rsid w:val="008D1039"/>
    <w:rsid w:val="008D16B8"/>
    <w:rsid w:val="008D1854"/>
    <w:rsid w:val="008D1FB9"/>
    <w:rsid w:val="008D21A1"/>
    <w:rsid w:val="008D2C71"/>
    <w:rsid w:val="008D366E"/>
    <w:rsid w:val="008D378B"/>
    <w:rsid w:val="008D422C"/>
    <w:rsid w:val="008D5EC5"/>
    <w:rsid w:val="008D62F2"/>
    <w:rsid w:val="008D6729"/>
    <w:rsid w:val="008E45AB"/>
    <w:rsid w:val="008E47B6"/>
    <w:rsid w:val="008E4849"/>
    <w:rsid w:val="008E4D84"/>
    <w:rsid w:val="008F01FC"/>
    <w:rsid w:val="008F1989"/>
    <w:rsid w:val="008F19DA"/>
    <w:rsid w:val="008F1E55"/>
    <w:rsid w:val="008F2982"/>
    <w:rsid w:val="008F3377"/>
    <w:rsid w:val="008F3C1D"/>
    <w:rsid w:val="008F3CC7"/>
    <w:rsid w:val="008F490E"/>
    <w:rsid w:val="008F5A06"/>
    <w:rsid w:val="008F5C81"/>
    <w:rsid w:val="008F659C"/>
    <w:rsid w:val="008F69BE"/>
    <w:rsid w:val="00901039"/>
    <w:rsid w:val="00902261"/>
    <w:rsid w:val="009025CE"/>
    <w:rsid w:val="00904879"/>
    <w:rsid w:val="00905EC9"/>
    <w:rsid w:val="009071DE"/>
    <w:rsid w:val="009072CA"/>
    <w:rsid w:val="009107CD"/>
    <w:rsid w:val="00911C99"/>
    <w:rsid w:val="00911F30"/>
    <w:rsid w:val="009121E6"/>
    <w:rsid w:val="009141AB"/>
    <w:rsid w:val="009150FE"/>
    <w:rsid w:val="00920316"/>
    <w:rsid w:val="00921C14"/>
    <w:rsid w:val="00921E78"/>
    <w:rsid w:val="0092284C"/>
    <w:rsid w:val="00923CB4"/>
    <w:rsid w:val="00924A1C"/>
    <w:rsid w:val="0092768C"/>
    <w:rsid w:val="0093038B"/>
    <w:rsid w:val="00930421"/>
    <w:rsid w:val="00930645"/>
    <w:rsid w:val="009314F8"/>
    <w:rsid w:val="009320CB"/>
    <w:rsid w:val="009326BF"/>
    <w:rsid w:val="00932745"/>
    <w:rsid w:val="00933F7F"/>
    <w:rsid w:val="0093431A"/>
    <w:rsid w:val="009348A1"/>
    <w:rsid w:val="00934FB2"/>
    <w:rsid w:val="00935F99"/>
    <w:rsid w:val="00936BC5"/>
    <w:rsid w:val="00936EED"/>
    <w:rsid w:val="00937809"/>
    <w:rsid w:val="00941F84"/>
    <w:rsid w:val="0094270C"/>
    <w:rsid w:val="009458F7"/>
    <w:rsid w:val="0095058B"/>
    <w:rsid w:val="0095222C"/>
    <w:rsid w:val="009549DB"/>
    <w:rsid w:val="00954A59"/>
    <w:rsid w:val="00955685"/>
    <w:rsid w:val="0095639F"/>
    <w:rsid w:val="0095650A"/>
    <w:rsid w:val="00956B97"/>
    <w:rsid w:val="0096174A"/>
    <w:rsid w:val="00961912"/>
    <w:rsid w:val="00961B4A"/>
    <w:rsid w:val="00961F99"/>
    <w:rsid w:val="0096770F"/>
    <w:rsid w:val="009711A5"/>
    <w:rsid w:val="00971EB4"/>
    <w:rsid w:val="0097203F"/>
    <w:rsid w:val="00974445"/>
    <w:rsid w:val="00975615"/>
    <w:rsid w:val="00975D95"/>
    <w:rsid w:val="00977C0F"/>
    <w:rsid w:val="00982A28"/>
    <w:rsid w:val="0098492A"/>
    <w:rsid w:val="009850CA"/>
    <w:rsid w:val="009854E6"/>
    <w:rsid w:val="0098577C"/>
    <w:rsid w:val="00985FE2"/>
    <w:rsid w:val="009864E0"/>
    <w:rsid w:val="00986893"/>
    <w:rsid w:val="009912C2"/>
    <w:rsid w:val="00993D6A"/>
    <w:rsid w:val="0099436A"/>
    <w:rsid w:val="00995B08"/>
    <w:rsid w:val="00996351"/>
    <w:rsid w:val="00996BEA"/>
    <w:rsid w:val="009A0F75"/>
    <w:rsid w:val="009A203E"/>
    <w:rsid w:val="009A3E52"/>
    <w:rsid w:val="009A4C1E"/>
    <w:rsid w:val="009A6BBD"/>
    <w:rsid w:val="009A7EBA"/>
    <w:rsid w:val="009B2851"/>
    <w:rsid w:val="009B36C2"/>
    <w:rsid w:val="009B3B35"/>
    <w:rsid w:val="009B469E"/>
    <w:rsid w:val="009B535F"/>
    <w:rsid w:val="009B57FA"/>
    <w:rsid w:val="009B6278"/>
    <w:rsid w:val="009B62A1"/>
    <w:rsid w:val="009B7815"/>
    <w:rsid w:val="009C1087"/>
    <w:rsid w:val="009C1951"/>
    <w:rsid w:val="009C1B54"/>
    <w:rsid w:val="009C1F48"/>
    <w:rsid w:val="009C3761"/>
    <w:rsid w:val="009C5177"/>
    <w:rsid w:val="009C5CAB"/>
    <w:rsid w:val="009C6E29"/>
    <w:rsid w:val="009D0CA9"/>
    <w:rsid w:val="009D16D6"/>
    <w:rsid w:val="009D271F"/>
    <w:rsid w:val="009D2ED5"/>
    <w:rsid w:val="009D41F1"/>
    <w:rsid w:val="009D45F7"/>
    <w:rsid w:val="009D72CC"/>
    <w:rsid w:val="009D746D"/>
    <w:rsid w:val="009E191C"/>
    <w:rsid w:val="009E42F0"/>
    <w:rsid w:val="009E4BF2"/>
    <w:rsid w:val="009E5BBD"/>
    <w:rsid w:val="009E6914"/>
    <w:rsid w:val="009E6968"/>
    <w:rsid w:val="009F0052"/>
    <w:rsid w:val="009F1DD3"/>
    <w:rsid w:val="009F33B2"/>
    <w:rsid w:val="009F6299"/>
    <w:rsid w:val="009F6D1D"/>
    <w:rsid w:val="009F7A40"/>
    <w:rsid w:val="009F7CF9"/>
    <w:rsid w:val="00A00C7C"/>
    <w:rsid w:val="00A01B89"/>
    <w:rsid w:val="00A01E72"/>
    <w:rsid w:val="00A05275"/>
    <w:rsid w:val="00A064BD"/>
    <w:rsid w:val="00A0657F"/>
    <w:rsid w:val="00A14C6A"/>
    <w:rsid w:val="00A1532D"/>
    <w:rsid w:val="00A200D2"/>
    <w:rsid w:val="00A20E52"/>
    <w:rsid w:val="00A20FCE"/>
    <w:rsid w:val="00A244E6"/>
    <w:rsid w:val="00A24DAF"/>
    <w:rsid w:val="00A25453"/>
    <w:rsid w:val="00A25563"/>
    <w:rsid w:val="00A25B6D"/>
    <w:rsid w:val="00A26A8B"/>
    <w:rsid w:val="00A27964"/>
    <w:rsid w:val="00A27D09"/>
    <w:rsid w:val="00A300DE"/>
    <w:rsid w:val="00A3127E"/>
    <w:rsid w:val="00A32135"/>
    <w:rsid w:val="00A33615"/>
    <w:rsid w:val="00A3537F"/>
    <w:rsid w:val="00A3584B"/>
    <w:rsid w:val="00A36539"/>
    <w:rsid w:val="00A36F6E"/>
    <w:rsid w:val="00A37C49"/>
    <w:rsid w:val="00A424F9"/>
    <w:rsid w:val="00A446D7"/>
    <w:rsid w:val="00A448B5"/>
    <w:rsid w:val="00A44AAC"/>
    <w:rsid w:val="00A454D4"/>
    <w:rsid w:val="00A45E97"/>
    <w:rsid w:val="00A465C8"/>
    <w:rsid w:val="00A47A7B"/>
    <w:rsid w:val="00A47D65"/>
    <w:rsid w:val="00A5415F"/>
    <w:rsid w:val="00A54E89"/>
    <w:rsid w:val="00A5610C"/>
    <w:rsid w:val="00A6062B"/>
    <w:rsid w:val="00A63241"/>
    <w:rsid w:val="00A63262"/>
    <w:rsid w:val="00A63C0B"/>
    <w:rsid w:val="00A64A62"/>
    <w:rsid w:val="00A676CB"/>
    <w:rsid w:val="00A708E3"/>
    <w:rsid w:val="00A74983"/>
    <w:rsid w:val="00A76BDA"/>
    <w:rsid w:val="00A76CCB"/>
    <w:rsid w:val="00A771C0"/>
    <w:rsid w:val="00A814C4"/>
    <w:rsid w:val="00A81BE2"/>
    <w:rsid w:val="00A81E7B"/>
    <w:rsid w:val="00A848B4"/>
    <w:rsid w:val="00A848FB"/>
    <w:rsid w:val="00A86FB3"/>
    <w:rsid w:val="00A87109"/>
    <w:rsid w:val="00A87B61"/>
    <w:rsid w:val="00A93775"/>
    <w:rsid w:val="00A938DF"/>
    <w:rsid w:val="00A93A58"/>
    <w:rsid w:val="00A94315"/>
    <w:rsid w:val="00A9458A"/>
    <w:rsid w:val="00A951D7"/>
    <w:rsid w:val="00A95DF3"/>
    <w:rsid w:val="00A97969"/>
    <w:rsid w:val="00AA1158"/>
    <w:rsid w:val="00AA1C4D"/>
    <w:rsid w:val="00AA1E1F"/>
    <w:rsid w:val="00AA2CB4"/>
    <w:rsid w:val="00AA7E1B"/>
    <w:rsid w:val="00AB12B9"/>
    <w:rsid w:val="00AB196D"/>
    <w:rsid w:val="00AB2596"/>
    <w:rsid w:val="00AB4711"/>
    <w:rsid w:val="00AB4C8E"/>
    <w:rsid w:val="00AB6647"/>
    <w:rsid w:val="00AB6783"/>
    <w:rsid w:val="00AC073F"/>
    <w:rsid w:val="00AC13F9"/>
    <w:rsid w:val="00AC17B7"/>
    <w:rsid w:val="00AC27BB"/>
    <w:rsid w:val="00AC312F"/>
    <w:rsid w:val="00AC422C"/>
    <w:rsid w:val="00AC5616"/>
    <w:rsid w:val="00AC62C0"/>
    <w:rsid w:val="00AC7D12"/>
    <w:rsid w:val="00AD2F1C"/>
    <w:rsid w:val="00AD3A96"/>
    <w:rsid w:val="00AD498F"/>
    <w:rsid w:val="00AD4AFF"/>
    <w:rsid w:val="00AD55A3"/>
    <w:rsid w:val="00AD5A10"/>
    <w:rsid w:val="00AD7278"/>
    <w:rsid w:val="00AD794C"/>
    <w:rsid w:val="00AE0E4E"/>
    <w:rsid w:val="00AE0ECD"/>
    <w:rsid w:val="00AE1745"/>
    <w:rsid w:val="00AE2758"/>
    <w:rsid w:val="00AE37D3"/>
    <w:rsid w:val="00AE4417"/>
    <w:rsid w:val="00AE4DD8"/>
    <w:rsid w:val="00AE576E"/>
    <w:rsid w:val="00AE5C84"/>
    <w:rsid w:val="00AE6DC5"/>
    <w:rsid w:val="00AF1663"/>
    <w:rsid w:val="00AF2C92"/>
    <w:rsid w:val="00AF3C4F"/>
    <w:rsid w:val="00AF510A"/>
    <w:rsid w:val="00AF6ACE"/>
    <w:rsid w:val="00B00C77"/>
    <w:rsid w:val="00B01D7F"/>
    <w:rsid w:val="00B02CC8"/>
    <w:rsid w:val="00B03E7B"/>
    <w:rsid w:val="00B045BE"/>
    <w:rsid w:val="00B0503A"/>
    <w:rsid w:val="00B060C8"/>
    <w:rsid w:val="00B07E68"/>
    <w:rsid w:val="00B119DC"/>
    <w:rsid w:val="00B1234F"/>
    <w:rsid w:val="00B13C40"/>
    <w:rsid w:val="00B14332"/>
    <w:rsid w:val="00B14DC5"/>
    <w:rsid w:val="00B15FAB"/>
    <w:rsid w:val="00B16749"/>
    <w:rsid w:val="00B2234D"/>
    <w:rsid w:val="00B235B5"/>
    <w:rsid w:val="00B25805"/>
    <w:rsid w:val="00B2672E"/>
    <w:rsid w:val="00B271C7"/>
    <w:rsid w:val="00B30662"/>
    <w:rsid w:val="00B31655"/>
    <w:rsid w:val="00B31F77"/>
    <w:rsid w:val="00B32051"/>
    <w:rsid w:val="00B32836"/>
    <w:rsid w:val="00B42300"/>
    <w:rsid w:val="00B430DF"/>
    <w:rsid w:val="00B443E7"/>
    <w:rsid w:val="00B463AC"/>
    <w:rsid w:val="00B46CC9"/>
    <w:rsid w:val="00B47CBB"/>
    <w:rsid w:val="00B50113"/>
    <w:rsid w:val="00B50984"/>
    <w:rsid w:val="00B51B43"/>
    <w:rsid w:val="00B563EA"/>
    <w:rsid w:val="00B569EF"/>
    <w:rsid w:val="00B601A8"/>
    <w:rsid w:val="00B60FD7"/>
    <w:rsid w:val="00B62062"/>
    <w:rsid w:val="00B62FB3"/>
    <w:rsid w:val="00B636F4"/>
    <w:rsid w:val="00B64614"/>
    <w:rsid w:val="00B653D2"/>
    <w:rsid w:val="00B66F77"/>
    <w:rsid w:val="00B736CC"/>
    <w:rsid w:val="00B73F7D"/>
    <w:rsid w:val="00B77749"/>
    <w:rsid w:val="00B77CC9"/>
    <w:rsid w:val="00B80883"/>
    <w:rsid w:val="00B80E2E"/>
    <w:rsid w:val="00B82704"/>
    <w:rsid w:val="00B85992"/>
    <w:rsid w:val="00B85F9E"/>
    <w:rsid w:val="00B8661D"/>
    <w:rsid w:val="00B87AED"/>
    <w:rsid w:val="00B924C0"/>
    <w:rsid w:val="00B92ADE"/>
    <w:rsid w:val="00B94BE0"/>
    <w:rsid w:val="00B95441"/>
    <w:rsid w:val="00B95A2C"/>
    <w:rsid w:val="00B95AF4"/>
    <w:rsid w:val="00B96E43"/>
    <w:rsid w:val="00B971C7"/>
    <w:rsid w:val="00BA0805"/>
    <w:rsid w:val="00BA1288"/>
    <w:rsid w:val="00BA3C8A"/>
    <w:rsid w:val="00BA5084"/>
    <w:rsid w:val="00BB1A22"/>
    <w:rsid w:val="00BB1B54"/>
    <w:rsid w:val="00BB218D"/>
    <w:rsid w:val="00BB3301"/>
    <w:rsid w:val="00BB37E9"/>
    <w:rsid w:val="00BB4015"/>
    <w:rsid w:val="00BB4130"/>
    <w:rsid w:val="00BB5D73"/>
    <w:rsid w:val="00BB7508"/>
    <w:rsid w:val="00BB7ABC"/>
    <w:rsid w:val="00BC1251"/>
    <w:rsid w:val="00BC2249"/>
    <w:rsid w:val="00BC22C4"/>
    <w:rsid w:val="00BC24B5"/>
    <w:rsid w:val="00BC46DE"/>
    <w:rsid w:val="00BC5736"/>
    <w:rsid w:val="00BC5BFD"/>
    <w:rsid w:val="00BC67A8"/>
    <w:rsid w:val="00BC7209"/>
    <w:rsid w:val="00BC74AA"/>
    <w:rsid w:val="00BC7A93"/>
    <w:rsid w:val="00BD0536"/>
    <w:rsid w:val="00BD1448"/>
    <w:rsid w:val="00BD17FF"/>
    <w:rsid w:val="00BD1D76"/>
    <w:rsid w:val="00BD3A59"/>
    <w:rsid w:val="00BD5968"/>
    <w:rsid w:val="00BD650D"/>
    <w:rsid w:val="00BE14C8"/>
    <w:rsid w:val="00BE1F47"/>
    <w:rsid w:val="00BE2FAC"/>
    <w:rsid w:val="00BE3B10"/>
    <w:rsid w:val="00BE585F"/>
    <w:rsid w:val="00BE7982"/>
    <w:rsid w:val="00BF1BEA"/>
    <w:rsid w:val="00BF2D05"/>
    <w:rsid w:val="00BF4C00"/>
    <w:rsid w:val="00BF5C42"/>
    <w:rsid w:val="00BF7BFC"/>
    <w:rsid w:val="00C036B6"/>
    <w:rsid w:val="00C03C0A"/>
    <w:rsid w:val="00C07BAC"/>
    <w:rsid w:val="00C109D7"/>
    <w:rsid w:val="00C10E66"/>
    <w:rsid w:val="00C127AB"/>
    <w:rsid w:val="00C1281F"/>
    <w:rsid w:val="00C12A32"/>
    <w:rsid w:val="00C13D12"/>
    <w:rsid w:val="00C14ACE"/>
    <w:rsid w:val="00C14F66"/>
    <w:rsid w:val="00C14F67"/>
    <w:rsid w:val="00C15249"/>
    <w:rsid w:val="00C155B1"/>
    <w:rsid w:val="00C16CFC"/>
    <w:rsid w:val="00C206B8"/>
    <w:rsid w:val="00C21637"/>
    <w:rsid w:val="00C21660"/>
    <w:rsid w:val="00C219B9"/>
    <w:rsid w:val="00C22926"/>
    <w:rsid w:val="00C22D42"/>
    <w:rsid w:val="00C24EF4"/>
    <w:rsid w:val="00C24F92"/>
    <w:rsid w:val="00C265E7"/>
    <w:rsid w:val="00C26D20"/>
    <w:rsid w:val="00C27465"/>
    <w:rsid w:val="00C27C91"/>
    <w:rsid w:val="00C326C8"/>
    <w:rsid w:val="00C327CD"/>
    <w:rsid w:val="00C34004"/>
    <w:rsid w:val="00C345C5"/>
    <w:rsid w:val="00C36917"/>
    <w:rsid w:val="00C37871"/>
    <w:rsid w:val="00C37C86"/>
    <w:rsid w:val="00C401B8"/>
    <w:rsid w:val="00C406E8"/>
    <w:rsid w:val="00C40BBB"/>
    <w:rsid w:val="00C50E3C"/>
    <w:rsid w:val="00C518DD"/>
    <w:rsid w:val="00C51C63"/>
    <w:rsid w:val="00C552B9"/>
    <w:rsid w:val="00C55D19"/>
    <w:rsid w:val="00C56198"/>
    <w:rsid w:val="00C5703C"/>
    <w:rsid w:val="00C60265"/>
    <w:rsid w:val="00C6197C"/>
    <w:rsid w:val="00C61FCB"/>
    <w:rsid w:val="00C622DF"/>
    <w:rsid w:val="00C623EF"/>
    <w:rsid w:val="00C62815"/>
    <w:rsid w:val="00C651E2"/>
    <w:rsid w:val="00C65D14"/>
    <w:rsid w:val="00C67681"/>
    <w:rsid w:val="00C67A90"/>
    <w:rsid w:val="00C70D8F"/>
    <w:rsid w:val="00C713ED"/>
    <w:rsid w:val="00C72F38"/>
    <w:rsid w:val="00C76DB2"/>
    <w:rsid w:val="00C7721F"/>
    <w:rsid w:val="00C77C51"/>
    <w:rsid w:val="00C8044B"/>
    <w:rsid w:val="00C80CE6"/>
    <w:rsid w:val="00C81310"/>
    <w:rsid w:val="00C81351"/>
    <w:rsid w:val="00C81C92"/>
    <w:rsid w:val="00C82482"/>
    <w:rsid w:val="00C83293"/>
    <w:rsid w:val="00C84CD0"/>
    <w:rsid w:val="00C854BA"/>
    <w:rsid w:val="00C85E9D"/>
    <w:rsid w:val="00C87615"/>
    <w:rsid w:val="00C90882"/>
    <w:rsid w:val="00C90BE7"/>
    <w:rsid w:val="00C91A97"/>
    <w:rsid w:val="00C91D62"/>
    <w:rsid w:val="00C92B0D"/>
    <w:rsid w:val="00C93AAC"/>
    <w:rsid w:val="00C94D61"/>
    <w:rsid w:val="00CA0361"/>
    <w:rsid w:val="00CA20DB"/>
    <w:rsid w:val="00CA2333"/>
    <w:rsid w:val="00CA5E3F"/>
    <w:rsid w:val="00CA6147"/>
    <w:rsid w:val="00CA63C0"/>
    <w:rsid w:val="00CA7803"/>
    <w:rsid w:val="00CA7D2D"/>
    <w:rsid w:val="00CB17D8"/>
    <w:rsid w:val="00CB1B97"/>
    <w:rsid w:val="00CB262F"/>
    <w:rsid w:val="00CB4057"/>
    <w:rsid w:val="00CB4090"/>
    <w:rsid w:val="00CB416D"/>
    <w:rsid w:val="00CB49E2"/>
    <w:rsid w:val="00CB52CF"/>
    <w:rsid w:val="00CB5481"/>
    <w:rsid w:val="00CB6A22"/>
    <w:rsid w:val="00CC23F6"/>
    <w:rsid w:val="00CC2578"/>
    <w:rsid w:val="00CC4526"/>
    <w:rsid w:val="00CC580E"/>
    <w:rsid w:val="00CC7860"/>
    <w:rsid w:val="00CD0AB8"/>
    <w:rsid w:val="00CD2C00"/>
    <w:rsid w:val="00CD2F96"/>
    <w:rsid w:val="00CD5791"/>
    <w:rsid w:val="00CD64F4"/>
    <w:rsid w:val="00CD664D"/>
    <w:rsid w:val="00CD74DB"/>
    <w:rsid w:val="00CE2342"/>
    <w:rsid w:val="00CE303A"/>
    <w:rsid w:val="00CE4C9A"/>
    <w:rsid w:val="00CE4E7F"/>
    <w:rsid w:val="00CE723B"/>
    <w:rsid w:val="00CE7C3C"/>
    <w:rsid w:val="00CF0114"/>
    <w:rsid w:val="00CF0ED1"/>
    <w:rsid w:val="00CF0FBB"/>
    <w:rsid w:val="00CF161A"/>
    <w:rsid w:val="00CF1D2B"/>
    <w:rsid w:val="00CF435B"/>
    <w:rsid w:val="00CF447B"/>
    <w:rsid w:val="00CF4686"/>
    <w:rsid w:val="00CF6810"/>
    <w:rsid w:val="00D00695"/>
    <w:rsid w:val="00D00DD5"/>
    <w:rsid w:val="00D10268"/>
    <w:rsid w:val="00D13104"/>
    <w:rsid w:val="00D14502"/>
    <w:rsid w:val="00D15883"/>
    <w:rsid w:val="00D15A3A"/>
    <w:rsid w:val="00D16601"/>
    <w:rsid w:val="00D16D66"/>
    <w:rsid w:val="00D1707A"/>
    <w:rsid w:val="00D1799C"/>
    <w:rsid w:val="00D17BA6"/>
    <w:rsid w:val="00D204E2"/>
    <w:rsid w:val="00D21C95"/>
    <w:rsid w:val="00D244CD"/>
    <w:rsid w:val="00D24511"/>
    <w:rsid w:val="00D2493A"/>
    <w:rsid w:val="00D25729"/>
    <w:rsid w:val="00D26083"/>
    <w:rsid w:val="00D26B25"/>
    <w:rsid w:val="00D331D1"/>
    <w:rsid w:val="00D34EC4"/>
    <w:rsid w:val="00D371C2"/>
    <w:rsid w:val="00D400D2"/>
    <w:rsid w:val="00D42747"/>
    <w:rsid w:val="00D43B9C"/>
    <w:rsid w:val="00D4413E"/>
    <w:rsid w:val="00D447AA"/>
    <w:rsid w:val="00D45CAB"/>
    <w:rsid w:val="00D507CB"/>
    <w:rsid w:val="00D51D4E"/>
    <w:rsid w:val="00D52AC8"/>
    <w:rsid w:val="00D54D94"/>
    <w:rsid w:val="00D55F47"/>
    <w:rsid w:val="00D60581"/>
    <w:rsid w:val="00D60CDD"/>
    <w:rsid w:val="00D61DC3"/>
    <w:rsid w:val="00D621B3"/>
    <w:rsid w:val="00D62D7E"/>
    <w:rsid w:val="00D635AC"/>
    <w:rsid w:val="00D65089"/>
    <w:rsid w:val="00D650D8"/>
    <w:rsid w:val="00D677A3"/>
    <w:rsid w:val="00D677DF"/>
    <w:rsid w:val="00D67B33"/>
    <w:rsid w:val="00D70359"/>
    <w:rsid w:val="00D72053"/>
    <w:rsid w:val="00D72C2A"/>
    <w:rsid w:val="00D72D00"/>
    <w:rsid w:val="00D72E93"/>
    <w:rsid w:val="00D73119"/>
    <w:rsid w:val="00D73475"/>
    <w:rsid w:val="00D73A17"/>
    <w:rsid w:val="00D73E80"/>
    <w:rsid w:val="00D7495D"/>
    <w:rsid w:val="00D74FEE"/>
    <w:rsid w:val="00D75281"/>
    <w:rsid w:val="00D763E2"/>
    <w:rsid w:val="00D77181"/>
    <w:rsid w:val="00D77646"/>
    <w:rsid w:val="00D823B0"/>
    <w:rsid w:val="00D85A89"/>
    <w:rsid w:val="00D860B4"/>
    <w:rsid w:val="00D86935"/>
    <w:rsid w:val="00D91C68"/>
    <w:rsid w:val="00D93114"/>
    <w:rsid w:val="00D94C18"/>
    <w:rsid w:val="00D95F2A"/>
    <w:rsid w:val="00DA0892"/>
    <w:rsid w:val="00DA18BD"/>
    <w:rsid w:val="00DA1CF6"/>
    <w:rsid w:val="00DA2DBC"/>
    <w:rsid w:val="00DA5262"/>
    <w:rsid w:val="00DA6F07"/>
    <w:rsid w:val="00DA7497"/>
    <w:rsid w:val="00DA7C5A"/>
    <w:rsid w:val="00DB05AF"/>
    <w:rsid w:val="00DB1460"/>
    <w:rsid w:val="00DB1651"/>
    <w:rsid w:val="00DB1A71"/>
    <w:rsid w:val="00DB1BDC"/>
    <w:rsid w:val="00DB1F2D"/>
    <w:rsid w:val="00DB34F5"/>
    <w:rsid w:val="00DB39FC"/>
    <w:rsid w:val="00DB53A4"/>
    <w:rsid w:val="00DB58AF"/>
    <w:rsid w:val="00DB608C"/>
    <w:rsid w:val="00DB6E65"/>
    <w:rsid w:val="00DC08CD"/>
    <w:rsid w:val="00DC1C0D"/>
    <w:rsid w:val="00DC28DF"/>
    <w:rsid w:val="00DC37B2"/>
    <w:rsid w:val="00DC574C"/>
    <w:rsid w:val="00DC5AD2"/>
    <w:rsid w:val="00DD06F6"/>
    <w:rsid w:val="00DD1AC5"/>
    <w:rsid w:val="00DD35B6"/>
    <w:rsid w:val="00DD3F27"/>
    <w:rsid w:val="00DD415A"/>
    <w:rsid w:val="00DD43F7"/>
    <w:rsid w:val="00DD5563"/>
    <w:rsid w:val="00DD55EB"/>
    <w:rsid w:val="00DD572A"/>
    <w:rsid w:val="00DD67D8"/>
    <w:rsid w:val="00DD6DFE"/>
    <w:rsid w:val="00DE0D47"/>
    <w:rsid w:val="00DE1242"/>
    <w:rsid w:val="00DE157E"/>
    <w:rsid w:val="00DE1704"/>
    <w:rsid w:val="00DE22EC"/>
    <w:rsid w:val="00DE25BB"/>
    <w:rsid w:val="00DE353F"/>
    <w:rsid w:val="00DE498F"/>
    <w:rsid w:val="00DE4D6A"/>
    <w:rsid w:val="00DE4FA7"/>
    <w:rsid w:val="00DE7A9A"/>
    <w:rsid w:val="00DE7CDE"/>
    <w:rsid w:val="00DF06E6"/>
    <w:rsid w:val="00DF1086"/>
    <w:rsid w:val="00DF120C"/>
    <w:rsid w:val="00DF197F"/>
    <w:rsid w:val="00DF2002"/>
    <w:rsid w:val="00DF2BC6"/>
    <w:rsid w:val="00DF66AD"/>
    <w:rsid w:val="00DF7FB7"/>
    <w:rsid w:val="00E014A0"/>
    <w:rsid w:val="00E01EE8"/>
    <w:rsid w:val="00E03A87"/>
    <w:rsid w:val="00E04028"/>
    <w:rsid w:val="00E04DB4"/>
    <w:rsid w:val="00E054F6"/>
    <w:rsid w:val="00E05C6C"/>
    <w:rsid w:val="00E10DBF"/>
    <w:rsid w:val="00E152D2"/>
    <w:rsid w:val="00E159E7"/>
    <w:rsid w:val="00E201C6"/>
    <w:rsid w:val="00E20A2A"/>
    <w:rsid w:val="00E20BA4"/>
    <w:rsid w:val="00E22513"/>
    <w:rsid w:val="00E22B1F"/>
    <w:rsid w:val="00E23E84"/>
    <w:rsid w:val="00E2483B"/>
    <w:rsid w:val="00E25D4B"/>
    <w:rsid w:val="00E2643D"/>
    <w:rsid w:val="00E27975"/>
    <w:rsid w:val="00E27AF5"/>
    <w:rsid w:val="00E3014D"/>
    <w:rsid w:val="00E30C06"/>
    <w:rsid w:val="00E31051"/>
    <w:rsid w:val="00E31F61"/>
    <w:rsid w:val="00E36FEF"/>
    <w:rsid w:val="00E42275"/>
    <w:rsid w:val="00E42425"/>
    <w:rsid w:val="00E43B0A"/>
    <w:rsid w:val="00E43F41"/>
    <w:rsid w:val="00E45647"/>
    <w:rsid w:val="00E45CB4"/>
    <w:rsid w:val="00E509C9"/>
    <w:rsid w:val="00E5233F"/>
    <w:rsid w:val="00E54D5A"/>
    <w:rsid w:val="00E54E1F"/>
    <w:rsid w:val="00E56C9F"/>
    <w:rsid w:val="00E57103"/>
    <w:rsid w:val="00E606CF"/>
    <w:rsid w:val="00E6274E"/>
    <w:rsid w:val="00E64BA5"/>
    <w:rsid w:val="00E64E3A"/>
    <w:rsid w:val="00E702E6"/>
    <w:rsid w:val="00E7341F"/>
    <w:rsid w:val="00E758F4"/>
    <w:rsid w:val="00E762C6"/>
    <w:rsid w:val="00E76718"/>
    <w:rsid w:val="00E7780C"/>
    <w:rsid w:val="00E779A6"/>
    <w:rsid w:val="00E80EA1"/>
    <w:rsid w:val="00E8117F"/>
    <w:rsid w:val="00E82071"/>
    <w:rsid w:val="00E8277C"/>
    <w:rsid w:val="00E82B23"/>
    <w:rsid w:val="00E83AEC"/>
    <w:rsid w:val="00E9043E"/>
    <w:rsid w:val="00E90B3D"/>
    <w:rsid w:val="00E913AD"/>
    <w:rsid w:val="00E92FB0"/>
    <w:rsid w:val="00E9328A"/>
    <w:rsid w:val="00E93FE7"/>
    <w:rsid w:val="00E9428A"/>
    <w:rsid w:val="00E9437C"/>
    <w:rsid w:val="00E9487A"/>
    <w:rsid w:val="00E953CA"/>
    <w:rsid w:val="00EA0082"/>
    <w:rsid w:val="00EA06DC"/>
    <w:rsid w:val="00EA0CE4"/>
    <w:rsid w:val="00EA0E8B"/>
    <w:rsid w:val="00EA10DB"/>
    <w:rsid w:val="00EA11A9"/>
    <w:rsid w:val="00EA23B2"/>
    <w:rsid w:val="00EA33D6"/>
    <w:rsid w:val="00EA36EF"/>
    <w:rsid w:val="00EA456D"/>
    <w:rsid w:val="00EA46D9"/>
    <w:rsid w:val="00EA6D53"/>
    <w:rsid w:val="00EA7AC8"/>
    <w:rsid w:val="00EB04C8"/>
    <w:rsid w:val="00EB1998"/>
    <w:rsid w:val="00EB4854"/>
    <w:rsid w:val="00EB4F89"/>
    <w:rsid w:val="00EB69B8"/>
    <w:rsid w:val="00EC27C7"/>
    <w:rsid w:val="00EC2FCF"/>
    <w:rsid w:val="00EC38FF"/>
    <w:rsid w:val="00EC3F5D"/>
    <w:rsid w:val="00EC5F13"/>
    <w:rsid w:val="00EC60B9"/>
    <w:rsid w:val="00EC79EA"/>
    <w:rsid w:val="00ED2B74"/>
    <w:rsid w:val="00ED34B7"/>
    <w:rsid w:val="00ED40B8"/>
    <w:rsid w:val="00ED4101"/>
    <w:rsid w:val="00ED4BE2"/>
    <w:rsid w:val="00ED70B2"/>
    <w:rsid w:val="00ED7F0B"/>
    <w:rsid w:val="00EE3266"/>
    <w:rsid w:val="00EE3E38"/>
    <w:rsid w:val="00EE3F48"/>
    <w:rsid w:val="00EE58A6"/>
    <w:rsid w:val="00EE701B"/>
    <w:rsid w:val="00EE769E"/>
    <w:rsid w:val="00EF0701"/>
    <w:rsid w:val="00EF095A"/>
    <w:rsid w:val="00EF0B0C"/>
    <w:rsid w:val="00EF1C23"/>
    <w:rsid w:val="00EF3A0A"/>
    <w:rsid w:val="00EF4115"/>
    <w:rsid w:val="00EF4499"/>
    <w:rsid w:val="00EF517D"/>
    <w:rsid w:val="00F002C7"/>
    <w:rsid w:val="00F02729"/>
    <w:rsid w:val="00F036E8"/>
    <w:rsid w:val="00F1201B"/>
    <w:rsid w:val="00F12547"/>
    <w:rsid w:val="00F14617"/>
    <w:rsid w:val="00F17295"/>
    <w:rsid w:val="00F173FB"/>
    <w:rsid w:val="00F21236"/>
    <w:rsid w:val="00F21E0A"/>
    <w:rsid w:val="00F22568"/>
    <w:rsid w:val="00F22D21"/>
    <w:rsid w:val="00F23511"/>
    <w:rsid w:val="00F23B1A"/>
    <w:rsid w:val="00F2403E"/>
    <w:rsid w:val="00F2409F"/>
    <w:rsid w:val="00F240FA"/>
    <w:rsid w:val="00F24DC6"/>
    <w:rsid w:val="00F31FC4"/>
    <w:rsid w:val="00F32410"/>
    <w:rsid w:val="00F33813"/>
    <w:rsid w:val="00F341B6"/>
    <w:rsid w:val="00F359B7"/>
    <w:rsid w:val="00F36C6B"/>
    <w:rsid w:val="00F36E58"/>
    <w:rsid w:val="00F36EAB"/>
    <w:rsid w:val="00F43F50"/>
    <w:rsid w:val="00F44802"/>
    <w:rsid w:val="00F44F22"/>
    <w:rsid w:val="00F450E0"/>
    <w:rsid w:val="00F45317"/>
    <w:rsid w:val="00F46583"/>
    <w:rsid w:val="00F46A35"/>
    <w:rsid w:val="00F47922"/>
    <w:rsid w:val="00F54CFA"/>
    <w:rsid w:val="00F56010"/>
    <w:rsid w:val="00F56653"/>
    <w:rsid w:val="00F56F8E"/>
    <w:rsid w:val="00F61A29"/>
    <w:rsid w:val="00F62AD7"/>
    <w:rsid w:val="00F62B23"/>
    <w:rsid w:val="00F63131"/>
    <w:rsid w:val="00F65D26"/>
    <w:rsid w:val="00F669C3"/>
    <w:rsid w:val="00F67398"/>
    <w:rsid w:val="00F70183"/>
    <w:rsid w:val="00F702CC"/>
    <w:rsid w:val="00F713D4"/>
    <w:rsid w:val="00F7224D"/>
    <w:rsid w:val="00F72A47"/>
    <w:rsid w:val="00F75531"/>
    <w:rsid w:val="00F757DB"/>
    <w:rsid w:val="00F770C3"/>
    <w:rsid w:val="00F77A4F"/>
    <w:rsid w:val="00F80E59"/>
    <w:rsid w:val="00F8104A"/>
    <w:rsid w:val="00F81B47"/>
    <w:rsid w:val="00F82046"/>
    <w:rsid w:val="00F82C86"/>
    <w:rsid w:val="00F83013"/>
    <w:rsid w:val="00F857DB"/>
    <w:rsid w:val="00F85A03"/>
    <w:rsid w:val="00F8670B"/>
    <w:rsid w:val="00F8690D"/>
    <w:rsid w:val="00F91DB3"/>
    <w:rsid w:val="00F91E6D"/>
    <w:rsid w:val="00F94CEA"/>
    <w:rsid w:val="00FA138E"/>
    <w:rsid w:val="00FA5635"/>
    <w:rsid w:val="00FA5833"/>
    <w:rsid w:val="00FA7AAD"/>
    <w:rsid w:val="00FB0717"/>
    <w:rsid w:val="00FB1325"/>
    <w:rsid w:val="00FB3646"/>
    <w:rsid w:val="00FB442F"/>
    <w:rsid w:val="00FB5217"/>
    <w:rsid w:val="00FB5E01"/>
    <w:rsid w:val="00FB7876"/>
    <w:rsid w:val="00FB7A3B"/>
    <w:rsid w:val="00FC1B71"/>
    <w:rsid w:val="00FC1F47"/>
    <w:rsid w:val="00FC2092"/>
    <w:rsid w:val="00FC5DAA"/>
    <w:rsid w:val="00FC735E"/>
    <w:rsid w:val="00FC73A2"/>
    <w:rsid w:val="00FC7671"/>
    <w:rsid w:val="00FC792D"/>
    <w:rsid w:val="00FC7EEA"/>
    <w:rsid w:val="00FD0C5A"/>
    <w:rsid w:val="00FD0EEE"/>
    <w:rsid w:val="00FD1649"/>
    <w:rsid w:val="00FD1F02"/>
    <w:rsid w:val="00FD3B9B"/>
    <w:rsid w:val="00FD53C9"/>
    <w:rsid w:val="00FD584D"/>
    <w:rsid w:val="00FD5877"/>
    <w:rsid w:val="00FD7081"/>
    <w:rsid w:val="00FD73DB"/>
    <w:rsid w:val="00FD7713"/>
    <w:rsid w:val="00FE020C"/>
    <w:rsid w:val="00FE0F5E"/>
    <w:rsid w:val="00FE172C"/>
    <w:rsid w:val="00FE2D69"/>
    <w:rsid w:val="00FE3BD1"/>
    <w:rsid w:val="00FE4234"/>
    <w:rsid w:val="00FE4D1B"/>
    <w:rsid w:val="00FE6B07"/>
    <w:rsid w:val="00FE794B"/>
    <w:rsid w:val="00FF1080"/>
    <w:rsid w:val="00FF3C96"/>
    <w:rsid w:val="00FF47DE"/>
    <w:rsid w:val="00FF53B3"/>
    <w:rsid w:val="00FF5767"/>
    <w:rsid w:val="00FF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
    <w:name w:val="title"/>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0">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DD415A"/>
    <w:pPr>
      <w:spacing w:after="160"/>
      <w:jc w:val="center"/>
    </w:pPr>
    <w:rPr>
      <w:rFonts w:ascii="Arial" w:hAnsi="Arial" w:cs="Arial"/>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customStyle="1" w:styleId="Captiontitle">
    <w:name w:val="Caption title"/>
    <w:basedOn w:val="Caption"/>
    <w:link w:val="CaptiontitleChar"/>
    <w:rsid w:val="002C74C8"/>
    <w:pPr>
      <w:keepNext/>
      <w:keepLines/>
      <w:widowControl/>
      <w:tabs>
        <w:tab w:val="clear" w:pos="0"/>
        <w:tab w:val="clear" w:pos="270"/>
        <w:tab w:val="clear" w:pos="720"/>
        <w:tab w:val="clear" w:pos="1440"/>
        <w:tab w:val="clear" w:pos="2160"/>
        <w:tab w:val="clear" w:pos="2880"/>
        <w:tab w:val="clear" w:pos="3240"/>
        <w:tab w:val="clear" w:pos="3420"/>
        <w:tab w:val="clear" w:pos="3600"/>
        <w:tab w:val="clear" w:pos="3780"/>
        <w:tab w:val="clear" w:pos="4230"/>
        <w:tab w:val="clear" w:pos="7200"/>
        <w:tab w:val="clear" w:pos="7920"/>
        <w:tab w:val="clear" w:pos="8640"/>
        <w:tab w:val="right" w:pos="9360"/>
      </w:tabs>
      <w:suppressAutoHyphens/>
      <w:spacing w:after="120"/>
      <w:ind w:firstLine="288"/>
      <w:jc w:val="both"/>
    </w:pPr>
    <w:rPr>
      <w:bCs/>
      <w:snapToGrid/>
      <w:sz w:val="22"/>
      <w:u w:val="none"/>
    </w:rPr>
  </w:style>
  <w:style w:type="character" w:customStyle="1" w:styleId="CaptiontitleChar">
    <w:name w:val="Caption title Char"/>
    <w:basedOn w:val="CaptionChar"/>
    <w:link w:val="Captiontitle"/>
    <w:rsid w:val="002C74C8"/>
    <w:rPr>
      <w:bCs/>
      <w:sz w:val="22"/>
    </w:rPr>
  </w:style>
  <w:style w:type="character" w:customStyle="1" w:styleId="nlmyear">
    <w:name w:val="nlm_year"/>
    <w:basedOn w:val="DefaultParagraphFont"/>
    <w:rsid w:val="00B95441"/>
  </w:style>
  <w:style w:type="character" w:customStyle="1" w:styleId="nlmarticle-title">
    <w:name w:val="nlm_article-title"/>
    <w:basedOn w:val="DefaultParagraphFont"/>
    <w:rsid w:val="00B95441"/>
  </w:style>
  <w:style w:type="character" w:customStyle="1" w:styleId="nlmfpage">
    <w:name w:val="nlm_fpage"/>
    <w:basedOn w:val="DefaultParagraphFont"/>
    <w:rsid w:val="00B95441"/>
  </w:style>
  <w:style w:type="character" w:customStyle="1" w:styleId="nlmlpage">
    <w:name w:val="nlm_lpage"/>
    <w:basedOn w:val="DefaultParagraphFont"/>
    <w:rsid w:val="00B95441"/>
  </w:style>
  <w:style w:type="paragraph" w:styleId="ListParagraph">
    <w:name w:val="List Paragraph"/>
    <w:basedOn w:val="Normal"/>
    <w:uiPriority w:val="34"/>
    <w:qFormat/>
    <w:rsid w:val="00961B4A"/>
    <w:pPr>
      <w:ind w:left="720"/>
      <w:contextualSpacing/>
    </w:pPr>
  </w:style>
</w:styles>
</file>

<file path=word/webSettings.xml><?xml version="1.0" encoding="utf-8"?>
<w:webSettings xmlns:r="http://schemas.openxmlformats.org/officeDocument/2006/relationships" xmlns:w="http://schemas.openxmlformats.org/wordprocessingml/2006/main">
  <w:divs>
    <w:div w:id="11345270">
      <w:bodyDiv w:val="1"/>
      <w:marLeft w:val="0"/>
      <w:marRight w:val="0"/>
      <w:marTop w:val="0"/>
      <w:marBottom w:val="0"/>
      <w:divBdr>
        <w:top w:val="none" w:sz="0" w:space="0" w:color="auto"/>
        <w:left w:val="none" w:sz="0" w:space="0" w:color="auto"/>
        <w:bottom w:val="none" w:sz="0" w:space="0" w:color="auto"/>
        <w:right w:val="none" w:sz="0" w:space="0" w:color="auto"/>
      </w:divBdr>
    </w:div>
    <w:div w:id="20981718">
      <w:bodyDiv w:val="1"/>
      <w:marLeft w:val="0"/>
      <w:marRight w:val="0"/>
      <w:marTop w:val="0"/>
      <w:marBottom w:val="0"/>
      <w:divBdr>
        <w:top w:val="none" w:sz="0" w:space="0" w:color="auto"/>
        <w:left w:val="none" w:sz="0" w:space="0" w:color="auto"/>
        <w:bottom w:val="none" w:sz="0" w:space="0" w:color="auto"/>
        <w:right w:val="none" w:sz="0" w:space="0" w:color="auto"/>
      </w:divBdr>
    </w:div>
    <w:div w:id="126751895">
      <w:bodyDiv w:val="1"/>
      <w:marLeft w:val="0"/>
      <w:marRight w:val="0"/>
      <w:marTop w:val="0"/>
      <w:marBottom w:val="0"/>
      <w:divBdr>
        <w:top w:val="none" w:sz="0" w:space="0" w:color="auto"/>
        <w:left w:val="none" w:sz="0" w:space="0" w:color="auto"/>
        <w:bottom w:val="none" w:sz="0" w:space="0" w:color="auto"/>
        <w:right w:val="none" w:sz="0" w:space="0" w:color="auto"/>
      </w:divBdr>
    </w:div>
    <w:div w:id="162938536">
      <w:bodyDiv w:val="1"/>
      <w:marLeft w:val="0"/>
      <w:marRight w:val="0"/>
      <w:marTop w:val="0"/>
      <w:marBottom w:val="0"/>
      <w:divBdr>
        <w:top w:val="none" w:sz="0" w:space="0" w:color="auto"/>
        <w:left w:val="none" w:sz="0" w:space="0" w:color="auto"/>
        <w:bottom w:val="none" w:sz="0" w:space="0" w:color="auto"/>
        <w:right w:val="none" w:sz="0" w:space="0" w:color="auto"/>
      </w:divBdr>
    </w:div>
    <w:div w:id="255942215">
      <w:bodyDiv w:val="1"/>
      <w:marLeft w:val="0"/>
      <w:marRight w:val="0"/>
      <w:marTop w:val="0"/>
      <w:marBottom w:val="0"/>
      <w:divBdr>
        <w:top w:val="none" w:sz="0" w:space="0" w:color="auto"/>
        <w:left w:val="none" w:sz="0" w:space="0" w:color="auto"/>
        <w:bottom w:val="none" w:sz="0" w:space="0" w:color="auto"/>
        <w:right w:val="none" w:sz="0" w:space="0" w:color="auto"/>
      </w:divBdr>
    </w:div>
    <w:div w:id="324287846">
      <w:bodyDiv w:val="1"/>
      <w:marLeft w:val="0"/>
      <w:marRight w:val="0"/>
      <w:marTop w:val="0"/>
      <w:marBottom w:val="0"/>
      <w:divBdr>
        <w:top w:val="none" w:sz="0" w:space="0" w:color="auto"/>
        <w:left w:val="none" w:sz="0" w:space="0" w:color="auto"/>
        <w:bottom w:val="none" w:sz="0" w:space="0" w:color="auto"/>
        <w:right w:val="none" w:sz="0" w:space="0" w:color="auto"/>
      </w:divBdr>
    </w:div>
    <w:div w:id="586036227">
      <w:bodyDiv w:val="1"/>
      <w:marLeft w:val="0"/>
      <w:marRight w:val="0"/>
      <w:marTop w:val="0"/>
      <w:marBottom w:val="0"/>
      <w:divBdr>
        <w:top w:val="none" w:sz="0" w:space="0" w:color="auto"/>
        <w:left w:val="none" w:sz="0" w:space="0" w:color="auto"/>
        <w:bottom w:val="none" w:sz="0" w:space="0" w:color="auto"/>
        <w:right w:val="none" w:sz="0" w:space="0" w:color="auto"/>
      </w:divBdr>
    </w:div>
    <w:div w:id="646518509">
      <w:bodyDiv w:val="1"/>
      <w:marLeft w:val="0"/>
      <w:marRight w:val="0"/>
      <w:marTop w:val="0"/>
      <w:marBottom w:val="0"/>
      <w:divBdr>
        <w:top w:val="none" w:sz="0" w:space="0" w:color="auto"/>
        <w:left w:val="none" w:sz="0" w:space="0" w:color="auto"/>
        <w:bottom w:val="none" w:sz="0" w:space="0" w:color="auto"/>
        <w:right w:val="none" w:sz="0" w:space="0" w:color="auto"/>
      </w:divBdr>
    </w:div>
    <w:div w:id="739180829">
      <w:bodyDiv w:val="1"/>
      <w:marLeft w:val="0"/>
      <w:marRight w:val="0"/>
      <w:marTop w:val="0"/>
      <w:marBottom w:val="0"/>
      <w:divBdr>
        <w:top w:val="none" w:sz="0" w:space="0" w:color="auto"/>
        <w:left w:val="none" w:sz="0" w:space="0" w:color="auto"/>
        <w:bottom w:val="none" w:sz="0" w:space="0" w:color="auto"/>
        <w:right w:val="none" w:sz="0" w:space="0" w:color="auto"/>
      </w:divBdr>
    </w:div>
    <w:div w:id="833835447">
      <w:bodyDiv w:val="1"/>
      <w:marLeft w:val="0"/>
      <w:marRight w:val="0"/>
      <w:marTop w:val="0"/>
      <w:marBottom w:val="0"/>
      <w:divBdr>
        <w:top w:val="none" w:sz="0" w:space="0" w:color="auto"/>
        <w:left w:val="none" w:sz="0" w:space="0" w:color="auto"/>
        <w:bottom w:val="none" w:sz="0" w:space="0" w:color="auto"/>
        <w:right w:val="none" w:sz="0" w:space="0" w:color="auto"/>
      </w:divBdr>
    </w:div>
    <w:div w:id="847136089">
      <w:bodyDiv w:val="1"/>
      <w:marLeft w:val="0"/>
      <w:marRight w:val="0"/>
      <w:marTop w:val="0"/>
      <w:marBottom w:val="0"/>
      <w:divBdr>
        <w:top w:val="none" w:sz="0" w:space="0" w:color="auto"/>
        <w:left w:val="none" w:sz="0" w:space="0" w:color="auto"/>
        <w:bottom w:val="none" w:sz="0" w:space="0" w:color="auto"/>
        <w:right w:val="none" w:sz="0" w:space="0" w:color="auto"/>
      </w:divBdr>
    </w:div>
    <w:div w:id="899171686">
      <w:bodyDiv w:val="1"/>
      <w:marLeft w:val="0"/>
      <w:marRight w:val="0"/>
      <w:marTop w:val="0"/>
      <w:marBottom w:val="0"/>
      <w:divBdr>
        <w:top w:val="none" w:sz="0" w:space="0" w:color="auto"/>
        <w:left w:val="none" w:sz="0" w:space="0" w:color="auto"/>
        <w:bottom w:val="none" w:sz="0" w:space="0" w:color="auto"/>
        <w:right w:val="none" w:sz="0" w:space="0" w:color="auto"/>
      </w:divBdr>
    </w:div>
    <w:div w:id="932786346">
      <w:bodyDiv w:val="1"/>
      <w:marLeft w:val="0"/>
      <w:marRight w:val="0"/>
      <w:marTop w:val="0"/>
      <w:marBottom w:val="0"/>
      <w:divBdr>
        <w:top w:val="none" w:sz="0" w:space="0" w:color="auto"/>
        <w:left w:val="none" w:sz="0" w:space="0" w:color="auto"/>
        <w:bottom w:val="none" w:sz="0" w:space="0" w:color="auto"/>
        <w:right w:val="none" w:sz="0" w:space="0" w:color="auto"/>
      </w:divBdr>
    </w:div>
    <w:div w:id="1084759308">
      <w:bodyDiv w:val="1"/>
      <w:marLeft w:val="0"/>
      <w:marRight w:val="0"/>
      <w:marTop w:val="0"/>
      <w:marBottom w:val="0"/>
      <w:divBdr>
        <w:top w:val="none" w:sz="0" w:space="0" w:color="auto"/>
        <w:left w:val="none" w:sz="0" w:space="0" w:color="auto"/>
        <w:bottom w:val="none" w:sz="0" w:space="0" w:color="auto"/>
        <w:right w:val="none" w:sz="0" w:space="0" w:color="auto"/>
      </w:divBdr>
    </w:div>
    <w:div w:id="1086464893">
      <w:bodyDiv w:val="1"/>
      <w:marLeft w:val="0"/>
      <w:marRight w:val="0"/>
      <w:marTop w:val="0"/>
      <w:marBottom w:val="0"/>
      <w:divBdr>
        <w:top w:val="none" w:sz="0" w:space="0" w:color="auto"/>
        <w:left w:val="none" w:sz="0" w:space="0" w:color="auto"/>
        <w:bottom w:val="none" w:sz="0" w:space="0" w:color="auto"/>
        <w:right w:val="none" w:sz="0" w:space="0" w:color="auto"/>
      </w:divBdr>
    </w:div>
    <w:div w:id="1263492006">
      <w:bodyDiv w:val="1"/>
      <w:marLeft w:val="0"/>
      <w:marRight w:val="0"/>
      <w:marTop w:val="0"/>
      <w:marBottom w:val="0"/>
      <w:divBdr>
        <w:top w:val="none" w:sz="0" w:space="0" w:color="auto"/>
        <w:left w:val="none" w:sz="0" w:space="0" w:color="auto"/>
        <w:bottom w:val="none" w:sz="0" w:space="0" w:color="auto"/>
        <w:right w:val="none" w:sz="0" w:space="0" w:color="auto"/>
      </w:divBdr>
    </w:div>
    <w:div w:id="1329748682">
      <w:bodyDiv w:val="1"/>
      <w:marLeft w:val="0"/>
      <w:marRight w:val="0"/>
      <w:marTop w:val="0"/>
      <w:marBottom w:val="0"/>
      <w:divBdr>
        <w:top w:val="none" w:sz="0" w:space="0" w:color="auto"/>
        <w:left w:val="none" w:sz="0" w:space="0" w:color="auto"/>
        <w:bottom w:val="none" w:sz="0" w:space="0" w:color="auto"/>
        <w:right w:val="none" w:sz="0" w:space="0" w:color="auto"/>
      </w:divBdr>
    </w:div>
    <w:div w:id="1346445446">
      <w:bodyDiv w:val="1"/>
      <w:marLeft w:val="0"/>
      <w:marRight w:val="0"/>
      <w:marTop w:val="0"/>
      <w:marBottom w:val="0"/>
      <w:divBdr>
        <w:top w:val="none" w:sz="0" w:space="0" w:color="auto"/>
        <w:left w:val="none" w:sz="0" w:space="0" w:color="auto"/>
        <w:bottom w:val="none" w:sz="0" w:space="0" w:color="auto"/>
        <w:right w:val="none" w:sz="0" w:space="0" w:color="auto"/>
      </w:divBdr>
    </w:div>
    <w:div w:id="1623422672">
      <w:bodyDiv w:val="1"/>
      <w:marLeft w:val="0"/>
      <w:marRight w:val="0"/>
      <w:marTop w:val="0"/>
      <w:marBottom w:val="0"/>
      <w:divBdr>
        <w:top w:val="none" w:sz="0" w:space="0" w:color="auto"/>
        <w:left w:val="none" w:sz="0" w:space="0" w:color="auto"/>
        <w:bottom w:val="none" w:sz="0" w:space="0" w:color="auto"/>
        <w:right w:val="none" w:sz="0" w:space="0" w:color="auto"/>
      </w:divBdr>
    </w:div>
    <w:div w:id="1657026127">
      <w:bodyDiv w:val="1"/>
      <w:marLeft w:val="0"/>
      <w:marRight w:val="0"/>
      <w:marTop w:val="0"/>
      <w:marBottom w:val="0"/>
      <w:divBdr>
        <w:top w:val="none" w:sz="0" w:space="0" w:color="auto"/>
        <w:left w:val="none" w:sz="0" w:space="0" w:color="auto"/>
        <w:bottom w:val="none" w:sz="0" w:space="0" w:color="auto"/>
        <w:right w:val="none" w:sz="0" w:space="0" w:color="auto"/>
      </w:divBdr>
    </w:div>
    <w:div w:id="1713723439">
      <w:bodyDiv w:val="1"/>
      <w:marLeft w:val="0"/>
      <w:marRight w:val="0"/>
      <w:marTop w:val="0"/>
      <w:marBottom w:val="0"/>
      <w:divBdr>
        <w:top w:val="none" w:sz="0" w:space="0" w:color="auto"/>
        <w:left w:val="none" w:sz="0" w:space="0" w:color="auto"/>
        <w:bottom w:val="none" w:sz="0" w:space="0" w:color="auto"/>
        <w:right w:val="none" w:sz="0" w:space="0" w:color="auto"/>
      </w:divBdr>
    </w:div>
    <w:div w:id="1757242066">
      <w:bodyDiv w:val="1"/>
      <w:marLeft w:val="0"/>
      <w:marRight w:val="0"/>
      <w:marTop w:val="0"/>
      <w:marBottom w:val="0"/>
      <w:divBdr>
        <w:top w:val="none" w:sz="0" w:space="0" w:color="auto"/>
        <w:left w:val="none" w:sz="0" w:space="0" w:color="auto"/>
        <w:bottom w:val="none" w:sz="0" w:space="0" w:color="auto"/>
        <w:right w:val="none" w:sz="0" w:space="0" w:color="auto"/>
      </w:divBdr>
    </w:div>
    <w:div w:id="1757356797">
      <w:bodyDiv w:val="1"/>
      <w:marLeft w:val="0"/>
      <w:marRight w:val="0"/>
      <w:marTop w:val="0"/>
      <w:marBottom w:val="0"/>
      <w:divBdr>
        <w:top w:val="none" w:sz="0" w:space="0" w:color="auto"/>
        <w:left w:val="none" w:sz="0" w:space="0" w:color="auto"/>
        <w:bottom w:val="none" w:sz="0" w:space="0" w:color="auto"/>
        <w:right w:val="none" w:sz="0" w:space="0" w:color="auto"/>
      </w:divBdr>
    </w:div>
    <w:div w:id="1771850115">
      <w:bodyDiv w:val="1"/>
      <w:marLeft w:val="0"/>
      <w:marRight w:val="0"/>
      <w:marTop w:val="0"/>
      <w:marBottom w:val="0"/>
      <w:divBdr>
        <w:top w:val="none" w:sz="0" w:space="0" w:color="auto"/>
        <w:left w:val="none" w:sz="0" w:space="0" w:color="auto"/>
        <w:bottom w:val="none" w:sz="0" w:space="0" w:color="auto"/>
        <w:right w:val="none" w:sz="0" w:space="0" w:color="auto"/>
      </w:divBdr>
    </w:div>
    <w:div w:id="1913731833">
      <w:bodyDiv w:val="1"/>
      <w:marLeft w:val="0"/>
      <w:marRight w:val="0"/>
      <w:marTop w:val="0"/>
      <w:marBottom w:val="0"/>
      <w:divBdr>
        <w:top w:val="none" w:sz="0" w:space="0" w:color="auto"/>
        <w:left w:val="none" w:sz="0" w:space="0" w:color="auto"/>
        <w:bottom w:val="none" w:sz="0" w:space="0" w:color="auto"/>
        <w:right w:val="none" w:sz="0" w:space="0" w:color="auto"/>
      </w:divBdr>
    </w:div>
    <w:div w:id="2038579656">
      <w:bodyDiv w:val="1"/>
      <w:marLeft w:val="0"/>
      <w:marRight w:val="0"/>
      <w:marTop w:val="0"/>
      <w:marBottom w:val="0"/>
      <w:divBdr>
        <w:top w:val="none" w:sz="0" w:space="0" w:color="auto"/>
        <w:left w:val="none" w:sz="0" w:space="0" w:color="auto"/>
        <w:bottom w:val="none" w:sz="0" w:space="0" w:color="auto"/>
        <w:right w:val="none" w:sz="0" w:space="0" w:color="auto"/>
      </w:divBdr>
    </w:div>
    <w:div w:id="2099673333">
      <w:bodyDiv w:val="1"/>
      <w:marLeft w:val="0"/>
      <w:marRight w:val="0"/>
      <w:marTop w:val="0"/>
      <w:marBottom w:val="0"/>
      <w:divBdr>
        <w:top w:val="none" w:sz="0" w:space="0" w:color="auto"/>
        <w:left w:val="none" w:sz="0" w:space="0" w:color="auto"/>
        <w:bottom w:val="none" w:sz="0" w:space="0" w:color="auto"/>
        <w:right w:val="none" w:sz="0" w:space="0" w:color="auto"/>
      </w:divBdr>
    </w:div>
    <w:div w:id="21276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afsc.noaa.gov/posters/pJHaaga01_ebs-crab.pdf"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kr.noaa.gov/npfmc/PDFdocuments/membership/PlanTeam/Crab/GKCModelBasedAssessWorkShopJan20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0886-085E-4F13-B310-83702577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10493</Words>
  <Characters>59813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Report of the Alaska Crab Stock Assessment Workshop</vt:lpstr>
    </vt:vector>
  </TitlesOfParts>
  <Company>CSIRO</Company>
  <LinksUpToDate>false</LinksUpToDate>
  <CharactersWithSpaces>70166</CharactersWithSpaces>
  <SharedDoc>false</SharedDoc>
  <HLinks>
    <vt:vector size="6" baseType="variant">
      <vt:variant>
        <vt:i4>5439598</vt:i4>
      </vt:variant>
      <vt:variant>
        <vt:i4>4</vt:i4>
      </vt:variant>
      <vt:variant>
        <vt:i4>0</vt:i4>
      </vt:variant>
      <vt:variant>
        <vt:i4>5</vt:i4>
      </vt:variant>
      <vt:variant>
        <vt:lpwstr>ftp://ftp.afsc.noaa.gov/posters/pJHaaga01_ebs-crab.pdf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Alaska Crab Stock Assessment Workshop</dc:title>
  <dc:creator>Punt, Andre (CMAR, Hobart)</dc:creator>
  <cp:lastModifiedBy>Douglas Pengilly</cp:lastModifiedBy>
  <cp:revision>8</cp:revision>
  <cp:lastPrinted>2013-04-01T22:21:00Z</cp:lastPrinted>
  <dcterms:created xsi:type="dcterms:W3CDTF">2013-04-15T19:15:00Z</dcterms:created>
  <dcterms:modified xsi:type="dcterms:W3CDTF">2013-04-15T19:33:00Z</dcterms:modified>
</cp:coreProperties>
</file>