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90E" w:rsidRPr="00B0390E" w:rsidRDefault="00B0390E" w:rsidP="006D4BAC">
      <w:pPr>
        <w:spacing w:after="0"/>
        <w:jc w:val="center"/>
        <w:rPr>
          <w:rFonts w:cs="Times New Roman"/>
          <w:b/>
          <w:sz w:val="40"/>
          <w:szCs w:val="40"/>
          <w:lang w:eastAsia="ja-JP"/>
        </w:rPr>
      </w:pPr>
      <w:bookmarkStart w:id="0" w:name="_GoBack"/>
      <w:bookmarkEnd w:id="0"/>
      <w:r w:rsidRPr="00B0390E">
        <w:rPr>
          <w:rFonts w:cs="Times New Roman"/>
          <w:b/>
          <w:sz w:val="40"/>
          <w:szCs w:val="40"/>
          <w:lang w:eastAsia="ja-JP"/>
        </w:rPr>
        <w:t>Discussion Paper:</w:t>
      </w:r>
    </w:p>
    <w:p w:rsidR="00B0390E" w:rsidRPr="0028745E" w:rsidRDefault="0028745E" w:rsidP="006D4BAC">
      <w:pPr>
        <w:spacing w:after="0"/>
        <w:jc w:val="center"/>
        <w:rPr>
          <w:rFonts w:cs="Times New Roman"/>
          <w:sz w:val="36"/>
          <w:szCs w:val="36"/>
          <w:lang w:eastAsia="ja-JP"/>
        </w:rPr>
      </w:pPr>
      <w:r w:rsidRPr="0028745E">
        <w:rPr>
          <w:rFonts w:cs="Times New Roman"/>
          <w:b/>
          <w:sz w:val="36"/>
          <w:szCs w:val="36"/>
          <w:lang w:eastAsia="ja-JP"/>
        </w:rPr>
        <w:t xml:space="preserve">Participation in the </w:t>
      </w:r>
      <w:r w:rsidR="00B0390E" w:rsidRPr="0028745E">
        <w:rPr>
          <w:rFonts w:cs="Times New Roman"/>
          <w:b/>
          <w:sz w:val="36"/>
          <w:szCs w:val="36"/>
          <w:lang w:eastAsia="ja-JP"/>
        </w:rPr>
        <w:t>Norton Sound Red Kind Crab Fishery</w:t>
      </w:r>
      <w:r w:rsidR="00B0390E" w:rsidRPr="0028745E">
        <w:rPr>
          <w:rStyle w:val="FootnoteReference"/>
          <w:rFonts w:cs="Times New Roman"/>
          <w:b/>
          <w:sz w:val="36"/>
          <w:szCs w:val="36"/>
          <w:lang w:eastAsia="ja-JP"/>
        </w:rPr>
        <w:footnoteReference w:id="1"/>
      </w:r>
      <w:r w:rsidR="00B0390E" w:rsidRPr="0028745E">
        <w:rPr>
          <w:rFonts w:cs="Times New Roman"/>
          <w:b/>
          <w:sz w:val="36"/>
          <w:szCs w:val="36"/>
          <w:lang w:eastAsia="ja-JP"/>
        </w:rPr>
        <w:t xml:space="preserve"> </w:t>
      </w:r>
    </w:p>
    <w:p w:rsidR="006D4BAC" w:rsidRPr="00327176" w:rsidRDefault="006D4BAC" w:rsidP="006D4BAC">
      <w:pPr>
        <w:spacing w:after="0"/>
        <w:jc w:val="center"/>
        <w:rPr>
          <w:rFonts w:cs="Times New Roman"/>
          <w:sz w:val="28"/>
          <w:szCs w:val="28"/>
          <w:lang w:eastAsia="ja-JP"/>
        </w:rPr>
      </w:pPr>
      <w:r w:rsidRPr="00327176">
        <w:rPr>
          <w:rFonts w:cs="Times New Roman"/>
          <w:sz w:val="28"/>
          <w:szCs w:val="28"/>
          <w:lang w:eastAsia="ja-JP"/>
        </w:rPr>
        <w:t>June 2014</w:t>
      </w:r>
    </w:p>
    <w:sdt>
      <w:sdtPr>
        <w:rPr>
          <w:rFonts w:ascii="Times New Roman" w:eastAsiaTheme="minorHAnsi" w:hAnsi="Times New Roman" w:cstheme="minorBidi"/>
          <w:bCs w:val="0"/>
          <w:color w:val="auto"/>
          <w:sz w:val="22"/>
          <w:szCs w:val="22"/>
          <w:lang w:eastAsia="en-US"/>
        </w:rPr>
        <w:id w:val="982812143"/>
        <w:docPartObj>
          <w:docPartGallery w:val="Table of Contents"/>
          <w:docPartUnique/>
        </w:docPartObj>
      </w:sdtPr>
      <w:sdtEndPr>
        <w:rPr>
          <w:b/>
          <w:noProof/>
        </w:rPr>
      </w:sdtEndPr>
      <w:sdtContent>
        <w:p w:rsidR="00B0390E" w:rsidRPr="006D0021" w:rsidRDefault="00B0390E" w:rsidP="006D0021">
          <w:pPr>
            <w:pStyle w:val="TOCHeading"/>
            <w:rPr>
              <w:rFonts w:ascii="Times New Roman" w:hAnsi="Times New Roman" w:cs="Times New Roman"/>
              <w:b/>
              <w:color w:val="auto"/>
              <w:sz w:val="18"/>
              <w:szCs w:val="18"/>
            </w:rPr>
          </w:pPr>
        </w:p>
        <w:p w:rsidR="006D0021" w:rsidRPr="006D0021" w:rsidRDefault="00B0390E">
          <w:pPr>
            <w:pStyle w:val="TOC1"/>
            <w:tabs>
              <w:tab w:val="right" w:leader="dot" w:pos="9350"/>
            </w:tabs>
            <w:rPr>
              <w:rFonts w:asciiTheme="minorHAnsi" w:eastAsiaTheme="minorEastAsia" w:hAnsiTheme="minorHAnsi"/>
              <w:noProof/>
              <w:sz w:val="18"/>
              <w:szCs w:val="18"/>
            </w:rPr>
          </w:pPr>
          <w:r w:rsidRPr="006D0021">
            <w:rPr>
              <w:rFonts w:cs="Times New Roman"/>
              <w:sz w:val="18"/>
              <w:szCs w:val="18"/>
            </w:rPr>
            <w:fldChar w:fldCharType="begin"/>
          </w:r>
          <w:r w:rsidRPr="006D0021">
            <w:rPr>
              <w:rFonts w:cs="Times New Roman"/>
              <w:sz w:val="18"/>
              <w:szCs w:val="18"/>
            </w:rPr>
            <w:instrText xml:space="preserve"> TOC \o "1-3" \h \z \u </w:instrText>
          </w:r>
          <w:r w:rsidRPr="006D0021">
            <w:rPr>
              <w:rFonts w:cs="Times New Roman"/>
              <w:sz w:val="18"/>
              <w:szCs w:val="18"/>
            </w:rPr>
            <w:fldChar w:fldCharType="separate"/>
          </w:r>
          <w:hyperlink w:anchor="_Toc386441123" w:history="1">
            <w:r w:rsidR="006D0021" w:rsidRPr="006D0021">
              <w:rPr>
                <w:rStyle w:val="Hyperlink"/>
                <w:noProof/>
                <w:sz w:val="18"/>
                <w:szCs w:val="18"/>
              </w:rPr>
              <w:t>DESCRIPTION OF THE STOCK</w:t>
            </w:r>
            <w:r w:rsidR="006D0021" w:rsidRPr="006D0021">
              <w:rPr>
                <w:noProof/>
                <w:webHidden/>
                <w:sz w:val="18"/>
                <w:szCs w:val="18"/>
              </w:rPr>
              <w:tab/>
            </w:r>
            <w:r w:rsidR="006D0021" w:rsidRPr="006D0021">
              <w:rPr>
                <w:noProof/>
                <w:webHidden/>
                <w:sz w:val="18"/>
                <w:szCs w:val="18"/>
              </w:rPr>
              <w:fldChar w:fldCharType="begin"/>
            </w:r>
            <w:r w:rsidR="006D0021" w:rsidRPr="006D0021">
              <w:rPr>
                <w:noProof/>
                <w:webHidden/>
                <w:sz w:val="18"/>
                <w:szCs w:val="18"/>
              </w:rPr>
              <w:instrText xml:space="preserve"> PAGEREF _Toc386441123 \h </w:instrText>
            </w:r>
            <w:r w:rsidR="006D0021" w:rsidRPr="006D0021">
              <w:rPr>
                <w:noProof/>
                <w:webHidden/>
                <w:sz w:val="18"/>
                <w:szCs w:val="18"/>
              </w:rPr>
            </w:r>
            <w:r w:rsidR="006D0021" w:rsidRPr="006D0021">
              <w:rPr>
                <w:noProof/>
                <w:webHidden/>
                <w:sz w:val="18"/>
                <w:szCs w:val="18"/>
              </w:rPr>
              <w:fldChar w:fldCharType="separate"/>
            </w:r>
            <w:r w:rsidR="00D8788C">
              <w:rPr>
                <w:noProof/>
                <w:webHidden/>
                <w:sz w:val="18"/>
                <w:szCs w:val="18"/>
              </w:rPr>
              <w:t>1</w:t>
            </w:r>
            <w:r w:rsidR="006D0021" w:rsidRPr="006D0021">
              <w:rPr>
                <w:noProof/>
                <w:webHidden/>
                <w:sz w:val="18"/>
                <w:szCs w:val="18"/>
              </w:rPr>
              <w:fldChar w:fldCharType="end"/>
            </w:r>
          </w:hyperlink>
        </w:p>
        <w:p w:rsidR="006D0021" w:rsidRPr="006D0021" w:rsidRDefault="002A2E22">
          <w:pPr>
            <w:pStyle w:val="TOC1"/>
            <w:tabs>
              <w:tab w:val="right" w:leader="dot" w:pos="9350"/>
            </w:tabs>
            <w:rPr>
              <w:rFonts w:asciiTheme="minorHAnsi" w:eastAsiaTheme="minorEastAsia" w:hAnsiTheme="minorHAnsi"/>
              <w:noProof/>
              <w:sz w:val="18"/>
              <w:szCs w:val="18"/>
            </w:rPr>
          </w:pPr>
          <w:hyperlink w:anchor="_Toc386441124" w:history="1">
            <w:r w:rsidR="006D0021" w:rsidRPr="006D0021">
              <w:rPr>
                <w:rStyle w:val="Hyperlink"/>
                <w:noProof/>
                <w:sz w:val="18"/>
                <w:szCs w:val="18"/>
              </w:rPr>
              <w:t>DESCRIPTION OF THE NSRKC FISHERY</w:t>
            </w:r>
            <w:r w:rsidR="006D0021" w:rsidRPr="006D0021">
              <w:rPr>
                <w:noProof/>
                <w:webHidden/>
                <w:sz w:val="18"/>
                <w:szCs w:val="18"/>
              </w:rPr>
              <w:tab/>
            </w:r>
            <w:r w:rsidR="006D0021" w:rsidRPr="006D0021">
              <w:rPr>
                <w:noProof/>
                <w:webHidden/>
                <w:sz w:val="18"/>
                <w:szCs w:val="18"/>
              </w:rPr>
              <w:fldChar w:fldCharType="begin"/>
            </w:r>
            <w:r w:rsidR="006D0021" w:rsidRPr="006D0021">
              <w:rPr>
                <w:noProof/>
                <w:webHidden/>
                <w:sz w:val="18"/>
                <w:szCs w:val="18"/>
              </w:rPr>
              <w:instrText xml:space="preserve"> PAGEREF _Toc386441124 \h </w:instrText>
            </w:r>
            <w:r w:rsidR="006D0021" w:rsidRPr="006D0021">
              <w:rPr>
                <w:noProof/>
                <w:webHidden/>
                <w:sz w:val="18"/>
                <w:szCs w:val="18"/>
              </w:rPr>
            </w:r>
            <w:r w:rsidR="006D0021" w:rsidRPr="006D0021">
              <w:rPr>
                <w:noProof/>
                <w:webHidden/>
                <w:sz w:val="18"/>
                <w:szCs w:val="18"/>
              </w:rPr>
              <w:fldChar w:fldCharType="separate"/>
            </w:r>
            <w:r w:rsidR="00D8788C">
              <w:rPr>
                <w:noProof/>
                <w:webHidden/>
                <w:sz w:val="18"/>
                <w:szCs w:val="18"/>
              </w:rPr>
              <w:t>2</w:t>
            </w:r>
            <w:r w:rsidR="006D0021" w:rsidRPr="006D0021">
              <w:rPr>
                <w:noProof/>
                <w:webHidden/>
                <w:sz w:val="18"/>
                <w:szCs w:val="18"/>
              </w:rPr>
              <w:fldChar w:fldCharType="end"/>
            </w:r>
          </w:hyperlink>
        </w:p>
        <w:p w:rsidR="006D0021" w:rsidRPr="006D0021" w:rsidRDefault="002A2E22">
          <w:pPr>
            <w:pStyle w:val="TOC1"/>
            <w:tabs>
              <w:tab w:val="right" w:leader="dot" w:pos="9350"/>
            </w:tabs>
            <w:rPr>
              <w:rFonts w:asciiTheme="minorHAnsi" w:eastAsiaTheme="minorEastAsia" w:hAnsiTheme="minorHAnsi"/>
              <w:noProof/>
              <w:sz w:val="18"/>
              <w:szCs w:val="18"/>
            </w:rPr>
          </w:pPr>
          <w:hyperlink w:anchor="_Toc386441125" w:history="1">
            <w:r w:rsidR="006D0021" w:rsidRPr="006D0021">
              <w:rPr>
                <w:rStyle w:val="Hyperlink"/>
                <w:noProof/>
                <w:sz w:val="18"/>
                <w:szCs w:val="18"/>
              </w:rPr>
              <w:t>DESCRIPTION OF PARTICIPATION</w:t>
            </w:r>
            <w:r w:rsidR="006D0021" w:rsidRPr="006D0021">
              <w:rPr>
                <w:noProof/>
                <w:webHidden/>
                <w:sz w:val="18"/>
                <w:szCs w:val="18"/>
              </w:rPr>
              <w:tab/>
            </w:r>
            <w:r w:rsidR="006D0021" w:rsidRPr="006D0021">
              <w:rPr>
                <w:noProof/>
                <w:webHidden/>
                <w:sz w:val="18"/>
                <w:szCs w:val="18"/>
              </w:rPr>
              <w:fldChar w:fldCharType="begin"/>
            </w:r>
            <w:r w:rsidR="006D0021" w:rsidRPr="006D0021">
              <w:rPr>
                <w:noProof/>
                <w:webHidden/>
                <w:sz w:val="18"/>
                <w:szCs w:val="18"/>
              </w:rPr>
              <w:instrText xml:space="preserve"> PAGEREF _Toc386441125 \h </w:instrText>
            </w:r>
            <w:r w:rsidR="006D0021" w:rsidRPr="006D0021">
              <w:rPr>
                <w:noProof/>
                <w:webHidden/>
                <w:sz w:val="18"/>
                <w:szCs w:val="18"/>
              </w:rPr>
            </w:r>
            <w:r w:rsidR="006D0021" w:rsidRPr="006D0021">
              <w:rPr>
                <w:noProof/>
                <w:webHidden/>
                <w:sz w:val="18"/>
                <w:szCs w:val="18"/>
              </w:rPr>
              <w:fldChar w:fldCharType="separate"/>
            </w:r>
            <w:r w:rsidR="00D8788C">
              <w:rPr>
                <w:noProof/>
                <w:webHidden/>
                <w:sz w:val="18"/>
                <w:szCs w:val="18"/>
              </w:rPr>
              <w:t>5</w:t>
            </w:r>
            <w:r w:rsidR="006D0021" w:rsidRPr="006D0021">
              <w:rPr>
                <w:noProof/>
                <w:webHidden/>
                <w:sz w:val="18"/>
                <w:szCs w:val="18"/>
              </w:rPr>
              <w:fldChar w:fldCharType="end"/>
            </w:r>
          </w:hyperlink>
        </w:p>
        <w:p w:rsidR="006D0021" w:rsidRPr="006D0021" w:rsidRDefault="002A2E22">
          <w:pPr>
            <w:pStyle w:val="TOC1"/>
            <w:tabs>
              <w:tab w:val="right" w:leader="dot" w:pos="9350"/>
            </w:tabs>
            <w:rPr>
              <w:rFonts w:asciiTheme="minorHAnsi" w:eastAsiaTheme="minorEastAsia" w:hAnsiTheme="minorHAnsi"/>
              <w:noProof/>
              <w:sz w:val="18"/>
              <w:szCs w:val="18"/>
            </w:rPr>
          </w:pPr>
          <w:hyperlink w:anchor="_Toc386441126" w:history="1">
            <w:r w:rsidR="006D0021" w:rsidRPr="006D0021">
              <w:rPr>
                <w:rStyle w:val="Hyperlink"/>
                <w:noProof/>
                <w:sz w:val="18"/>
                <w:szCs w:val="18"/>
              </w:rPr>
              <w:t>COUNCIL ACTION</w:t>
            </w:r>
            <w:r w:rsidR="006D0021" w:rsidRPr="006D0021">
              <w:rPr>
                <w:noProof/>
                <w:webHidden/>
                <w:sz w:val="18"/>
                <w:szCs w:val="18"/>
              </w:rPr>
              <w:tab/>
            </w:r>
            <w:r w:rsidR="006D0021" w:rsidRPr="006D0021">
              <w:rPr>
                <w:noProof/>
                <w:webHidden/>
                <w:sz w:val="18"/>
                <w:szCs w:val="18"/>
              </w:rPr>
              <w:fldChar w:fldCharType="begin"/>
            </w:r>
            <w:r w:rsidR="006D0021" w:rsidRPr="006D0021">
              <w:rPr>
                <w:noProof/>
                <w:webHidden/>
                <w:sz w:val="18"/>
                <w:szCs w:val="18"/>
              </w:rPr>
              <w:instrText xml:space="preserve"> PAGEREF _Toc386441126 \h </w:instrText>
            </w:r>
            <w:r w:rsidR="006D0021" w:rsidRPr="006D0021">
              <w:rPr>
                <w:noProof/>
                <w:webHidden/>
                <w:sz w:val="18"/>
                <w:szCs w:val="18"/>
              </w:rPr>
            </w:r>
            <w:r w:rsidR="006D0021" w:rsidRPr="006D0021">
              <w:rPr>
                <w:noProof/>
                <w:webHidden/>
                <w:sz w:val="18"/>
                <w:szCs w:val="18"/>
              </w:rPr>
              <w:fldChar w:fldCharType="separate"/>
            </w:r>
            <w:r w:rsidR="00D8788C">
              <w:rPr>
                <w:noProof/>
                <w:webHidden/>
                <w:sz w:val="18"/>
                <w:szCs w:val="18"/>
              </w:rPr>
              <w:t>6</w:t>
            </w:r>
            <w:r w:rsidR="006D0021" w:rsidRPr="006D0021">
              <w:rPr>
                <w:noProof/>
                <w:webHidden/>
                <w:sz w:val="18"/>
                <w:szCs w:val="18"/>
              </w:rPr>
              <w:fldChar w:fldCharType="end"/>
            </w:r>
          </w:hyperlink>
        </w:p>
        <w:p w:rsidR="006D0021" w:rsidRPr="006D0021" w:rsidRDefault="002A2E22">
          <w:pPr>
            <w:pStyle w:val="TOC1"/>
            <w:tabs>
              <w:tab w:val="right" w:leader="dot" w:pos="9350"/>
            </w:tabs>
            <w:rPr>
              <w:rFonts w:asciiTheme="minorHAnsi" w:eastAsiaTheme="minorEastAsia" w:hAnsiTheme="minorHAnsi"/>
              <w:noProof/>
              <w:sz w:val="18"/>
              <w:szCs w:val="18"/>
            </w:rPr>
          </w:pPr>
          <w:hyperlink w:anchor="_Toc386441127" w:history="1">
            <w:r w:rsidR="006D0021" w:rsidRPr="006D0021">
              <w:rPr>
                <w:rStyle w:val="Hyperlink"/>
                <w:noProof/>
                <w:sz w:val="18"/>
                <w:szCs w:val="18"/>
              </w:rPr>
              <w:t>REFERENCES</w:t>
            </w:r>
            <w:r w:rsidR="006D0021" w:rsidRPr="006D0021">
              <w:rPr>
                <w:noProof/>
                <w:webHidden/>
                <w:sz w:val="18"/>
                <w:szCs w:val="18"/>
              </w:rPr>
              <w:tab/>
            </w:r>
            <w:r w:rsidR="006D0021" w:rsidRPr="006D0021">
              <w:rPr>
                <w:noProof/>
                <w:webHidden/>
                <w:sz w:val="18"/>
                <w:szCs w:val="18"/>
              </w:rPr>
              <w:fldChar w:fldCharType="begin"/>
            </w:r>
            <w:r w:rsidR="006D0021" w:rsidRPr="006D0021">
              <w:rPr>
                <w:noProof/>
                <w:webHidden/>
                <w:sz w:val="18"/>
                <w:szCs w:val="18"/>
              </w:rPr>
              <w:instrText xml:space="preserve"> PAGEREF _Toc386441127 \h </w:instrText>
            </w:r>
            <w:r w:rsidR="006D0021" w:rsidRPr="006D0021">
              <w:rPr>
                <w:noProof/>
                <w:webHidden/>
                <w:sz w:val="18"/>
                <w:szCs w:val="18"/>
              </w:rPr>
            </w:r>
            <w:r w:rsidR="006D0021" w:rsidRPr="006D0021">
              <w:rPr>
                <w:noProof/>
                <w:webHidden/>
                <w:sz w:val="18"/>
                <w:szCs w:val="18"/>
              </w:rPr>
              <w:fldChar w:fldCharType="separate"/>
            </w:r>
            <w:r w:rsidR="00D8788C">
              <w:rPr>
                <w:noProof/>
                <w:webHidden/>
                <w:sz w:val="18"/>
                <w:szCs w:val="18"/>
              </w:rPr>
              <w:t>7</w:t>
            </w:r>
            <w:r w:rsidR="006D0021" w:rsidRPr="006D0021">
              <w:rPr>
                <w:noProof/>
                <w:webHidden/>
                <w:sz w:val="18"/>
                <w:szCs w:val="18"/>
              </w:rPr>
              <w:fldChar w:fldCharType="end"/>
            </w:r>
          </w:hyperlink>
        </w:p>
        <w:p w:rsidR="006D0021" w:rsidRPr="006D0021" w:rsidRDefault="002A2E22">
          <w:pPr>
            <w:pStyle w:val="TOC1"/>
            <w:tabs>
              <w:tab w:val="right" w:leader="dot" w:pos="9350"/>
            </w:tabs>
            <w:rPr>
              <w:rFonts w:asciiTheme="minorHAnsi" w:eastAsiaTheme="minorEastAsia" w:hAnsiTheme="minorHAnsi"/>
              <w:noProof/>
              <w:sz w:val="18"/>
              <w:szCs w:val="18"/>
            </w:rPr>
          </w:pPr>
          <w:hyperlink w:anchor="_Toc386441128" w:history="1">
            <w:r w:rsidR="006D0021" w:rsidRPr="006D0021">
              <w:rPr>
                <w:rStyle w:val="Hyperlink"/>
                <w:noProof/>
                <w:sz w:val="18"/>
                <w:szCs w:val="18"/>
              </w:rPr>
              <w:t>APPENDIX A. Historical summer commercial red king crab fishery performance, Norton Sound Section</w:t>
            </w:r>
            <w:r w:rsidR="006D0021">
              <w:rPr>
                <w:rStyle w:val="Hyperlink"/>
                <w:noProof/>
                <w:sz w:val="18"/>
                <w:szCs w:val="18"/>
              </w:rPr>
              <w:t>, Eastern Bering Sea, 1977-2013</w:t>
            </w:r>
            <w:r w:rsidR="006D0021" w:rsidRPr="006D0021">
              <w:rPr>
                <w:noProof/>
                <w:webHidden/>
                <w:sz w:val="18"/>
                <w:szCs w:val="18"/>
              </w:rPr>
              <w:tab/>
            </w:r>
            <w:r w:rsidR="006D0021" w:rsidRPr="006D0021">
              <w:rPr>
                <w:noProof/>
                <w:webHidden/>
                <w:sz w:val="18"/>
                <w:szCs w:val="18"/>
              </w:rPr>
              <w:fldChar w:fldCharType="begin"/>
            </w:r>
            <w:r w:rsidR="006D0021" w:rsidRPr="006D0021">
              <w:rPr>
                <w:noProof/>
                <w:webHidden/>
                <w:sz w:val="18"/>
                <w:szCs w:val="18"/>
              </w:rPr>
              <w:instrText xml:space="preserve"> PAGEREF _Toc386441128 \h </w:instrText>
            </w:r>
            <w:r w:rsidR="006D0021" w:rsidRPr="006D0021">
              <w:rPr>
                <w:noProof/>
                <w:webHidden/>
                <w:sz w:val="18"/>
                <w:szCs w:val="18"/>
              </w:rPr>
            </w:r>
            <w:r w:rsidR="006D0021" w:rsidRPr="006D0021">
              <w:rPr>
                <w:noProof/>
                <w:webHidden/>
                <w:sz w:val="18"/>
                <w:szCs w:val="18"/>
              </w:rPr>
              <w:fldChar w:fldCharType="separate"/>
            </w:r>
            <w:r w:rsidR="00D8788C">
              <w:rPr>
                <w:noProof/>
                <w:webHidden/>
                <w:sz w:val="18"/>
                <w:szCs w:val="18"/>
              </w:rPr>
              <w:t>8</w:t>
            </w:r>
            <w:r w:rsidR="006D0021" w:rsidRPr="006D0021">
              <w:rPr>
                <w:noProof/>
                <w:webHidden/>
                <w:sz w:val="18"/>
                <w:szCs w:val="18"/>
              </w:rPr>
              <w:fldChar w:fldCharType="end"/>
            </w:r>
          </w:hyperlink>
        </w:p>
        <w:p w:rsidR="006D0021" w:rsidRPr="006D0021" w:rsidRDefault="002A2E22">
          <w:pPr>
            <w:pStyle w:val="TOC1"/>
            <w:tabs>
              <w:tab w:val="right" w:leader="dot" w:pos="9350"/>
            </w:tabs>
            <w:rPr>
              <w:rFonts w:asciiTheme="minorHAnsi" w:eastAsiaTheme="minorEastAsia" w:hAnsiTheme="minorHAnsi"/>
              <w:noProof/>
              <w:sz w:val="18"/>
              <w:szCs w:val="18"/>
            </w:rPr>
          </w:pPr>
          <w:hyperlink w:anchor="_Toc386441129" w:history="1">
            <w:r w:rsidR="006D0021" w:rsidRPr="006D0021">
              <w:rPr>
                <w:rStyle w:val="Hyperlink"/>
                <w:noProof/>
                <w:sz w:val="18"/>
                <w:szCs w:val="18"/>
              </w:rPr>
              <w:t>APPENDIX B. Count of active licenses out of 62 and count of vessels participating</w:t>
            </w:r>
            <w:r w:rsidR="006D0021">
              <w:rPr>
                <w:rStyle w:val="Hyperlink"/>
                <w:noProof/>
                <w:sz w:val="18"/>
                <w:szCs w:val="18"/>
              </w:rPr>
              <w:t xml:space="preserve"> in the NSRKC fishery 2008-2012</w:t>
            </w:r>
            <w:r w:rsidR="006D0021" w:rsidRPr="006D0021">
              <w:rPr>
                <w:noProof/>
                <w:webHidden/>
                <w:sz w:val="18"/>
                <w:szCs w:val="18"/>
              </w:rPr>
              <w:tab/>
            </w:r>
            <w:r w:rsidR="006D0021" w:rsidRPr="006D0021">
              <w:rPr>
                <w:noProof/>
                <w:webHidden/>
                <w:sz w:val="18"/>
                <w:szCs w:val="18"/>
              </w:rPr>
              <w:fldChar w:fldCharType="begin"/>
            </w:r>
            <w:r w:rsidR="006D0021" w:rsidRPr="006D0021">
              <w:rPr>
                <w:noProof/>
                <w:webHidden/>
                <w:sz w:val="18"/>
                <w:szCs w:val="18"/>
              </w:rPr>
              <w:instrText xml:space="preserve"> PAGEREF _Toc386441129 \h </w:instrText>
            </w:r>
            <w:r w:rsidR="006D0021" w:rsidRPr="006D0021">
              <w:rPr>
                <w:noProof/>
                <w:webHidden/>
                <w:sz w:val="18"/>
                <w:szCs w:val="18"/>
              </w:rPr>
            </w:r>
            <w:r w:rsidR="006D0021" w:rsidRPr="006D0021">
              <w:rPr>
                <w:noProof/>
                <w:webHidden/>
                <w:sz w:val="18"/>
                <w:szCs w:val="18"/>
              </w:rPr>
              <w:fldChar w:fldCharType="separate"/>
            </w:r>
            <w:r w:rsidR="00D8788C">
              <w:rPr>
                <w:noProof/>
                <w:webHidden/>
                <w:sz w:val="18"/>
                <w:szCs w:val="18"/>
              </w:rPr>
              <w:t>10</w:t>
            </w:r>
            <w:r w:rsidR="006D0021" w:rsidRPr="006D0021">
              <w:rPr>
                <w:noProof/>
                <w:webHidden/>
                <w:sz w:val="18"/>
                <w:szCs w:val="18"/>
              </w:rPr>
              <w:fldChar w:fldCharType="end"/>
            </w:r>
          </w:hyperlink>
        </w:p>
        <w:p w:rsidR="00B0390E" w:rsidRDefault="00B0390E">
          <w:r w:rsidRPr="006D0021">
            <w:rPr>
              <w:rFonts w:cs="Times New Roman"/>
              <w:b/>
              <w:bCs/>
              <w:noProof/>
              <w:sz w:val="18"/>
              <w:szCs w:val="18"/>
            </w:rPr>
            <w:fldChar w:fldCharType="end"/>
          </w:r>
        </w:p>
      </w:sdtContent>
    </w:sdt>
    <w:p w:rsidR="000F0635" w:rsidRPr="00CA0498" w:rsidRDefault="004A6784">
      <w:pPr>
        <w:rPr>
          <w:rFonts w:cs="Times New Roman"/>
        </w:rPr>
      </w:pPr>
      <w:r w:rsidRPr="006D4BAC">
        <w:rPr>
          <w:rFonts w:cs="Times New Roman"/>
        </w:rPr>
        <w:t>In October 2013, the Council received public testimony during staff tasking from a participant of the Norton Sound Red king crab</w:t>
      </w:r>
      <w:r w:rsidR="0040008B" w:rsidRPr="006D4BAC">
        <w:rPr>
          <w:rFonts w:cs="Times New Roman"/>
        </w:rPr>
        <w:t xml:space="preserve"> (NSRKC)</w:t>
      </w:r>
      <w:r w:rsidRPr="006D4BAC">
        <w:rPr>
          <w:rFonts w:cs="Times New Roman"/>
        </w:rPr>
        <w:t xml:space="preserve"> fishery.  The testimony requested that the Council take action to </w:t>
      </w:r>
      <w:r w:rsidR="00DA5149" w:rsidRPr="006D4BAC">
        <w:rPr>
          <w:rFonts w:cs="Times New Roman"/>
        </w:rPr>
        <w:t>discourage</w:t>
      </w:r>
      <w:r w:rsidRPr="006D4BAC">
        <w:rPr>
          <w:rFonts w:cs="Times New Roman"/>
        </w:rPr>
        <w:t xml:space="preserve"> over-capitalization of this fishery.  Specifically, the testimony ask</w:t>
      </w:r>
      <w:r w:rsidR="0040008B" w:rsidRPr="006D4BAC">
        <w:rPr>
          <w:rFonts w:cs="Times New Roman"/>
        </w:rPr>
        <w:t>ed</w:t>
      </w:r>
      <w:r w:rsidRPr="006D4BAC">
        <w:rPr>
          <w:rFonts w:cs="Times New Roman"/>
        </w:rPr>
        <w:t xml:space="preserve"> the Council to consider </w:t>
      </w:r>
      <w:r w:rsidR="00DA5149" w:rsidRPr="00CA0498">
        <w:rPr>
          <w:rFonts w:cs="Times New Roman"/>
        </w:rPr>
        <w:t>requiring</w:t>
      </w:r>
      <w:r w:rsidRPr="00CA0498">
        <w:rPr>
          <w:rFonts w:cs="Times New Roman"/>
        </w:rPr>
        <w:t xml:space="preserve"> LLP </w:t>
      </w:r>
      <w:r w:rsidR="00DA5149" w:rsidRPr="00CA0498">
        <w:rPr>
          <w:rFonts w:cs="Times New Roman"/>
        </w:rPr>
        <w:t>licenses</w:t>
      </w:r>
      <w:r w:rsidR="00844216" w:rsidRPr="00CA0498">
        <w:rPr>
          <w:rFonts w:cs="Times New Roman"/>
        </w:rPr>
        <w:t xml:space="preserve"> for vessel 32 feet (</w:t>
      </w:r>
      <w:proofErr w:type="spellStart"/>
      <w:r w:rsidR="00844216" w:rsidRPr="00CA0498">
        <w:rPr>
          <w:rFonts w:cs="Times New Roman"/>
        </w:rPr>
        <w:t>ft</w:t>
      </w:r>
      <w:proofErr w:type="spellEnd"/>
      <w:r w:rsidR="00844216" w:rsidRPr="00CA0498">
        <w:rPr>
          <w:rFonts w:cs="Times New Roman"/>
        </w:rPr>
        <w:t>)</w:t>
      </w:r>
      <w:r w:rsidRPr="00CA0498">
        <w:rPr>
          <w:rFonts w:cs="Times New Roman"/>
        </w:rPr>
        <w:t xml:space="preserve"> </w:t>
      </w:r>
      <w:r w:rsidR="00844216" w:rsidRPr="00CA0498">
        <w:rPr>
          <w:rFonts w:cs="Times New Roman"/>
        </w:rPr>
        <w:t>length overall (LOA)</w:t>
      </w:r>
      <w:r w:rsidR="00383E59" w:rsidRPr="00CA0498">
        <w:rPr>
          <w:rFonts w:cs="Times New Roman"/>
        </w:rPr>
        <w:t xml:space="preserve"> </w:t>
      </w:r>
      <w:r w:rsidRPr="00CA0498">
        <w:rPr>
          <w:rFonts w:cs="Times New Roman"/>
        </w:rPr>
        <w:t>and under</w:t>
      </w:r>
      <w:r w:rsidR="0040008B" w:rsidRPr="00CA0498">
        <w:rPr>
          <w:rFonts w:cs="Times New Roman"/>
        </w:rPr>
        <w:t>,</w:t>
      </w:r>
      <w:r w:rsidR="009447BB" w:rsidRPr="00CA0498">
        <w:rPr>
          <w:rFonts w:cs="Times New Roman"/>
        </w:rPr>
        <w:t xml:space="preserve"> as well as applying a </w:t>
      </w:r>
      <w:proofErr w:type="spellStart"/>
      <w:r w:rsidR="009447BB" w:rsidRPr="00CA0498">
        <w:rPr>
          <w:rFonts w:cs="Times New Roman"/>
        </w:rPr>
        <w:t>rec</w:t>
      </w:r>
      <w:r w:rsidRPr="00CA0498">
        <w:rPr>
          <w:rFonts w:cs="Times New Roman"/>
        </w:rPr>
        <w:t>ency</w:t>
      </w:r>
      <w:proofErr w:type="spellEnd"/>
      <w:r w:rsidRPr="00CA0498">
        <w:rPr>
          <w:rFonts w:cs="Times New Roman"/>
        </w:rPr>
        <w:t xml:space="preserve"> requirement</w:t>
      </w:r>
      <w:r w:rsidR="0040008B" w:rsidRPr="00CA0498">
        <w:rPr>
          <w:rFonts w:cs="Times New Roman"/>
        </w:rPr>
        <w:t xml:space="preserve"> for</w:t>
      </w:r>
      <w:r w:rsidRPr="00CA0498">
        <w:rPr>
          <w:rFonts w:cs="Times New Roman"/>
        </w:rPr>
        <w:t xml:space="preserve"> the existing pool of LLP</w:t>
      </w:r>
      <w:r w:rsidR="003C75D3" w:rsidRPr="00CA0498">
        <w:rPr>
          <w:rFonts w:cs="Times New Roman"/>
        </w:rPr>
        <w:t xml:space="preserve"> license</w:t>
      </w:r>
      <w:r w:rsidRPr="00CA0498">
        <w:rPr>
          <w:rFonts w:cs="Times New Roman"/>
        </w:rPr>
        <w:t>s</w:t>
      </w:r>
      <w:r w:rsidR="0040008B" w:rsidRPr="00CA0498">
        <w:rPr>
          <w:rFonts w:cs="Times New Roman"/>
        </w:rPr>
        <w:t>.</w:t>
      </w:r>
      <w:r w:rsidRPr="00CA0498">
        <w:rPr>
          <w:rFonts w:cs="Times New Roman"/>
        </w:rPr>
        <w:t xml:space="preserve"> </w:t>
      </w:r>
      <w:r w:rsidR="0040008B" w:rsidRPr="00CA0498">
        <w:rPr>
          <w:rFonts w:cs="Times New Roman"/>
        </w:rPr>
        <w:t>The testimony suggested that at least one reported NSRKC landing in the past five years</w:t>
      </w:r>
      <w:r w:rsidR="00DA5149" w:rsidRPr="00CA0498">
        <w:rPr>
          <w:rFonts w:cs="Times New Roman"/>
        </w:rPr>
        <w:t xml:space="preserve"> would be </w:t>
      </w:r>
      <w:r w:rsidR="009447BB" w:rsidRPr="00CA0498">
        <w:rPr>
          <w:rFonts w:cs="Times New Roman"/>
        </w:rPr>
        <w:t>required</w:t>
      </w:r>
      <w:r w:rsidR="003C75D3" w:rsidRPr="00CA0498">
        <w:rPr>
          <w:rFonts w:cs="Times New Roman"/>
        </w:rPr>
        <w:t xml:space="preserve"> in order to maintain a license</w:t>
      </w:r>
      <w:r w:rsidR="0040008B" w:rsidRPr="00CA0498">
        <w:rPr>
          <w:rFonts w:cs="Times New Roman"/>
        </w:rPr>
        <w:t xml:space="preserve">.  </w:t>
      </w:r>
    </w:p>
    <w:p w:rsidR="0040008B" w:rsidRPr="00CA0498" w:rsidRDefault="0040008B">
      <w:pPr>
        <w:rPr>
          <w:rFonts w:cs="Times New Roman"/>
        </w:rPr>
      </w:pPr>
      <w:r w:rsidRPr="00CA0498">
        <w:rPr>
          <w:rFonts w:cs="Times New Roman"/>
        </w:rPr>
        <w:t xml:space="preserve">The Council chose to address this issue </w:t>
      </w:r>
      <w:r w:rsidR="00B60C09">
        <w:rPr>
          <w:rFonts w:cs="Times New Roman"/>
        </w:rPr>
        <w:t>at the</w:t>
      </w:r>
      <w:r w:rsidRPr="00CA0498">
        <w:rPr>
          <w:rFonts w:cs="Times New Roman"/>
        </w:rPr>
        <w:t>, June 2014 meeting held in Nome, in order to allow stakeholders from Norton Sound surrounding region a chance to pr</w:t>
      </w:r>
      <w:r w:rsidR="006D4BAC" w:rsidRPr="00CA0498">
        <w:rPr>
          <w:rFonts w:cs="Times New Roman"/>
        </w:rPr>
        <w:t xml:space="preserve">ovide additional public input.  </w:t>
      </w:r>
      <w:r w:rsidR="00CE6EF0" w:rsidRPr="00CA0498">
        <w:rPr>
          <w:rFonts w:cs="Times New Roman"/>
        </w:rPr>
        <w:t>Council me</w:t>
      </w:r>
      <w:r w:rsidR="009447BB" w:rsidRPr="00CA0498">
        <w:rPr>
          <w:rFonts w:cs="Times New Roman"/>
        </w:rPr>
        <w:t>mbers expressed the utility of a baseline description of the fishery to augment stakeholder input</w:t>
      </w:r>
      <w:r w:rsidR="00722B0C" w:rsidRPr="00CA0498">
        <w:rPr>
          <w:rFonts w:cs="Times New Roman"/>
        </w:rPr>
        <w:t>. Therefore</w:t>
      </w:r>
      <w:r w:rsidR="00CE6EF0" w:rsidRPr="00CA0498">
        <w:rPr>
          <w:rFonts w:cs="Times New Roman"/>
        </w:rPr>
        <w:t xml:space="preserve"> t</w:t>
      </w:r>
      <w:r w:rsidRPr="00CA0498">
        <w:rPr>
          <w:rFonts w:cs="Times New Roman"/>
        </w:rPr>
        <w:t>his discussion paper is meant to serve as refe</w:t>
      </w:r>
      <w:r w:rsidR="009447BB" w:rsidRPr="00CA0498">
        <w:rPr>
          <w:rFonts w:cs="Times New Roman"/>
        </w:rPr>
        <w:t>rence</w:t>
      </w:r>
      <w:r w:rsidR="00722B0C" w:rsidRPr="00CA0498">
        <w:rPr>
          <w:rFonts w:cs="Times New Roman"/>
        </w:rPr>
        <w:t>;</w:t>
      </w:r>
      <w:r w:rsidRPr="00CA0498">
        <w:rPr>
          <w:rFonts w:cs="Times New Roman"/>
        </w:rPr>
        <w:t xml:space="preserve"> describing the</w:t>
      </w:r>
      <w:r w:rsidR="00CE6EF0" w:rsidRPr="00CA0498">
        <w:rPr>
          <w:rFonts w:cs="Times New Roman"/>
        </w:rPr>
        <w:t xml:space="preserve"> characteristic of the</w:t>
      </w:r>
      <w:r w:rsidR="006D0021">
        <w:rPr>
          <w:rFonts w:cs="Times New Roman"/>
        </w:rPr>
        <w:t xml:space="preserve"> stock, the</w:t>
      </w:r>
      <w:r w:rsidR="00722B0C" w:rsidRPr="00CA0498">
        <w:rPr>
          <w:rFonts w:cs="Times New Roman"/>
        </w:rPr>
        <w:t xml:space="preserve"> fishery, </w:t>
      </w:r>
      <w:r w:rsidR="006D0021">
        <w:rPr>
          <w:rFonts w:cs="Times New Roman"/>
        </w:rPr>
        <w:t xml:space="preserve">harvest levels and </w:t>
      </w:r>
      <w:r w:rsidRPr="00CA0498">
        <w:rPr>
          <w:rFonts w:cs="Times New Roman"/>
        </w:rPr>
        <w:t xml:space="preserve">participation over </w:t>
      </w:r>
      <w:r w:rsidR="009447BB" w:rsidRPr="00CA0498">
        <w:rPr>
          <w:rFonts w:cs="Times New Roman"/>
        </w:rPr>
        <w:t>time</w:t>
      </w:r>
      <w:r w:rsidR="00722B0C" w:rsidRPr="00CA0498">
        <w:rPr>
          <w:rFonts w:cs="Times New Roman"/>
        </w:rPr>
        <w:t>.</w:t>
      </w:r>
    </w:p>
    <w:p w:rsidR="0040008B" w:rsidRPr="00CA0498" w:rsidRDefault="00B0390E" w:rsidP="006D0021">
      <w:pPr>
        <w:pStyle w:val="Heading1"/>
      </w:pPr>
      <w:bookmarkStart w:id="1" w:name="_Toc386441123"/>
      <w:r>
        <w:t>DESCRIPTION</w:t>
      </w:r>
      <w:r w:rsidR="00CE6EF0" w:rsidRPr="00CA0498">
        <w:t xml:space="preserve"> OF THE </w:t>
      </w:r>
      <w:r w:rsidR="00415C2D" w:rsidRPr="00CA0498">
        <w:t>STOCK</w:t>
      </w:r>
      <w:bookmarkEnd w:id="1"/>
      <w:r w:rsidR="00415C2D" w:rsidRPr="00CA0498">
        <w:t xml:space="preserve"> </w:t>
      </w:r>
    </w:p>
    <w:p w:rsidR="00415C2D" w:rsidRPr="00CA0498" w:rsidRDefault="00415C2D" w:rsidP="00A83EFB">
      <w:pPr>
        <w:rPr>
          <w:rFonts w:cs="Times New Roman"/>
        </w:rPr>
      </w:pPr>
      <w:r w:rsidRPr="00CA0498">
        <w:rPr>
          <w:rFonts w:cs="Times New Roman"/>
        </w:rPr>
        <w:t>King crab in the Norton Sound section includes some red (</w:t>
      </w:r>
      <w:proofErr w:type="spellStart"/>
      <w:r w:rsidRPr="00CA0498">
        <w:rPr>
          <w:i/>
        </w:rPr>
        <w:t>Paralithodes</w:t>
      </w:r>
      <w:proofErr w:type="spellEnd"/>
      <w:r w:rsidRPr="00CA0498">
        <w:rPr>
          <w:i/>
        </w:rPr>
        <w:t xml:space="preserve"> </w:t>
      </w:r>
      <w:proofErr w:type="spellStart"/>
      <w:r w:rsidRPr="00CA0498">
        <w:rPr>
          <w:i/>
          <w:spacing w:val="-3"/>
        </w:rPr>
        <w:t>camtschaticus</w:t>
      </w:r>
      <w:proofErr w:type="spellEnd"/>
      <w:r w:rsidRPr="00CA0498">
        <w:rPr>
          <w:spacing w:val="-3"/>
        </w:rPr>
        <w:t xml:space="preserve">), blue </w:t>
      </w:r>
      <w:proofErr w:type="gramStart"/>
      <w:r w:rsidRPr="00CA0498">
        <w:rPr>
          <w:spacing w:val="-3"/>
        </w:rPr>
        <w:t>(</w:t>
      </w:r>
      <w:proofErr w:type="spellStart"/>
      <w:r w:rsidRPr="00CA0498">
        <w:rPr>
          <w:i/>
        </w:rPr>
        <w:t>Paralithodes</w:t>
      </w:r>
      <w:proofErr w:type="spellEnd"/>
      <w:r w:rsidRPr="00CA0498">
        <w:rPr>
          <w:i/>
        </w:rPr>
        <w:t xml:space="preserve"> platypus</w:t>
      </w:r>
      <w:r w:rsidRPr="00CA0498">
        <w:t xml:space="preserve">), and the more recently documented </w:t>
      </w:r>
      <w:proofErr w:type="spellStart"/>
      <w:r w:rsidRPr="00CA0498">
        <w:t>Hanasaki</w:t>
      </w:r>
      <w:proofErr w:type="spellEnd"/>
      <w:r w:rsidRPr="00CA0498">
        <w:t xml:space="preserve"> king crab (“spiny king crab” </w:t>
      </w:r>
      <w:proofErr w:type="spellStart"/>
      <w:r w:rsidRPr="00CA0498">
        <w:rPr>
          <w:i/>
        </w:rPr>
        <w:t>Paralithodes</w:t>
      </w:r>
      <w:proofErr w:type="spellEnd"/>
      <w:r w:rsidRPr="00CA0498">
        <w:rPr>
          <w:i/>
        </w:rPr>
        <w:t xml:space="preserve"> </w:t>
      </w:r>
      <w:proofErr w:type="spellStart"/>
      <w:r w:rsidRPr="00CA0498">
        <w:rPr>
          <w:i/>
        </w:rPr>
        <w:t>brevipes</w:t>
      </w:r>
      <w:proofErr w:type="spellEnd"/>
      <w:r w:rsidRPr="00CA0498">
        <w:t>).</w:t>
      </w:r>
      <w:proofErr w:type="gramEnd"/>
      <w:r w:rsidRPr="00CA0498">
        <w:t xml:space="preserve">  Red king crab is by far the most abundant crab species in the Norton Sound Section, and is the primary target of subsistence and commercial fisheries in Norton Sound.</w:t>
      </w:r>
      <w:r w:rsidR="00A83EFB" w:rsidRPr="00CA0498">
        <w:t xml:space="preserve"> Blue king </w:t>
      </w:r>
      <w:proofErr w:type="gramStart"/>
      <w:r w:rsidR="00A83EFB" w:rsidRPr="00CA0498">
        <w:t>cra</w:t>
      </w:r>
      <w:r w:rsidR="00B60C09">
        <w:t>b are</w:t>
      </w:r>
      <w:proofErr w:type="gramEnd"/>
      <w:r w:rsidR="00B60C09">
        <w:t xml:space="preserve"> much less abundant, and </w:t>
      </w:r>
      <w:r w:rsidR="00A83EFB" w:rsidRPr="00CA0498">
        <w:t xml:space="preserve">their distribution is </w:t>
      </w:r>
      <w:r w:rsidR="00B60C09">
        <w:t xml:space="preserve">limited to </w:t>
      </w:r>
      <w:r w:rsidR="00A83EFB" w:rsidRPr="00CA0498">
        <w:t>the western portion of the section in the Bering Strait</w:t>
      </w:r>
      <w:r w:rsidR="00B60C09">
        <w:t xml:space="preserve"> and Saint Lawrence Island area. A</w:t>
      </w:r>
      <w:r w:rsidR="00A83EFB" w:rsidRPr="00CA0498">
        <w:t xml:space="preserve">bundance information </w:t>
      </w:r>
      <w:r w:rsidR="00B60C09">
        <w:t xml:space="preserve">for blue crab </w:t>
      </w:r>
      <w:r w:rsidR="00A83EFB" w:rsidRPr="00CA0498">
        <w:t>is extremely difficult to assess due to strong currents and bottom topography.  Commercial and subsistence blue king crab harvests are allowed by regulation; however, there is no management plan for blue king crab because of a lack of data and limited harvests</w:t>
      </w:r>
      <w:r w:rsidRPr="00CA0498">
        <w:t xml:space="preserve"> (Kent </w:t>
      </w:r>
      <w:r w:rsidR="009D2E3F" w:rsidRPr="00CA0498">
        <w:t>&amp; Bell</w:t>
      </w:r>
      <w:r w:rsidRPr="00CA0498">
        <w:t xml:space="preserve"> 2013).</w:t>
      </w:r>
      <w:r w:rsidR="00A83EFB" w:rsidRPr="00CA0498">
        <w:t xml:space="preserve"> Similarly, the spiny king crab was first documented in the region in 2003, but the very limited abundance has not yet established </w:t>
      </w:r>
      <w:r w:rsidR="00B60C09">
        <w:t xml:space="preserve">and </w:t>
      </w:r>
      <w:r w:rsidR="00A83EFB" w:rsidRPr="00CA0498">
        <w:t>this species</w:t>
      </w:r>
      <w:r w:rsidR="00B60C09">
        <w:t xml:space="preserve"> has not yet </w:t>
      </w:r>
      <w:r w:rsidR="00B60C09">
        <w:lastRenderedPageBreak/>
        <w:t>been incorporated</w:t>
      </w:r>
      <w:r w:rsidR="00A83EFB" w:rsidRPr="00CA0498">
        <w:t xml:space="preserve"> into a fisheries management plan. </w:t>
      </w:r>
      <w:r w:rsidRPr="00CA0498">
        <w:t xml:space="preserve">This discussion </w:t>
      </w:r>
      <w:r w:rsidR="00B60C09">
        <w:t xml:space="preserve">paper therefore </w:t>
      </w:r>
      <w:r w:rsidRPr="00CA0498">
        <w:t>will focus specifically towards the red king crab resource.</w:t>
      </w:r>
    </w:p>
    <w:p w:rsidR="00092AFB" w:rsidRPr="00B60C09" w:rsidRDefault="00415C2D" w:rsidP="00B60C09">
      <w:pPr>
        <w:rPr>
          <w:rFonts w:cs="Times New Roman"/>
        </w:rPr>
      </w:pPr>
      <w:r w:rsidRPr="00CA0498">
        <w:rPr>
          <w:rFonts w:cs="Times New Roman"/>
        </w:rPr>
        <w:t xml:space="preserve">The </w:t>
      </w:r>
      <w:r w:rsidR="005C6DED" w:rsidRPr="00CA0498">
        <w:rPr>
          <w:rFonts w:cs="Times New Roman"/>
        </w:rPr>
        <w:t xml:space="preserve">NSRKC </w:t>
      </w:r>
      <w:r w:rsidR="003D7453" w:rsidRPr="00CA0498">
        <w:rPr>
          <w:rFonts w:cs="Times New Roman"/>
        </w:rPr>
        <w:t xml:space="preserve">management area exists in the Norton Sound Section (Q3) and Kotzebue Sections (Q4) of the </w:t>
      </w:r>
      <w:r w:rsidR="00B70BD3" w:rsidRPr="00CA0498">
        <w:rPr>
          <w:rFonts w:cs="Times New Roman"/>
        </w:rPr>
        <w:t xml:space="preserve">Bering Sea </w:t>
      </w:r>
      <w:r w:rsidR="00722B0C" w:rsidRPr="00CA0498">
        <w:rPr>
          <w:rFonts w:cs="Times New Roman"/>
        </w:rPr>
        <w:t xml:space="preserve">as illustrated in Figure 1.  Q3 contains all waters in Statistical Area Q north of the latitude of Cape </w:t>
      </w:r>
      <w:proofErr w:type="spellStart"/>
      <w:r w:rsidR="00722B0C" w:rsidRPr="00CA0498">
        <w:rPr>
          <w:rFonts w:cs="Times New Roman"/>
        </w:rPr>
        <w:t>Romanzolf</w:t>
      </w:r>
      <w:proofErr w:type="spellEnd"/>
      <w:r w:rsidR="00722B0C" w:rsidRPr="00CA0498">
        <w:rPr>
          <w:rFonts w:cs="Times New Roman"/>
        </w:rPr>
        <w:t xml:space="preserve"> (61° 49’ N latitude), east of the International Dateline, and south of latitude 66°</w:t>
      </w:r>
      <w:r w:rsidR="0006757C" w:rsidRPr="00CA0498">
        <w:rPr>
          <w:rFonts w:cs="Times New Roman"/>
        </w:rPr>
        <w:t xml:space="preserve"> N (</w:t>
      </w:r>
      <w:r w:rsidR="00BE0D35" w:rsidRPr="00CA0498">
        <w:rPr>
          <w:rFonts w:cs="Times New Roman"/>
        </w:rPr>
        <w:t>Menard et al. 2012</w:t>
      </w:r>
      <w:r w:rsidR="0006757C" w:rsidRPr="00CA0498">
        <w:rPr>
          <w:rFonts w:cs="Times New Roman"/>
        </w:rPr>
        <w:t>).</w:t>
      </w:r>
      <w:r w:rsidR="003D7453" w:rsidRPr="00CA0498">
        <w:rPr>
          <w:rFonts w:cs="Times New Roman"/>
        </w:rPr>
        <w:t xml:space="preserve"> The Kotzebue Section lies immediately north of the Norton Sound Section and includes Kotzebue Sound. Commercial fisheries have not regularly occurred in the Kotzebue </w:t>
      </w:r>
      <w:proofErr w:type="gramStart"/>
      <w:r w:rsidR="003D7453" w:rsidRPr="00CA0498">
        <w:rPr>
          <w:rFonts w:cs="Times New Roman"/>
        </w:rPr>
        <w:t>Section,</w:t>
      </w:r>
      <w:proofErr w:type="gramEnd"/>
      <w:r w:rsidR="003D7453" w:rsidRPr="00CA0498">
        <w:rPr>
          <w:rFonts w:cs="Times New Roman"/>
        </w:rPr>
        <w:t xml:space="preserve"> consequently this discussion will focus on the fisheries of the Norton Sound </w:t>
      </w:r>
      <w:r w:rsidR="003D7453">
        <w:rPr>
          <w:rFonts w:cs="Times New Roman"/>
        </w:rPr>
        <w:t>Section.</w:t>
      </w:r>
    </w:p>
    <w:p w:rsidR="002D4DFF" w:rsidRPr="000F4C4E" w:rsidRDefault="002D4DFF" w:rsidP="000F4C4E">
      <w:pPr>
        <w:spacing w:after="0" w:line="240" w:lineRule="auto"/>
        <w:contextualSpacing/>
        <w:rPr>
          <w:b/>
          <w:i/>
        </w:rPr>
      </w:pPr>
      <w:proofErr w:type="gramStart"/>
      <w:r w:rsidRPr="000F4C4E">
        <w:rPr>
          <w:b/>
        </w:rPr>
        <w:t>Figure 1.</w:t>
      </w:r>
      <w:proofErr w:type="gramEnd"/>
      <w:r w:rsidRPr="000F4C4E">
        <w:rPr>
          <w:b/>
        </w:rPr>
        <w:t xml:space="preserve"> King crab fishing districts and section of Statistical Area Q</w:t>
      </w:r>
    </w:p>
    <w:p w:rsidR="004B0B95" w:rsidRDefault="004B0B95" w:rsidP="004B0B95">
      <w:pPr>
        <w:spacing w:after="0" w:line="240" w:lineRule="auto"/>
        <w:contextualSpacing/>
        <w:jc w:val="center"/>
        <w:rPr>
          <w:rFonts w:cs="Times New Roman"/>
        </w:rPr>
      </w:pPr>
      <w:r w:rsidRPr="008340D1">
        <w:rPr>
          <w:noProof/>
        </w:rPr>
        <w:drawing>
          <wp:inline distT="0" distB="0" distL="0" distR="0" wp14:anchorId="68025152" wp14:editId="3BF6B425">
            <wp:extent cx="3904735" cy="3814119"/>
            <wp:effectExtent l="0" t="0" r="63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86" t="2472" r="1412" b="2591"/>
                    <a:stretch/>
                  </pic:blipFill>
                  <pic:spPr bwMode="auto">
                    <a:xfrm>
                      <a:off x="0" y="0"/>
                      <a:ext cx="3905774" cy="3815134"/>
                    </a:xfrm>
                    <a:prstGeom prst="rect">
                      <a:avLst/>
                    </a:prstGeom>
                    <a:noFill/>
                    <a:ln>
                      <a:noFill/>
                    </a:ln>
                    <a:extLst>
                      <a:ext uri="{53640926-AAD7-44D8-BBD7-CCE9431645EC}">
                        <a14:shadowObscured xmlns:a14="http://schemas.microsoft.com/office/drawing/2010/main"/>
                      </a:ext>
                    </a:extLst>
                  </pic:spPr>
                </pic:pic>
              </a:graphicData>
            </a:graphic>
          </wp:inline>
        </w:drawing>
      </w:r>
    </w:p>
    <w:p w:rsidR="002D4DFF" w:rsidRDefault="004B0B95" w:rsidP="004B0B95">
      <w:pPr>
        <w:spacing w:after="0" w:line="240" w:lineRule="auto"/>
        <w:contextualSpacing/>
        <w:jc w:val="center"/>
        <w:rPr>
          <w:rFonts w:cs="Times New Roman"/>
        </w:rPr>
      </w:pPr>
      <w:r>
        <w:rPr>
          <w:rFonts w:cs="Times New Roman"/>
        </w:rPr>
        <w:t xml:space="preserve"> </w:t>
      </w:r>
    </w:p>
    <w:p w:rsidR="00B0390E" w:rsidRDefault="00B0390E" w:rsidP="006D0021">
      <w:pPr>
        <w:pStyle w:val="Heading1"/>
      </w:pPr>
      <w:bookmarkStart w:id="2" w:name="_Toc386441124"/>
      <w:r>
        <w:t>DESCRIPTION</w:t>
      </w:r>
      <w:r w:rsidRPr="00CA0498">
        <w:t xml:space="preserve"> OF THE NSRKC FISHERY</w:t>
      </w:r>
      <w:bookmarkEnd w:id="2"/>
    </w:p>
    <w:p w:rsidR="003D7453" w:rsidRPr="00CA0498" w:rsidRDefault="004D73F7" w:rsidP="00A83EFB">
      <w:pPr>
        <w:rPr>
          <w:rFonts w:cs="Times New Roman"/>
        </w:rPr>
      </w:pPr>
      <w:r>
        <w:rPr>
          <w:rFonts w:cs="Times New Roman"/>
        </w:rPr>
        <w:t xml:space="preserve">The NSRKC stock supports </w:t>
      </w:r>
      <w:r w:rsidR="00A83EFB" w:rsidRPr="00CA0498">
        <w:rPr>
          <w:rFonts w:cs="Times New Roman"/>
        </w:rPr>
        <w:t>subsistence</w:t>
      </w:r>
      <w:r w:rsidR="00B60C09">
        <w:rPr>
          <w:rFonts w:cs="Times New Roman"/>
        </w:rPr>
        <w:t xml:space="preserve"> fisheries</w:t>
      </w:r>
      <w:r w:rsidR="003D7453" w:rsidRPr="00CA0498">
        <w:rPr>
          <w:rFonts w:cs="Times New Roman"/>
        </w:rPr>
        <w:t>, as well as winter and summer commercial fisheries</w:t>
      </w:r>
      <w:r w:rsidR="00FA4254" w:rsidRPr="00CA0498">
        <w:rPr>
          <w:rFonts w:cs="Times New Roman"/>
        </w:rPr>
        <w:t>. Subsistence harvesters need to obtain a permit before fishing and record daily effort.</w:t>
      </w:r>
      <w:r w:rsidR="00FA4254" w:rsidRPr="00CA0498">
        <w:rPr>
          <w:spacing w:val="-3"/>
        </w:rPr>
        <w:t xml:space="preserve"> There is no size limit for crab in the subsistence fishery. </w:t>
      </w:r>
      <w:r w:rsidR="00DB1E12" w:rsidRPr="00CA0498">
        <w:rPr>
          <w:spacing w:val="-3"/>
        </w:rPr>
        <w:t>Typically, subsiste</w:t>
      </w:r>
      <w:r w:rsidR="00FA4254" w:rsidRPr="00CA0498">
        <w:rPr>
          <w:spacing w:val="-3"/>
        </w:rPr>
        <w:t>nce crabbing occurs in waters ten</w:t>
      </w:r>
      <w:r w:rsidR="00DB1E12" w:rsidRPr="00CA0498">
        <w:rPr>
          <w:spacing w:val="-3"/>
        </w:rPr>
        <w:t xml:space="preserve"> fathoms or less in depth and </w:t>
      </w:r>
      <w:r w:rsidR="00FA4254" w:rsidRPr="00CA0498">
        <w:rPr>
          <w:spacing w:val="-3"/>
        </w:rPr>
        <w:t>most commonly</w:t>
      </w:r>
      <w:r w:rsidR="00DB1E12" w:rsidRPr="00CA0498">
        <w:rPr>
          <w:spacing w:val="-3"/>
        </w:rPr>
        <w:t xml:space="preserve"> during the winter through </w:t>
      </w:r>
      <w:proofErr w:type="spellStart"/>
      <w:r w:rsidR="00DB1E12" w:rsidRPr="00CA0498">
        <w:rPr>
          <w:spacing w:val="-3"/>
        </w:rPr>
        <w:t>nearshore</w:t>
      </w:r>
      <w:proofErr w:type="spellEnd"/>
      <w:r w:rsidR="00DB1E12" w:rsidRPr="00CA0498">
        <w:rPr>
          <w:spacing w:val="-3"/>
        </w:rPr>
        <w:t xml:space="preserve"> ice.</w:t>
      </w:r>
      <w:r w:rsidR="00FA4254" w:rsidRPr="00CA0498">
        <w:rPr>
          <w:spacing w:val="-3"/>
        </w:rPr>
        <w:t xml:space="preserve"> Summer subsistence crab harvest has been monitored since 2004, and since then, has only accounted for an average of 712 crabs per year (</w:t>
      </w:r>
      <w:proofErr w:type="spellStart"/>
      <w:r w:rsidR="009D2E3F" w:rsidRPr="00CA0498">
        <w:rPr>
          <w:rFonts w:cs="Times New Roman"/>
        </w:rPr>
        <w:t>Hamazaki</w:t>
      </w:r>
      <w:proofErr w:type="spellEnd"/>
      <w:r w:rsidR="009D2E3F" w:rsidRPr="00CA0498">
        <w:rPr>
          <w:rFonts w:cs="Times New Roman"/>
        </w:rPr>
        <w:t xml:space="preserve"> &amp; Zheng </w:t>
      </w:r>
      <w:r w:rsidR="00FA4254" w:rsidRPr="00CA0498">
        <w:rPr>
          <w:rFonts w:cs="Times New Roman"/>
        </w:rPr>
        <w:t>2013).</w:t>
      </w:r>
      <w:r w:rsidR="00DB1E12" w:rsidRPr="00CA0498">
        <w:rPr>
          <w:rFonts w:cs="Times New Roman"/>
        </w:rPr>
        <w:t xml:space="preserve"> </w:t>
      </w:r>
      <w:r w:rsidR="00DB1E12" w:rsidRPr="00CA0498">
        <w:rPr>
          <w:spacing w:val="-3"/>
        </w:rPr>
        <w:t xml:space="preserve">In the last several decades, </w:t>
      </w:r>
      <w:r w:rsidR="00FA4254" w:rsidRPr="00CA0498">
        <w:rPr>
          <w:spacing w:val="-3"/>
        </w:rPr>
        <w:t>the use of hand lines for</w:t>
      </w:r>
      <w:r w:rsidR="00A34252" w:rsidRPr="00CA0498">
        <w:rPr>
          <w:spacing w:val="-3"/>
        </w:rPr>
        <w:t xml:space="preserve"> subsistence fishing </w:t>
      </w:r>
      <w:r w:rsidR="00DB1E12" w:rsidRPr="00CA0498">
        <w:rPr>
          <w:spacing w:val="-3"/>
        </w:rPr>
        <w:t xml:space="preserve">has </w:t>
      </w:r>
      <w:r w:rsidR="00A34252" w:rsidRPr="00CA0498">
        <w:rPr>
          <w:spacing w:val="-3"/>
        </w:rPr>
        <w:t>diminish</w:t>
      </w:r>
      <w:r w:rsidR="00FA4254" w:rsidRPr="00CA0498">
        <w:rPr>
          <w:spacing w:val="-3"/>
        </w:rPr>
        <w:t>ed</w:t>
      </w:r>
      <w:r w:rsidR="00A34252" w:rsidRPr="00CA0498">
        <w:rPr>
          <w:spacing w:val="-3"/>
        </w:rPr>
        <w:t xml:space="preserve"> in favor of pot gear </w:t>
      </w:r>
      <w:r w:rsidR="00FA4254" w:rsidRPr="00CA0498">
        <w:rPr>
          <w:spacing w:val="-3"/>
        </w:rPr>
        <w:t>for a more</w:t>
      </w:r>
      <w:r w:rsidR="00A34252" w:rsidRPr="00CA0498">
        <w:rPr>
          <w:spacing w:val="-3"/>
        </w:rPr>
        <w:t xml:space="preserve"> efficiently harvest (Schwarz et al. 1984).  The overall average subsistence crab harvest during the most recent 5-year period (2009–2013) was 6,694 crab; 18% above the 1977–1998 average</w:t>
      </w:r>
      <w:r w:rsidR="00A34252" w:rsidRPr="00CA0498">
        <w:rPr>
          <w:rStyle w:val="FootnoteReference"/>
          <w:spacing w:val="-3"/>
        </w:rPr>
        <w:footnoteReference w:id="2"/>
      </w:r>
      <w:r w:rsidR="00A34252" w:rsidRPr="00CA0498">
        <w:rPr>
          <w:spacing w:val="-3"/>
        </w:rPr>
        <w:t xml:space="preserve">.  </w:t>
      </w:r>
    </w:p>
    <w:p w:rsidR="003F6D33" w:rsidRPr="00CA0498" w:rsidRDefault="00A34252" w:rsidP="00A83EFB">
      <w:pPr>
        <w:rPr>
          <w:rFonts w:cs="Times New Roman"/>
        </w:rPr>
      </w:pPr>
      <w:r w:rsidRPr="00CA0498">
        <w:lastRenderedPageBreak/>
        <w:t>A winter commercial fishery in Norton Sound Section occurs from November 15 through May 15</w:t>
      </w:r>
      <w:r w:rsidRPr="00CA0498">
        <w:rPr>
          <w:rFonts w:cs="Times New Roman"/>
        </w:rPr>
        <w:t xml:space="preserve">. It is generally prosecuted by drilling and setting pots </w:t>
      </w:r>
      <w:r w:rsidR="00DB1E12" w:rsidRPr="00CA0498">
        <w:rPr>
          <w:rFonts w:cs="Times New Roman"/>
        </w:rPr>
        <w:t xml:space="preserve">or using hand lines </w:t>
      </w:r>
      <w:r w:rsidRPr="00CA0498">
        <w:rPr>
          <w:rFonts w:cs="Times New Roman"/>
        </w:rPr>
        <w:t xml:space="preserve">through </w:t>
      </w:r>
      <w:proofErr w:type="spellStart"/>
      <w:r w:rsidRPr="00CA0498">
        <w:rPr>
          <w:rFonts w:cs="Times New Roman"/>
        </w:rPr>
        <w:t>nearshore</w:t>
      </w:r>
      <w:proofErr w:type="spellEnd"/>
      <w:r w:rsidRPr="00CA0498">
        <w:rPr>
          <w:rFonts w:cs="Times New Roman"/>
        </w:rPr>
        <w:t xml:space="preserve"> ice; thus it is not dependent on vessels.  </w:t>
      </w:r>
      <w:r w:rsidR="00DB1E12" w:rsidRPr="00CA0498">
        <w:rPr>
          <w:rFonts w:cs="Times New Roman"/>
        </w:rPr>
        <w:t>Participates of the winter fishery are required to hold state permits</w:t>
      </w:r>
      <w:r w:rsidR="00FA4254" w:rsidRPr="00CA0498">
        <w:rPr>
          <w:rFonts w:cs="Times New Roman"/>
        </w:rPr>
        <w:t>.</w:t>
      </w:r>
      <w:r w:rsidR="00DB1E12" w:rsidRPr="00CA0498">
        <w:rPr>
          <w:rFonts w:cs="Times New Roman"/>
        </w:rPr>
        <w:t xml:space="preserve">  </w:t>
      </w:r>
      <w:r w:rsidR="003F6D33" w:rsidRPr="00CA0498">
        <w:t>With the exception of the 1977/1978, 1993/1994, and 1994/1995 seasons, a small number of permit holders have accounted for the majority of the winter commercial crab harvest between 1978 and 2011</w:t>
      </w:r>
      <w:r w:rsidR="003F6D33" w:rsidRPr="00CA0498">
        <w:rPr>
          <w:rStyle w:val="FootnoteReference"/>
        </w:rPr>
        <w:footnoteReference w:id="3"/>
      </w:r>
      <w:r w:rsidR="003F6D33" w:rsidRPr="00CA0498">
        <w:t xml:space="preserve">. </w:t>
      </w:r>
      <w:r w:rsidRPr="00CA0498">
        <w:t xml:space="preserve">During the 2011/2012 and 2012/2013 winter seasons, near record levels of participation in the winter fishery were observed.  In 2011/2012, deliveries were made by 35 of 41 registered permit holders, harvesting 9,157 </w:t>
      </w:r>
      <w:proofErr w:type="gramStart"/>
      <w:r w:rsidRPr="00CA0498">
        <w:t>crab</w:t>
      </w:r>
      <w:proofErr w:type="gramEnd"/>
      <w:r w:rsidRPr="00CA0498">
        <w:t>, which at the time was second highest harvest on record (</w:t>
      </w:r>
      <w:r w:rsidR="003F6D33" w:rsidRPr="00CA0498">
        <w:t xml:space="preserve">Kent </w:t>
      </w:r>
      <w:r w:rsidR="009D2E3F" w:rsidRPr="00CA0498">
        <w:t>&amp;</w:t>
      </w:r>
      <w:r w:rsidR="003F6D33" w:rsidRPr="00CA0498">
        <w:t xml:space="preserve"> Bell 2013). </w:t>
      </w:r>
      <w:r w:rsidRPr="00CA0498">
        <w:t>During the following winter</w:t>
      </w:r>
      <w:r w:rsidR="003F6D33" w:rsidRPr="00CA0498">
        <w:t xml:space="preserve"> season, </w:t>
      </w:r>
      <w:r w:rsidRPr="00CA0498">
        <w:t>26 permit holders</w:t>
      </w:r>
      <w:r w:rsidR="003F6D33" w:rsidRPr="00CA0498">
        <w:t xml:space="preserve"> </w:t>
      </w:r>
      <w:r w:rsidR="002D64E1" w:rsidRPr="00CA0498">
        <w:t>harvested</w:t>
      </w:r>
      <w:r w:rsidRPr="00CA0498">
        <w:t xml:space="preserve"> </w:t>
      </w:r>
      <w:r w:rsidR="003F6D33" w:rsidRPr="00CA0498">
        <w:t>greater than 22,600</w:t>
      </w:r>
      <w:r w:rsidRPr="00CA0498">
        <w:t xml:space="preserve"> </w:t>
      </w:r>
      <w:proofErr w:type="gramStart"/>
      <w:r w:rsidRPr="00CA0498">
        <w:t>crab</w:t>
      </w:r>
      <w:proofErr w:type="gramEnd"/>
      <w:r w:rsidRPr="00CA0498">
        <w:t xml:space="preserve"> (approximately 60,000 pounds</w:t>
      </w:r>
      <w:r w:rsidR="003F6D33" w:rsidRPr="00CA0498">
        <w:t>). This</w:t>
      </w:r>
      <w:r w:rsidRPr="00CA0498">
        <w:t xml:space="preserve"> was 135% above the previous record of 9,625 </w:t>
      </w:r>
      <w:proofErr w:type="gramStart"/>
      <w:r w:rsidRPr="00CA0498">
        <w:t>crab</w:t>
      </w:r>
      <w:proofErr w:type="gramEnd"/>
      <w:r w:rsidRPr="00CA0498">
        <w:t xml:space="preserve"> taken during the 1977/19</w:t>
      </w:r>
      <w:r w:rsidR="003F6D33" w:rsidRPr="00CA0498">
        <w:t>78 winter</w:t>
      </w:r>
      <w:r w:rsidR="002D64E1" w:rsidRPr="00CA0498">
        <w:t xml:space="preserve"> (</w:t>
      </w:r>
      <w:r w:rsidR="009D2E3F" w:rsidRPr="00CA0498">
        <w:t>Kent &amp; Bell 2013</w:t>
      </w:r>
      <w:r w:rsidR="002D64E1" w:rsidRPr="00CA0498">
        <w:t xml:space="preserve">). </w:t>
      </w:r>
      <w:r w:rsidR="00027D16" w:rsidRPr="00CA0498">
        <w:t xml:space="preserve">Participants cited the very stable ice coverage near Nome as one of the principle factors in the </w:t>
      </w:r>
      <w:r w:rsidR="00D73A69" w:rsidRPr="00CA0498">
        <w:t xml:space="preserve">abundant </w:t>
      </w:r>
      <w:r w:rsidR="00027D16" w:rsidRPr="00CA0498">
        <w:t>harvest.</w:t>
      </w:r>
      <w:r w:rsidR="00027D16" w:rsidRPr="00CA0498">
        <w:rPr>
          <w:rFonts w:cs="Times New Roman"/>
        </w:rPr>
        <w:t xml:space="preserve"> </w:t>
      </w:r>
      <w:r w:rsidR="00027D16" w:rsidRPr="00CA0498">
        <w:t>This ice coverage during the winter of 2012/2013, and consequently the productive winter harvest, was not achieved uniformly throughout the Norton Sound section (</w:t>
      </w:r>
      <w:proofErr w:type="spellStart"/>
      <w:r w:rsidR="00027D16" w:rsidRPr="00CA0498">
        <w:t>Dischner</w:t>
      </w:r>
      <w:proofErr w:type="spellEnd"/>
      <w:r w:rsidR="00027D16" w:rsidRPr="00CA0498">
        <w:t xml:space="preserve"> 2013). </w:t>
      </w:r>
    </w:p>
    <w:p w:rsidR="0087664C" w:rsidRPr="00CA0498" w:rsidRDefault="0087664C" w:rsidP="00A83EFB">
      <w:pPr>
        <w:rPr>
          <w:rFonts w:cs="Times New Roman"/>
        </w:rPr>
      </w:pPr>
      <w:r w:rsidRPr="00CA0498">
        <w:rPr>
          <w:rFonts w:cs="Times New Roman"/>
        </w:rPr>
        <w:t>A large-vessel summer commercial crab fishery existed in t</w:t>
      </w:r>
      <w:r w:rsidR="00A16637" w:rsidRPr="00CA0498">
        <w:rPr>
          <w:rFonts w:cs="Times New Roman"/>
        </w:rPr>
        <w:t>he Norton Sound Section from 197</w:t>
      </w:r>
      <w:r w:rsidRPr="00CA0498">
        <w:rPr>
          <w:rFonts w:cs="Times New Roman"/>
        </w:rPr>
        <w:t>7 through 1993</w:t>
      </w:r>
      <w:r w:rsidRPr="00CA0498">
        <w:rPr>
          <w:rStyle w:val="FootnoteReference"/>
          <w:rFonts w:cs="Times New Roman"/>
        </w:rPr>
        <w:footnoteReference w:id="4"/>
      </w:r>
      <w:r w:rsidRPr="00CA0498">
        <w:rPr>
          <w:rFonts w:cs="Times New Roman"/>
        </w:rPr>
        <w:t xml:space="preserve">. In March 1993, the Alaska Board of Fisheries (BOF) limited participation in the fishery to small boats. Then on June 27, 1994, </w:t>
      </w:r>
      <w:r w:rsidRPr="00CA0498">
        <w:t xml:space="preserve">the Norton Sound commercial crab fishery became the only federal managed fishery to be designated ‘super-exclusive’ by the Bering Sea/ Aleutian Islands (BSAI) King and Tanner crab fishery management plan (FMP). This </w:t>
      </w:r>
      <w:r w:rsidR="00A16637" w:rsidRPr="00CA0498">
        <w:t xml:space="preserve">designation </w:t>
      </w:r>
      <w:r w:rsidRPr="00CA0498">
        <w:t>means that any vessel participating in the NSRKC fishery is barred from participating in any other fede</w:t>
      </w:r>
      <w:r w:rsidR="000A3121">
        <w:t>rally managed king crab fishery</w:t>
      </w:r>
      <w:r w:rsidR="004D73F7">
        <w:t xml:space="preserve"> that year</w:t>
      </w:r>
      <w:r w:rsidR="000A3121">
        <w:t xml:space="preserve">. </w:t>
      </w:r>
      <w:r w:rsidRPr="00CA0498">
        <w:t xml:space="preserve">This management strategy fundamentally changed the way the NSRKC fishery was prosecuted.  The one or </w:t>
      </w:r>
      <w:r w:rsidRPr="000A3121">
        <w:t xml:space="preserve">two large ‘distant-water’ vessels that had previously participated in the NSRKC fishery were replaced with a </w:t>
      </w:r>
      <w:r w:rsidR="00B60C09">
        <w:t>number</w:t>
      </w:r>
      <w:r w:rsidRPr="000A3121">
        <w:t xml:space="preserve"> of smaller local vessels primarily home-ported in Nome and the Yukon Delta region (</w:t>
      </w:r>
      <w:r w:rsidR="000A3121" w:rsidRPr="000A3121">
        <w:t>Kent and Bell 2013).</w:t>
      </w:r>
      <w:r w:rsidRPr="000A3121">
        <w:t xml:space="preserve">  </w:t>
      </w:r>
      <w:r w:rsidRPr="000A3121">
        <w:rPr>
          <w:rFonts w:cs="Times New Roman"/>
        </w:rPr>
        <w:t xml:space="preserve">The motivation for this management was primarily due to the localized nature of the crab stock and </w:t>
      </w:r>
      <w:r w:rsidRPr="00CA0498">
        <w:rPr>
          <w:rFonts w:cs="Times New Roman"/>
        </w:rPr>
        <w:t xml:space="preserve">the potential to positively impact employment and the economies of the communities in the Norton Sound area. </w:t>
      </w:r>
    </w:p>
    <w:p w:rsidR="00EB1CF3" w:rsidRDefault="0087664C" w:rsidP="00CA0498">
      <w:pPr>
        <w:rPr>
          <w:rFonts w:cs="Times New Roman"/>
        </w:rPr>
      </w:pPr>
      <w:r w:rsidRPr="00CA0498">
        <w:t xml:space="preserve">Several other management strategies were directly </w:t>
      </w:r>
      <w:r w:rsidR="00C84B43" w:rsidRPr="00CA0498">
        <w:t>significant to</w:t>
      </w:r>
      <w:r w:rsidRPr="00CA0498">
        <w:t xml:space="preserve"> the NSRKC fishery over the next two decades. </w:t>
      </w:r>
      <w:r w:rsidR="00A16637" w:rsidRPr="00CA0498">
        <w:t xml:space="preserve">Two of the Community Development Quota (CDQ) groups, Norton Sound Economic Development </w:t>
      </w:r>
      <w:r w:rsidR="00D73A69" w:rsidRPr="00CA0498">
        <w:t xml:space="preserve">Corporation </w:t>
      </w:r>
      <w:r w:rsidR="00A16637" w:rsidRPr="00CA0498">
        <w:t>(NSEDC) and Yukon Delta</w:t>
      </w:r>
      <w:r w:rsidR="00D73A69" w:rsidRPr="00CA0498">
        <w:t xml:space="preserve"> Fisheries Development Association</w:t>
      </w:r>
      <w:r w:rsidR="00A16637" w:rsidRPr="00CA0498">
        <w:t xml:space="preserve"> (YD</w:t>
      </w:r>
      <w:r w:rsidR="00D73A69" w:rsidRPr="00CA0498">
        <w:t>FDA</w:t>
      </w:r>
      <w:r w:rsidR="00A16637" w:rsidRPr="00CA0498">
        <w:t>), were allocated a portion of the summer harvest in 1998; however, no CDQ harvest occurred until the 2000 season (</w:t>
      </w:r>
      <w:proofErr w:type="spellStart"/>
      <w:r w:rsidR="009D2E3F" w:rsidRPr="00CA0498">
        <w:rPr>
          <w:rFonts w:cs="Times New Roman"/>
        </w:rPr>
        <w:t>Hamazaki</w:t>
      </w:r>
      <w:proofErr w:type="spellEnd"/>
      <w:r w:rsidR="009D2E3F" w:rsidRPr="00CA0498">
        <w:rPr>
          <w:rFonts w:cs="Times New Roman"/>
        </w:rPr>
        <w:t xml:space="preserve"> &amp; Zheng</w:t>
      </w:r>
      <w:r w:rsidR="00A16637" w:rsidRPr="00CA0498">
        <w:rPr>
          <w:rFonts w:cs="Times New Roman"/>
        </w:rPr>
        <w:t xml:space="preserve"> 2013). </w:t>
      </w:r>
      <w:r w:rsidR="00A16637" w:rsidRPr="00CA0498">
        <w:t>Beginning January 1, 2000 a license limitation program (LLP) crab license was required for those vessels wishing to participate in the NSRKC fishery</w:t>
      </w:r>
      <w:r w:rsidR="00A16637" w:rsidRPr="00CA0498">
        <w:rPr>
          <w:rStyle w:val="FootnoteReference"/>
        </w:rPr>
        <w:footnoteReference w:id="5"/>
      </w:r>
      <w:r w:rsidR="00A16637" w:rsidRPr="00CA0498">
        <w:t xml:space="preserve">. These </w:t>
      </w:r>
      <w:r w:rsidRPr="00CA0498">
        <w:t xml:space="preserve">licenses were originally allocated based on at least one documented harvest of </w:t>
      </w:r>
      <w:r w:rsidR="00A16637" w:rsidRPr="00CA0498">
        <w:t>king crab</w:t>
      </w:r>
      <w:r w:rsidRPr="00CA0498">
        <w:t xml:space="preserve"> in the Norton Sound region from January 1, </w:t>
      </w:r>
      <w:r w:rsidR="00CA0498" w:rsidRPr="00CA0498">
        <w:t xml:space="preserve">1993, through December 31, 1994. </w:t>
      </w:r>
      <w:r w:rsidR="00C84B43" w:rsidRPr="00CA0498">
        <w:t xml:space="preserve">An LLP limits the number of vessels able to participate in the fishery, but does not limit individual catch. Hence, </w:t>
      </w:r>
      <w:r w:rsidR="00C84B43" w:rsidRPr="00CA0498">
        <w:rPr>
          <w:rFonts w:cs="Times New Roman"/>
        </w:rPr>
        <w:t xml:space="preserve">the NSRKC stock is one of only two crab fisheries in the BSAI still prosecuted as a derby-style fishery </w:t>
      </w:r>
      <w:r w:rsidR="00BE0D35" w:rsidRPr="00CA0498">
        <w:rPr>
          <w:rFonts w:cs="Times New Roman"/>
        </w:rPr>
        <w:t xml:space="preserve">(Harrington &amp; </w:t>
      </w:r>
      <w:proofErr w:type="spellStart"/>
      <w:r w:rsidR="00BE0D35" w:rsidRPr="00CA0498">
        <w:rPr>
          <w:rFonts w:cs="Times New Roman"/>
        </w:rPr>
        <w:t>Fina</w:t>
      </w:r>
      <w:proofErr w:type="spellEnd"/>
      <w:r w:rsidR="00BE0D35" w:rsidRPr="00CA0498">
        <w:rPr>
          <w:rFonts w:cs="Times New Roman"/>
        </w:rPr>
        <w:t xml:space="preserve"> 2004). </w:t>
      </w:r>
      <w:r w:rsidR="00A16637" w:rsidRPr="00CA0498">
        <w:t xml:space="preserve">In 2005, when the BSAI crab rationalization program was implemented, it did not include </w:t>
      </w:r>
      <w:r w:rsidR="00A16637" w:rsidRPr="00CA0498">
        <w:rPr>
          <w:rFonts w:cs="Times New Roman"/>
        </w:rPr>
        <w:t xml:space="preserve">NSRKC fishery.  The ‘super-exclusive’ designation of the NSRKC fishery had already been considered an effective management tool for this region. </w:t>
      </w:r>
    </w:p>
    <w:p w:rsidR="00242358" w:rsidRPr="00CA0498" w:rsidRDefault="00242358" w:rsidP="00CA0498">
      <w:pPr>
        <w:rPr>
          <w:rFonts w:cs="Times New Roman"/>
        </w:rPr>
      </w:pPr>
    </w:p>
    <w:tbl>
      <w:tblPr>
        <w:tblStyle w:val="TableGrid"/>
        <w:tblW w:w="0" w:type="auto"/>
        <w:tblLook w:val="04A0" w:firstRow="1" w:lastRow="0" w:firstColumn="1" w:lastColumn="0" w:noHBand="0" w:noVBand="1"/>
      </w:tblPr>
      <w:tblGrid>
        <w:gridCol w:w="1188"/>
        <w:gridCol w:w="8028"/>
      </w:tblGrid>
      <w:tr w:rsidR="00EB1CF3" w:rsidTr="00592128">
        <w:tc>
          <w:tcPr>
            <w:tcW w:w="1188" w:type="dxa"/>
          </w:tcPr>
          <w:p w:rsidR="00EB1CF3" w:rsidRPr="00130628" w:rsidRDefault="00EB1CF3" w:rsidP="00592128">
            <w:pPr>
              <w:rPr>
                <w:rFonts w:cs="Times New Roman"/>
                <w:b/>
              </w:rPr>
            </w:pPr>
            <w:r w:rsidRPr="00130628">
              <w:rPr>
                <w:rFonts w:cs="Times New Roman"/>
                <w:b/>
              </w:rPr>
              <w:lastRenderedPageBreak/>
              <w:t>Year</w:t>
            </w:r>
          </w:p>
        </w:tc>
        <w:tc>
          <w:tcPr>
            <w:tcW w:w="8028" w:type="dxa"/>
          </w:tcPr>
          <w:p w:rsidR="00EB1CF3" w:rsidRPr="00130628" w:rsidRDefault="00EB1CF3" w:rsidP="00592128">
            <w:pPr>
              <w:rPr>
                <w:rFonts w:cs="Times New Roman"/>
                <w:b/>
              </w:rPr>
            </w:pPr>
            <w:r w:rsidRPr="00130628">
              <w:rPr>
                <w:rFonts w:cs="Times New Roman"/>
                <w:b/>
              </w:rPr>
              <w:t>Notable historical management changes</w:t>
            </w:r>
          </w:p>
        </w:tc>
      </w:tr>
      <w:tr w:rsidR="00EB1CF3" w:rsidTr="00592128">
        <w:tc>
          <w:tcPr>
            <w:tcW w:w="1188" w:type="dxa"/>
          </w:tcPr>
          <w:p w:rsidR="00EB1CF3" w:rsidRDefault="00EB1CF3" w:rsidP="00592128">
            <w:pPr>
              <w:rPr>
                <w:rFonts w:cs="Times New Roman"/>
              </w:rPr>
            </w:pPr>
            <w:r w:rsidRPr="00C31A34">
              <w:rPr>
                <w:rFonts w:cs="Times New Roman"/>
              </w:rPr>
              <w:t>1976</w:t>
            </w:r>
          </w:p>
        </w:tc>
        <w:tc>
          <w:tcPr>
            <w:tcW w:w="8028" w:type="dxa"/>
          </w:tcPr>
          <w:p w:rsidR="00EB1CF3" w:rsidRDefault="00EB1CF3" w:rsidP="00592128">
            <w:pPr>
              <w:rPr>
                <w:rFonts w:cs="Times New Roman"/>
              </w:rPr>
            </w:pPr>
            <w:r w:rsidRPr="00C31A34">
              <w:rPr>
                <w:rFonts w:cs="Times New Roman"/>
              </w:rPr>
              <w:t>The abundance survey started</w:t>
            </w:r>
          </w:p>
        </w:tc>
      </w:tr>
      <w:tr w:rsidR="00EB1CF3" w:rsidTr="00592128">
        <w:tc>
          <w:tcPr>
            <w:tcW w:w="1188" w:type="dxa"/>
          </w:tcPr>
          <w:p w:rsidR="00EB1CF3" w:rsidRDefault="00EB1CF3" w:rsidP="00592128">
            <w:pPr>
              <w:rPr>
                <w:rFonts w:cs="Times New Roman"/>
              </w:rPr>
            </w:pPr>
            <w:r w:rsidRPr="00C31A34">
              <w:rPr>
                <w:rFonts w:cs="Times New Roman"/>
              </w:rPr>
              <w:t>1977</w:t>
            </w:r>
          </w:p>
        </w:tc>
        <w:tc>
          <w:tcPr>
            <w:tcW w:w="8028" w:type="dxa"/>
          </w:tcPr>
          <w:p w:rsidR="00EB1CF3" w:rsidRDefault="00EB1CF3" w:rsidP="00592128">
            <w:pPr>
              <w:rPr>
                <w:rFonts w:cs="Times New Roman"/>
              </w:rPr>
            </w:pPr>
            <w:r w:rsidRPr="00C31A34">
              <w:rPr>
                <w:rFonts w:cs="Times New Roman"/>
              </w:rPr>
              <w:t>Large vessel commercial fisheries began</w:t>
            </w:r>
          </w:p>
        </w:tc>
      </w:tr>
      <w:tr w:rsidR="00EB1CF3" w:rsidTr="00592128">
        <w:tc>
          <w:tcPr>
            <w:tcW w:w="1188" w:type="dxa"/>
          </w:tcPr>
          <w:p w:rsidR="00EB1CF3" w:rsidRDefault="00EB1CF3" w:rsidP="00592128">
            <w:pPr>
              <w:rPr>
                <w:rFonts w:cs="Times New Roman"/>
              </w:rPr>
            </w:pPr>
            <w:r w:rsidRPr="00C31A34">
              <w:rPr>
                <w:rFonts w:cs="Times New Roman"/>
              </w:rPr>
              <w:t>1991</w:t>
            </w:r>
          </w:p>
        </w:tc>
        <w:tc>
          <w:tcPr>
            <w:tcW w:w="8028" w:type="dxa"/>
          </w:tcPr>
          <w:p w:rsidR="00EB1CF3" w:rsidRDefault="00EB1CF3" w:rsidP="00592128">
            <w:pPr>
              <w:rPr>
                <w:rFonts w:cs="Times New Roman"/>
              </w:rPr>
            </w:pPr>
            <w:r w:rsidRPr="00C31A34">
              <w:rPr>
                <w:rFonts w:cs="Times New Roman"/>
              </w:rPr>
              <w:t>Fishery closed due to staff constraints</w:t>
            </w:r>
          </w:p>
        </w:tc>
      </w:tr>
      <w:tr w:rsidR="00EB1CF3" w:rsidTr="00592128">
        <w:tc>
          <w:tcPr>
            <w:tcW w:w="1188" w:type="dxa"/>
          </w:tcPr>
          <w:p w:rsidR="00EB1CF3" w:rsidRDefault="00EB1CF3" w:rsidP="00592128">
            <w:pPr>
              <w:rPr>
                <w:rFonts w:cs="Times New Roman"/>
              </w:rPr>
            </w:pPr>
            <w:r w:rsidRPr="00C31A34">
              <w:rPr>
                <w:rFonts w:cs="Times New Roman"/>
              </w:rPr>
              <w:t>1994</w:t>
            </w:r>
          </w:p>
        </w:tc>
        <w:tc>
          <w:tcPr>
            <w:tcW w:w="8028" w:type="dxa"/>
          </w:tcPr>
          <w:p w:rsidR="00EB1CF3" w:rsidRDefault="00EB1CF3" w:rsidP="00592128">
            <w:pPr>
              <w:rPr>
                <w:rFonts w:cs="Times New Roman"/>
              </w:rPr>
            </w:pPr>
            <w:r w:rsidRPr="00C31A34">
              <w:rPr>
                <w:rFonts w:cs="Times New Roman"/>
              </w:rPr>
              <w:t>Super exclusive designation into effect. The end of large vessel commercial fishery operation. Participation limited to small boats. The majority of commercial fishery subsequently shifted to east of 164oW line.</w:t>
            </w:r>
          </w:p>
        </w:tc>
      </w:tr>
      <w:tr w:rsidR="00EB1CF3" w:rsidTr="00592128">
        <w:tc>
          <w:tcPr>
            <w:tcW w:w="1188" w:type="dxa"/>
          </w:tcPr>
          <w:p w:rsidR="00EB1CF3" w:rsidRDefault="00EB1CF3" w:rsidP="00592128">
            <w:pPr>
              <w:rPr>
                <w:rFonts w:cs="Times New Roman"/>
              </w:rPr>
            </w:pPr>
            <w:r w:rsidRPr="00C31A34">
              <w:rPr>
                <w:rFonts w:cs="Times New Roman"/>
              </w:rPr>
              <w:t>1998</w:t>
            </w:r>
          </w:p>
        </w:tc>
        <w:tc>
          <w:tcPr>
            <w:tcW w:w="8028" w:type="dxa"/>
          </w:tcPr>
          <w:p w:rsidR="00EB1CF3" w:rsidRDefault="00EB1CF3" w:rsidP="00592128">
            <w:pPr>
              <w:rPr>
                <w:rFonts w:cs="Times New Roman"/>
              </w:rPr>
            </w:pPr>
            <w:r w:rsidRPr="00C31A34">
              <w:rPr>
                <w:rFonts w:cs="Times New Roman"/>
              </w:rPr>
              <w:t>Community Development Quota (CDQ) allocation into effect</w:t>
            </w:r>
          </w:p>
        </w:tc>
      </w:tr>
      <w:tr w:rsidR="00EB1CF3" w:rsidTr="00592128">
        <w:tc>
          <w:tcPr>
            <w:tcW w:w="1188" w:type="dxa"/>
          </w:tcPr>
          <w:p w:rsidR="00EB1CF3" w:rsidRDefault="00EB1CF3" w:rsidP="00592128">
            <w:pPr>
              <w:rPr>
                <w:rFonts w:cs="Times New Roman"/>
              </w:rPr>
            </w:pPr>
            <w:r>
              <w:rPr>
                <w:rFonts w:cs="Times New Roman"/>
              </w:rPr>
              <w:t>1999</w:t>
            </w:r>
          </w:p>
        </w:tc>
        <w:tc>
          <w:tcPr>
            <w:tcW w:w="8028" w:type="dxa"/>
          </w:tcPr>
          <w:p w:rsidR="00EB1CF3" w:rsidRDefault="00EB1CF3" w:rsidP="00592128">
            <w:pPr>
              <w:rPr>
                <w:rFonts w:cs="Times New Roman"/>
              </w:rPr>
            </w:pPr>
            <w:r w:rsidRPr="00C31A34">
              <w:rPr>
                <w:rFonts w:cs="Times New Roman"/>
              </w:rPr>
              <w:t>Guideline Harvest Limit (GHL) into effect</w:t>
            </w:r>
          </w:p>
        </w:tc>
      </w:tr>
      <w:tr w:rsidR="00EB1CF3" w:rsidTr="00592128">
        <w:tc>
          <w:tcPr>
            <w:tcW w:w="1188" w:type="dxa"/>
          </w:tcPr>
          <w:p w:rsidR="00EB1CF3" w:rsidRDefault="00EB1CF3" w:rsidP="00592128">
            <w:pPr>
              <w:rPr>
                <w:rFonts w:cs="Times New Roman"/>
              </w:rPr>
            </w:pPr>
            <w:r>
              <w:rPr>
                <w:rFonts w:cs="Times New Roman"/>
              </w:rPr>
              <w:t>2000</w:t>
            </w:r>
          </w:p>
        </w:tc>
        <w:tc>
          <w:tcPr>
            <w:tcW w:w="8028" w:type="dxa"/>
          </w:tcPr>
          <w:p w:rsidR="00EB1CF3" w:rsidRDefault="00EB1CF3" w:rsidP="00592128">
            <w:pPr>
              <w:rPr>
                <w:rFonts w:cs="Times New Roman"/>
              </w:rPr>
            </w:pPr>
            <w:r w:rsidRPr="00C31A34">
              <w:rPr>
                <w:rFonts w:cs="Times New Roman"/>
              </w:rPr>
              <w:t>North Pacific License Limitation Program (LLP) into effect.</w:t>
            </w:r>
          </w:p>
        </w:tc>
      </w:tr>
      <w:tr w:rsidR="00EB1CF3" w:rsidTr="00592128">
        <w:tc>
          <w:tcPr>
            <w:tcW w:w="1188" w:type="dxa"/>
          </w:tcPr>
          <w:p w:rsidR="00EB1CF3" w:rsidRDefault="00EB1CF3" w:rsidP="00592128">
            <w:pPr>
              <w:rPr>
                <w:rFonts w:cs="Times New Roman"/>
              </w:rPr>
            </w:pPr>
            <w:r>
              <w:rPr>
                <w:rFonts w:cs="Times New Roman"/>
              </w:rPr>
              <w:t>2002</w:t>
            </w:r>
          </w:p>
        </w:tc>
        <w:tc>
          <w:tcPr>
            <w:tcW w:w="8028" w:type="dxa"/>
          </w:tcPr>
          <w:p w:rsidR="00EB1CF3" w:rsidRPr="00C31A34" w:rsidRDefault="00EB1CF3" w:rsidP="00CA0498">
            <w:pPr>
              <w:rPr>
                <w:rFonts w:cs="Times New Roman"/>
              </w:rPr>
            </w:pPr>
            <w:r w:rsidRPr="00C31A34">
              <w:rPr>
                <w:rFonts w:cs="Times New Roman"/>
              </w:rPr>
              <w:t>Change in closed water boundaries</w:t>
            </w:r>
          </w:p>
        </w:tc>
      </w:tr>
      <w:tr w:rsidR="00EB1CF3" w:rsidTr="00592128">
        <w:tc>
          <w:tcPr>
            <w:tcW w:w="1188" w:type="dxa"/>
          </w:tcPr>
          <w:p w:rsidR="00EB1CF3" w:rsidRDefault="00EB1CF3" w:rsidP="00592128">
            <w:pPr>
              <w:rPr>
                <w:rFonts w:cs="Times New Roman"/>
              </w:rPr>
            </w:pPr>
            <w:r>
              <w:rPr>
                <w:rFonts w:cs="Times New Roman"/>
              </w:rPr>
              <w:t>2005</w:t>
            </w:r>
          </w:p>
        </w:tc>
        <w:tc>
          <w:tcPr>
            <w:tcW w:w="8028" w:type="dxa"/>
          </w:tcPr>
          <w:p w:rsidR="00EB1CF3" w:rsidRPr="00C31A34" w:rsidRDefault="00EB1CF3" w:rsidP="00592128">
            <w:pPr>
              <w:rPr>
                <w:rFonts w:cs="Times New Roman"/>
              </w:rPr>
            </w:pPr>
            <w:r w:rsidRPr="00C31A34">
              <w:rPr>
                <w:rFonts w:cs="Times New Roman"/>
              </w:rPr>
              <w:t>Commercially accepted legal crab size changed from _ 4-3/4 inch CW to _ 5 inch CW</w:t>
            </w:r>
          </w:p>
        </w:tc>
      </w:tr>
      <w:tr w:rsidR="00EB1CF3" w:rsidTr="00592128">
        <w:tc>
          <w:tcPr>
            <w:tcW w:w="1188" w:type="dxa"/>
          </w:tcPr>
          <w:p w:rsidR="00EB1CF3" w:rsidRDefault="00EB1CF3" w:rsidP="00592128">
            <w:pPr>
              <w:rPr>
                <w:rFonts w:cs="Times New Roman"/>
              </w:rPr>
            </w:pPr>
            <w:r>
              <w:rPr>
                <w:rFonts w:cs="Times New Roman"/>
              </w:rPr>
              <w:t>2006</w:t>
            </w:r>
          </w:p>
        </w:tc>
        <w:tc>
          <w:tcPr>
            <w:tcW w:w="8028" w:type="dxa"/>
          </w:tcPr>
          <w:p w:rsidR="00EB1CF3" w:rsidRPr="00C31A34" w:rsidRDefault="00EB1CF3" w:rsidP="00CA0498">
            <w:pPr>
              <w:rPr>
                <w:rFonts w:cs="Times New Roman"/>
              </w:rPr>
            </w:pPr>
            <w:r w:rsidRPr="00C31A34">
              <w:rPr>
                <w:rFonts w:cs="Times New Roman"/>
              </w:rPr>
              <w:t xml:space="preserve">The Statistical area Q3 section expanded </w:t>
            </w:r>
          </w:p>
        </w:tc>
      </w:tr>
      <w:tr w:rsidR="00CA0498" w:rsidRPr="00CA0498" w:rsidTr="00592128">
        <w:tc>
          <w:tcPr>
            <w:tcW w:w="1188" w:type="dxa"/>
          </w:tcPr>
          <w:p w:rsidR="00EB1CF3" w:rsidRPr="00CA0498" w:rsidRDefault="00EB1CF3" w:rsidP="00592128">
            <w:pPr>
              <w:rPr>
                <w:rFonts w:cs="Times New Roman"/>
              </w:rPr>
            </w:pPr>
            <w:r w:rsidRPr="00CA0498">
              <w:rPr>
                <w:rFonts w:cs="Times New Roman"/>
              </w:rPr>
              <w:t>2008</w:t>
            </w:r>
          </w:p>
        </w:tc>
        <w:tc>
          <w:tcPr>
            <w:tcW w:w="8028" w:type="dxa"/>
          </w:tcPr>
          <w:p w:rsidR="00EB1CF3" w:rsidRPr="00CA0498" w:rsidRDefault="00EB1CF3" w:rsidP="00592128">
            <w:pPr>
              <w:rPr>
                <w:rFonts w:cs="Times New Roman"/>
              </w:rPr>
            </w:pPr>
            <w:r w:rsidRPr="00CA0498">
              <w:rPr>
                <w:rFonts w:cs="Times New Roman"/>
              </w:rPr>
              <w:t>Start date of the open access fishery changed from July 1 to after June 15 by emergency order. Pot configuration requirement: at least 4 escape rings (&gt;4½ inch diameter) per pot located within one mesh of the bottom of the pot, or at least ½ of the vertical surface of a square pot or sloping side-wall surface of a conical or pyramid pot with mesh size &gt; 6½ inches.</w:t>
            </w:r>
          </w:p>
        </w:tc>
      </w:tr>
      <w:tr w:rsidR="00CA0498" w:rsidRPr="00CA0498" w:rsidTr="00592128">
        <w:tc>
          <w:tcPr>
            <w:tcW w:w="1188" w:type="dxa"/>
          </w:tcPr>
          <w:p w:rsidR="00EB1CF3" w:rsidRPr="00CA0498" w:rsidRDefault="00EB1CF3" w:rsidP="00592128">
            <w:pPr>
              <w:rPr>
                <w:rFonts w:cs="Times New Roman"/>
              </w:rPr>
            </w:pPr>
            <w:r w:rsidRPr="00CA0498">
              <w:rPr>
                <w:rFonts w:cs="Times New Roman"/>
              </w:rPr>
              <w:t>2012</w:t>
            </w:r>
          </w:p>
        </w:tc>
        <w:tc>
          <w:tcPr>
            <w:tcW w:w="8028" w:type="dxa"/>
          </w:tcPr>
          <w:p w:rsidR="00EB1CF3" w:rsidRPr="00CA0498" w:rsidRDefault="00EB1CF3" w:rsidP="00EB1CF3">
            <w:pPr>
              <w:rPr>
                <w:rFonts w:cs="Times New Roman"/>
              </w:rPr>
            </w:pPr>
            <w:r w:rsidRPr="00CA0498">
              <w:rPr>
                <w:rFonts w:cs="Times New Roman"/>
              </w:rPr>
              <w:t>Board of Fisheries adopted a revised GHL</w:t>
            </w:r>
          </w:p>
        </w:tc>
      </w:tr>
    </w:tbl>
    <w:p w:rsidR="00EB1CF3" w:rsidRPr="00CA0498" w:rsidRDefault="00EB1CF3" w:rsidP="00EB1CF3">
      <w:pPr>
        <w:rPr>
          <w:rFonts w:cs="Times New Roman"/>
        </w:rPr>
      </w:pPr>
      <w:r w:rsidRPr="00CA0498">
        <w:rPr>
          <w:rFonts w:cs="Times New Roman"/>
        </w:rPr>
        <w:t xml:space="preserve">Source: </w:t>
      </w:r>
      <w:proofErr w:type="spellStart"/>
      <w:r w:rsidR="003C663E" w:rsidRPr="00CA0498">
        <w:rPr>
          <w:rFonts w:cs="Times New Roman"/>
        </w:rPr>
        <w:t>Hamazaki</w:t>
      </w:r>
      <w:proofErr w:type="spellEnd"/>
      <w:r w:rsidR="003C663E" w:rsidRPr="00CA0498">
        <w:rPr>
          <w:rFonts w:cs="Times New Roman"/>
        </w:rPr>
        <w:t xml:space="preserve"> </w:t>
      </w:r>
      <w:r w:rsidR="009D2E3F" w:rsidRPr="00CA0498">
        <w:rPr>
          <w:rFonts w:cs="Times New Roman"/>
        </w:rPr>
        <w:t>&amp; Zheng</w:t>
      </w:r>
      <w:r w:rsidR="003C663E" w:rsidRPr="00CA0498">
        <w:rPr>
          <w:rFonts w:cs="Times New Roman"/>
        </w:rPr>
        <w:t xml:space="preserve"> 2013</w:t>
      </w:r>
    </w:p>
    <w:p w:rsidR="00A83EFB" w:rsidRPr="00CA0498" w:rsidRDefault="00BF3979" w:rsidP="005919E3">
      <w:r w:rsidRPr="00CA0498">
        <w:rPr>
          <w:rFonts w:cs="Times New Roman"/>
        </w:rPr>
        <w:t>Excluding the 2012/13 bloom harvest in the winter fishery, the</w:t>
      </w:r>
      <w:r w:rsidR="003D7453" w:rsidRPr="00CA0498">
        <w:rPr>
          <w:rFonts w:cs="Times New Roman"/>
        </w:rPr>
        <w:t xml:space="preserve"> summer fishery </w:t>
      </w:r>
      <w:r w:rsidRPr="00CA0498">
        <w:rPr>
          <w:rFonts w:cs="Times New Roman"/>
        </w:rPr>
        <w:t xml:space="preserve">generally </w:t>
      </w:r>
      <w:r w:rsidR="003D7453" w:rsidRPr="00CA0498">
        <w:rPr>
          <w:rFonts w:cs="Times New Roman"/>
        </w:rPr>
        <w:t xml:space="preserve">accounts for more than 90% of total </w:t>
      </w:r>
      <w:r w:rsidR="007A5055" w:rsidRPr="00CA0498">
        <w:rPr>
          <w:rFonts w:cs="Times New Roman"/>
        </w:rPr>
        <w:t xml:space="preserve">NSRKC </w:t>
      </w:r>
      <w:r w:rsidR="003D7453" w:rsidRPr="00CA0498">
        <w:rPr>
          <w:rFonts w:cs="Times New Roman"/>
        </w:rPr>
        <w:t>harvest (</w:t>
      </w:r>
      <w:proofErr w:type="spellStart"/>
      <w:r w:rsidR="003D7453" w:rsidRPr="00CA0498">
        <w:rPr>
          <w:rFonts w:cs="Times New Roman"/>
        </w:rPr>
        <w:t>Hamazaki</w:t>
      </w:r>
      <w:proofErr w:type="spellEnd"/>
      <w:r w:rsidR="003D7453" w:rsidRPr="00CA0498">
        <w:rPr>
          <w:rFonts w:cs="Times New Roman"/>
        </w:rPr>
        <w:t xml:space="preserve"> </w:t>
      </w:r>
      <w:r w:rsidR="009D2E3F" w:rsidRPr="00CA0498">
        <w:rPr>
          <w:rFonts w:cs="Times New Roman"/>
        </w:rPr>
        <w:t>&amp; Zheng</w:t>
      </w:r>
      <w:r w:rsidR="003D7453" w:rsidRPr="00CA0498">
        <w:rPr>
          <w:rFonts w:cs="Times New Roman"/>
        </w:rPr>
        <w:t xml:space="preserve"> 2013).</w:t>
      </w:r>
      <w:r w:rsidRPr="00CA0498">
        <w:rPr>
          <w:rFonts w:cs="Times New Roman"/>
        </w:rPr>
        <w:t xml:space="preserve"> </w:t>
      </w:r>
      <w:r w:rsidR="00EB1CF3" w:rsidRPr="00CA0498">
        <w:rPr>
          <w:rFonts w:cs="Times New Roman"/>
        </w:rPr>
        <w:t xml:space="preserve"> </w:t>
      </w:r>
      <w:r w:rsidR="003C663E" w:rsidRPr="00CA0498">
        <w:rPr>
          <w:rFonts w:cs="Times New Roman"/>
        </w:rPr>
        <w:t xml:space="preserve">Since 1997, the NSRKC commercial fishing stock has been managed jointly by the state and federal government through a Guideline Harvest Level (GHL). The </w:t>
      </w:r>
      <w:r w:rsidR="00CA0498" w:rsidRPr="00CA0498">
        <w:rPr>
          <w:rFonts w:cs="Times New Roman"/>
        </w:rPr>
        <w:t xml:space="preserve">summer </w:t>
      </w:r>
      <w:r w:rsidR="003C663E" w:rsidRPr="00CA0498">
        <w:rPr>
          <w:rFonts w:cs="Times New Roman"/>
        </w:rPr>
        <w:t>GHL has</w:t>
      </w:r>
      <w:r w:rsidR="007A5055" w:rsidRPr="00CA0498">
        <w:rPr>
          <w:rFonts w:cs="Times New Roman"/>
        </w:rPr>
        <w:t xml:space="preserve"> generally risen over the last decade, with the </w:t>
      </w:r>
      <w:r w:rsidR="00816DC4" w:rsidRPr="00CA0498">
        <w:rPr>
          <w:rFonts w:cs="Times New Roman"/>
        </w:rPr>
        <w:t xml:space="preserve">2013 GHL set at </w:t>
      </w:r>
      <w:r w:rsidR="007A5055" w:rsidRPr="00CA0498">
        <w:rPr>
          <w:rFonts w:cs="Times New Roman"/>
        </w:rPr>
        <w:t>highest level</w:t>
      </w:r>
      <w:r w:rsidR="00816DC4" w:rsidRPr="00CA0498">
        <w:rPr>
          <w:rFonts w:cs="Times New Roman"/>
        </w:rPr>
        <w:t xml:space="preserve"> since 1981:</w:t>
      </w:r>
      <w:r w:rsidR="003C663E" w:rsidRPr="00CA0498">
        <w:rPr>
          <w:rFonts w:cs="Times New Roman"/>
        </w:rPr>
        <w:t xml:space="preserve"> half of a million pounds</w:t>
      </w:r>
      <w:r w:rsidR="003C663E" w:rsidRPr="00CA0498">
        <w:rPr>
          <w:rStyle w:val="FootnoteReference"/>
          <w:rFonts w:cs="Times New Roman"/>
        </w:rPr>
        <w:footnoteReference w:id="6"/>
      </w:r>
      <w:r w:rsidR="000F4C4E" w:rsidRPr="00CA0498">
        <w:rPr>
          <w:rFonts w:cs="Times New Roman"/>
        </w:rPr>
        <w:t>.</w:t>
      </w:r>
      <w:r w:rsidR="00816DC4" w:rsidRPr="00CA0498">
        <w:rPr>
          <w:rFonts w:cs="Times New Roman"/>
        </w:rPr>
        <w:t xml:space="preserve"> </w:t>
      </w:r>
      <w:r w:rsidR="00816DC4" w:rsidRPr="00CA0498">
        <w:t>Commercial harvests during the most recent 5</w:t>
      </w:r>
      <w:r w:rsidR="00816DC4" w:rsidRPr="00CA0498">
        <w:noBreakHyphen/>
        <w:t xml:space="preserve">year period (2009–2013) averaged 420,000 pounds (open access and CDQ) for 29 active </w:t>
      </w:r>
      <w:r w:rsidR="000F4C4E" w:rsidRPr="00CA0498">
        <w:t xml:space="preserve">state </w:t>
      </w:r>
      <w:r w:rsidR="00816DC4" w:rsidRPr="00CA0498">
        <w:t xml:space="preserve">permits, which are 52% and 44% increases from the 1982–2008 average harvest and vessel participation levels, respectively (Kent </w:t>
      </w:r>
      <w:r w:rsidR="009D2E3F" w:rsidRPr="00CA0498">
        <w:t>&amp;</w:t>
      </w:r>
      <w:r w:rsidR="00816DC4" w:rsidRPr="00CA0498">
        <w:t xml:space="preserve"> Bell 2013).</w:t>
      </w:r>
    </w:p>
    <w:p w:rsidR="0087664C" w:rsidRPr="007A5055" w:rsidRDefault="007A5055" w:rsidP="00A12B25">
      <w:pPr>
        <w:spacing w:line="240" w:lineRule="auto"/>
        <w:contextualSpacing/>
        <w:rPr>
          <w:b/>
        </w:rPr>
      </w:pPr>
      <w:proofErr w:type="gramStart"/>
      <w:r w:rsidRPr="007A5055">
        <w:rPr>
          <w:b/>
        </w:rPr>
        <w:t>Figure 2.</w:t>
      </w:r>
      <w:proofErr w:type="gramEnd"/>
      <w:r w:rsidRPr="007A5055">
        <w:rPr>
          <w:b/>
        </w:rPr>
        <w:t xml:space="preserve"> NSRKC Guideline Harvest Levels and Commercial</w:t>
      </w:r>
      <w:r w:rsidR="000F4C4E">
        <w:rPr>
          <w:b/>
        </w:rPr>
        <w:t xml:space="preserve"> </w:t>
      </w:r>
      <w:r w:rsidR="00A12B25">
        <w:rPr>
          <w:b/>
        </w:rPr>
        <w:t>Summer Harvest, 1985</w:t>
      </w:r>
      <w:r w:rsidRPr="007A5055">
        <w:rPr>
          <w:b/>
        </w:rPr>
        <w:t>-2013</w:t>
      </w:r>
    </w:p>
    <w:p w:rsidR="007A5055" w:rsidRPr="007A5055" w:rsidRDefault="003145C1" w:rsidP="00A12B25">
      <w:pPr>
        <w:spacing w:line="240" w:lineRule="auto"/>
        <w:contextualSpacing/>
        <w:rPr>
          <w:color w:val="FF0000"/>
        </w:rPr>
      </w:pPr>
      <w:r>
        <w:rPr>
          <w:noProof/>
          <w:color w:val="FF0000"/>
        </w:rPr>
        <w:drawing>
          <wp:inline distT="0" distB="0" distL="0" distR="0" wp14:anchorId="68CDF04D" wp14:editId="3F889F47">
            <wp:extent cx="5807654" cy="242192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157" cy="2422969"/>
                    </a:xfrm>
                    <a:prstGeom prst="rect">
                      <a:avLst/>
                    </a:prstGeom>
                    <a:noFill/>
                  </pic:spPr>
                </pic:pic>
              </a:graphicData>
            </a:graphic>
          </wp:inline>
        </w:drawing>
      </w:r>
    </w:p>
    <w:p w:rsidR="007A5055" w:rsidRPr="00CA0498" w:rsidRDefault="007A5055" w:rsidP="00A12B25">
      <w:pPr>
        <w:spacing w:line="240" w:lineRule="auto"/>
        <w:contextualSpacing/>
      </w:pPr>
      <w:r w:rsidRPr="00CA0498">
        <w:t xml:space="preserve">Source: </w:t>
      </w:r>
      <w:proofErr w:type="spellStart"/>
      <w:r w:rsidR="009D2E3F" w:rsidRPr="00CA0498">
        <w:rPr>
          <w:rFonts w:cs="Times New Roman"/>
        </w:rPr>
        <w:t>Hamazaki</w:t>
      </w:r>
      <w:proofErr w:type="spellEnd"/>
      <w:r w:rsidR="009D2E3F" w:rsidRPr="00CA0498">
        <w:rPr>
          <w:rFonts w:cs="Times New Roman"/>
        </w:rPr>
        <w:t xml:space="preserve"> &amp; Zheng 2013</w:t>
      </w:r>
    </w:p>
    <w:p w:rsidR="00CE6EF0" w:rsidRPr="00CA0498" w:rsidRDefault="00351112" w:rsidP="006D0021">
      <w:pPr>
        <w:pStyle w:val="Heading1"/>
      </w:pPr>
      <w:bookmarkStart w:id="3" w:name="_Toc386441125"/>
      <w:r>
        <w:lastRenderedPageBreak/>
        <w:t>DESCRIPTION</w:t>
      </w:r>
      <w:r w:rsidR="00CE6EF0" w:rsidRPr="00CA0498">
        <w:t xml:space="preserve"> OF PARTICIPATION</w:t>
      </w:r>
      <w:bookmarkEnd w:id="3"/>
    </w:p>
    <w:p w:rsidR="007514C2" w:rsidRPr="00CA0498" w:rsidRDefault="00DC5547" w:rsidP="00EF096D">
      <w:r w:rsidRPr="00CA0498">
        <w:t>Based on</w:t>
      </w:r>
      <w:r w:rsidR="0034250B" w:rsidRPr="00CA0498">
        <w:t xml:space="preserve"> historical use, </w:t>
      </w:r>
      <w:r w:rsidR="008C7182" w:rsidRPr="00CA0498">
        <w:t>62</w:t>
      </w:r>
      <w:r w:rsidR="007514C2" w:rsidRPr="00CA0498">
        <w:t xml:space="preserve"> LLP </w:t>
      </w:r>
      <w:r w:rsidR="0034250B" w:rsidRPr="00CA0498">
        <w:t>licenses have been</w:t>
      </w:r>
      <w:r w:rsidR="008C7182" w:rsidRPr="00CA0498">
        <w:t xml:space="preserve"> available </w:t>
      </w:r>
      <w:r w:rsidR="0034250B" w:rsidRPr="00CA0498">
        <w:t>for NSRKC participants</w:t>
      </w:r>
      <w:r w:rsidR="0034250B" w:rsidRPr="00CA0498">
        <w:rPr>
          <w:rStyle w:val="FootnoteReference"/>
        </w:rPr>
        <w:footnoteReference w:id="7"/>
      </w:r>
      <w:r w:rsidR="000F4C4E" w:rsidRPr="00CA0498">
        <w:t xml:space="preserve"> since the onset of the federal </w:t>
      </w:r>
      <w:r w:rsidRPr="00CA0498">
        <w:t xml:space="preserve">LLP </w:t>
      </w:r>
      <w:r w:rsidR="000F4C4E" w:rsidRPr="00CA0498">
        <w:t>in 2000</w:t>
      </w:r>
      <w:r w:rsidR="0034250B" w:rsidRPr="00CA0498">
        <w:t xml:space="preserve">. </w:t>
      </w:r>
      <w:r w:rsidRPr="00CA0498">
        <w:t xml:space="preserve">During the development of the LLP, Federal Regulation granted exemption to all vessel less than or equal to 32 </w:t>
      </w:r>
      <w:proofErr w:type="spellStart"/>
      <w:r w:rsidRPr="00CA0498">
        <w:t>ft</w:t>
      </w:r>
      <w:proofErr w:type="spellEnd"/>
      <w:r w:rsidRPr="00CA0498">
        <w:t xml:space="preserve"> LOA in the BSAI</w:t>
      </w:r>
      <w:r w:rsidRPr="00CA0498">
        <w:rPr>
          <w:rStyle w:val="FootnoteReference"/>
          <w:rFonts w:cs="Times New Roman"/>
        </w:rPr>
        <w:footnoteReference w:id="8"/>
      </w:r>
      <w:r w:rsidRPr="00CA0498">
        <w:t xml:space="preserve">. </w:t>
      </w:r>
      <w:r w:rsidR="0034250B" w:rsidRPr="00CA0498">
        <w:t xml:space="preserve">Of those 62 licenses, </w:t>
      </w:r>
      <w:r w:rsidR="0063710B" w:rsidRPr="00CA0498">
        <w:t>seven</w:t>
      </w:r>
      <w:r w:rsidR="0034250B" w:rsidRPr="00CA0498">
        <w:t xml:space="preserve"> are registered with a Maximum Length Overall (MLOA) of 32 ft. </w:t>
      </w:r>
      <w:r w:rsidR="00B130C6" w:rsidRPr="00CA0498">
        <w:t xml:space="preserve"> The MLOA indicates the largest vessel that t</w:t>
      </w:r>
      <w:r w:rsidR="00890D79" w:rsidRPr="00CA0498">
        <w:t xml:space="preserve">he licenses may be used on, hence a </w:t>
      </w:r>
      <w:r w:rsidR="00890D79" w:rsidRPr="00CA0498">
        <w:rPr>
          <w:rFonts w:cs="Times New Roman"/>
          <w:sz w:val="23"/>
          <w:szCs w:val="23"/>
        </w:rPr>
        <w:t xml:space="preserve">LLP licenses with a 60 </w:t>
      </w:r>
      <w:proofErr w:type="spellStart"/>
      <w:r w:rsidR="00890D79" w:rsidRPr="00CA0498">
        <w:rPr>
          <w:rFonts w:cs="Times New Roman"/>
          <w:sz w:val="23"/>
          <w:szCs w:val="23"/>
        </w:rPr>
        <w:t>ft</w:t>
      </w:r>
      <w:proofErr w:type="spellEnd"/>
      <w:r w:rsidR="00890D79" w:rsidRPr="00CA0498">
        <w:rPr>
          <w:rFonts w:cs="Times New Roman"/>
          <w:sz w:val="23"/>
          <w:szCs w:val="23"/>
        </w:rPr>
        <w:t xml:space="preserve"> MLOA could be used on a vessel less than 60 ft. </w:t>
      </w:r>
    </w:p>
    <w:p w:rsidR="00670F49" w:rsidRDefault="00670F49" w:rsidP="00EF096D">
      <w:r w:rsidRPr="00CA0498">
        <w:t xml:space="preserve">Public testimony asked the Council </w:t>
      </w:r>
      <w:r>
        <w:t>for a</w:t>
      </w:r>
      <w:r w:rsidR="004D73F7">
        <w:t>n</w:t>
      </w:r>
      <w:r>
        <w:t xml:space="preserve"> LLP </w:t>
      </w:r>
      <w:proofErr w:type="spellStart"/>
      <w:r>
        <w:t>receny</w:t>
      </w:r>
      <w:proofErr w:type="spellEnd"/>
      <w:r>
        <w:t xml:space="preserve"> action, eliminating licenses that had been latent for five or more years. Stakeholders may be concerned with the impact on the crab stock</w:t>
      </w:r>
      <w:r w:rsidR="00B60C09">
        <w:t>,</w:t>
      </w:r>
      <w:r>
        <w:t xml:space="preserve"> the market, </w:t>
      </w:r>
      <w:r w:rsidR="00B60C09">
        <w:t xml:space="preserve">and historical participants </w:t>
      </w:r>
      <w:r>
        <w:t>should all latent license holders suddenly chose to reenter the fishery in the same year. Table 1</w:t>
      </w:r>
      <w:r w:rsidR="00B130C6" w:rsidRPr="000F4C4E">
        <w:t xml:space="preserve"> </w:t>
      </w:r>
      <w:r w:rsidR="0063710B" w:rsidRPr="000F4C4E">
        <w:t>demonstrates the ex</w:t>
      </w:r>
      <w:r w:rsidR="00B130C6" w:rsidRPr="000F4C4E">
        <w:t>tent of latent license holders</w:t>
      </w:r>
      <w:r>
        <w:rPr>
          <w:rStyle w:val="FootnoteReference"/>
        </w:rPr>
        <w:footnoteReference w:id="9"/>
      </w:r>
      <w:r w:rsidR="00B130C6" w:rsidRPr="000F4C4E">
        <w:t>. Specifically, between 2008 a</w:t>
      </w:r>
      <w:r w:rsidR="0072716F">
        <w:t>nd 2012 only seven</w:t>
      </w:r>
      <w:r w:rsidR="00890D79" w:rsidRPr="000F4C4E">
        <w:t xml:space="preserve"> </w:t>
      </w:r>
      <w:r w:rsidR="003C3029" w:rsidRPr="000F4C4E">
        <w:t xml:space="preserve">unique </w:t>
      </w:r>
      <w:r w:rsidR="00B130C6" w:rsidRPr="000F4C4E">
        <w:t xml:space="preserve">licenses </w:t>
      </w:r>
      <w:r w:rsidR="00890D79" w:rsidRPr="000F4C4E">
        <w:t>were</w:t>
      </w:r>
      <w:r w:rsidR="00B130C6" w:rsidRPr="000F4C4E">
        <w:t xml:space="preserve"> used</w:t>
      </w:r>
      <w:r w:rsidR="00890D79" w:rsidRPr="000F4C4E">
        <w:t xml:space="preserve"> on vessels greater than 32 ft</w:t>
      </w:r>
      <w:r w:rsidR="0072716F">
        <w:t xml:space="preserve">. Within those five years, two vessels used the same license number and three vessels used multiple licenses in the same year. </w:t>
      </w:r>
      <w:r w:rsidR="004D73F7">
        <w:t xml:space="preserve">Despite the current exemption for vessels 32 </w:t>
      </w:r>
      <w:proofErr w:type="spellStart"/>
      <w:r w:rsidR="004D73F7">
        <w:t>ft</w:t>
      </w:r>
      <w:proofErr w:type="spellEnd"/>
      <w:r w:rsidR="004D73F7">
        <w:t xml:space="preserve"> and under, s</w:t>
      </w:r>
      <w:r w:rsidR="0072716F">
        <w:t>ome</w:t>
      </w:r>
      <w:r w:rsidR="00DD0AB2">
        <w:t xml:space="preserve"> of the licenses with a MLOA of greater than 32 </w:t>
      </w:r>
      <w:proofErr w:type="spellStart"/>
      <w:r w:rsidR="00DD0AB2">
        <w:t>ft</w:t>
      </w:r>
      <w:proofErr w:type="spellEnd"/>
      <w:r w:rsidR="00DD0AB2">
        <w:t xml:space="preserve"> were u</w:t>
      </w:r>
      <w:r w:rsidR="004D73F7">
        <w:t xml:space="preserve">sed for vessels less than 32 ft. Consequently, </w:t>
      </w:r>
      <w:r w:rsidR="0072716F">
        <w:t>a total of 29</w:t>
      </w:r>
      <w:r w:rsidR="00453E5C">
        <w:t xml:space="preserve"> of the 62</w:t>
      </w:r>
      <w:r w:rsidR="00DD0AB2">
        <w:t xml:space="preserve"> </w:t>
      </w:r>
      <w:r w:rsidR="0072716F">
        <w:t xml:space="preserve">unique </w:t>
      </w:r>
      <w:r w:rsidR="00DD0AB2">
        <w:t xml:space="preserve">licenses were on vessels that made a landing in the NSRKC fishery over the last five years. </w:t>
      </w:r>
    </w:p>
    <w:p w:rsidR="00453E5C" w:rsidRPr="000F4C4E" w:rsidRDefault="00453E5C" w:rsidP="00453E5C">
      <w:pPr>
        <w:pStyle w:val="Caption"/>
        <w:spacing w:after="0"/>
        <w:contextualSpacing/>
        <w:rPr>
          <w:sz w:val="22"/>
          <w:szCs w:val="22"/>
        </w:rPr>
      </w:pPr>
      <w:proofErr w:type="gramStart"/>
      <w:r w:rsidRPr="000F4C4E">
        <w:rPr>
          <w:sz w:val="22"/>
          <w:szCs w:val="22"/>
        </w:rPr>
        <w:t>Table 1.</w:t>
      </w:r>
      <w:proofErr w:type="gramEnd"/>
      <w:r w:rsidRPr="000F4C4E">
        <w:rPr>
          <w:sz w:val="22"/>
          <w:szCs w:val="22"/>
        </w:rPr>
        <w:t xml:space="preserve"> </w:t>
      </w:r>
      <w:r>
        <w:rPr>
          <w:sz w:val="22"/>
          <w:szCs w:val="22"/>
        </w:rPr>
        <w:t>Count</w:t>
      </w:r>
      <w:r w:rsidRPr="000F4C4E">
        <w:rPr>
          <w:sz w:val="22"/>
          <w:szCs w:val="22"/>
        </w:rPr>
        <w:t xml:space="preserve"> of </w:t>
      </w:r>
      <w:r>
        <w:rPr>
          <w:sz w:val="22"/>
          <w:szCs w:val="22"/>
        </w:rPr>
        <w:t>active licenses and</w:t>
      </w:r>
      <w:r w:rsidRPr="000F4C4E">
        <w:rPr>
          <w:sz w:val="22"/>
          <w:szCs w:val="22"/>
        </w:rPr>
        <w:t xml:space="preserve"> vessels participating in the NSRKC fishery</w:t>
      </w:r>
      <w:r>
        <w:rPr>
          <w:sz w:val="22"/>
          <w:szCs w:val="22"/>
        </w:rPr>
        <w:t xml:space="preserve"> 2008-2012</w:t>
      </w:r>
    </w:p>
    <w:p w:rsidR="00453E5C" w:rsidRDefault="00B113E2" w:rsidP="00453E5C">
      <w:pPr>
        <w:spacing w:after="0"/>
        <w:contextualSpacing/>
      </w:pPr>
      <w:r w:rsidRPr="00B113E2">
        <w:rPr>
          <w:noProof/>
        </w:rPr>
        <w:drawing>
          <wp:inline distT="0" distB="0" distL="0" distR="0">
            <wp:extent cx="2478587" cy="2761129"/>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8787" cy="2761352"/>
                    </a:xfrm>
                    <a:prstGeom prst="rect">
                      <a:avLst/>
                    </a:prstGeom>
                    <a:noFill/>
                    <a:ln>
                      <a:noFill/>
                    </a:ln>
                  </pic:spPr>
                </pic:pic>
              </a:graphicData>
            </a:graphic>
          </wp:inline>
        </w:drawing>
      </w:r>
    </w:p>
    <w:p w:rsidR="00453E5C" w:rsidRDefault="00453E5C" w:rsidP="00453E5C">
      <w:pPr>
        <w:spacing w:after="0"/>
        <w:contextualSpacing/>
      </w:pPr>
      <w:r>
        <w:t xml:space="preserve">Source: </w:t>
      </w:r>
      <w:r w:rsidRPr="00FD7AE5">
        <w:t>ADF&amp;G Fish Tickets</w:t>
      </w:r>
    </w:p>
    <w:p w:rsidR="00453E5C" w:rsidRDefault="00453E5C" w:rsidP="00453E5C">
      <w:pPr>
        <w:spacing w:after="0"/>
        <w:contextualSpacing/>
      </w:pPr>
    </w:p>
    <w:p w:rsidR="002E1332" w:rsidRPr="002E1332" w:rsidRDefault="00EA6723" w:rsidP="00EF096D">
      <w:r>
        <w:t xml:space="preserve">Public testimony also requested the removal of the </w:t>
      </w:r>
      <w:r w:rsidR="008E351D">
        <w:t xml:space="preserve">regulation </w:t>
      </w:r>
      <w:r w:rsidR="00B60C09">
        <w:t>exempting</w:t>
      </w:r>
      <w:r>
        <w:t xml:space="preserve"> vessels that do not exceed 32 </w:t>
      </w:r>
      <w:proofErr w:type="spellStart"/>
      <w:r>
        <w:t>ft</w:t>
      </w:r>
      <w:proofErr w:type="spellEnd"/>
      <w:r>
        <w:t xml:space="preserve"> </w:t>
      </w:r>
      <w:r w:rsidR="008E351D">
        <w:t xml:space="preserve">LOA from holding a federal LLP license. The concern was raised that a sudden increase in the small vessel fleet could also </w:t>
      </w:r>
      <w:r w:rsidR="00AA0A15">
        <w:t>quickly</w:t>
      </w:r>
      <w:r w:rsidR="008E351D">
        <w:t xml:space="preserve"> impact the stock and the market for NSRKC. </w:t>
      </w:r>
      <w:r w:rsidR="00453E5C">
        <w:t>Table 2</w:t>
      </w:r>
      <w:r w:rsidR="000F4C4E" w:rsidRPr="000F4C4E">
        <w:t xml:space="preserve"> </w:t>
      </w:r>
      <w:r w:rsidR="002E1332" w:rsidRPr="000F4C4E">
        <w:t xml:space="preserve">demonstrates </w:t>
      </w:r>
      <w:r w:rsidR="002E1332" w:rsidRPr="002E1332">
        <w:t>the change in a small vessel fleet prosecuting the NSRKC fishery</w:t>
      </w:r>
      <w:r w:rsidR="0034250B">
        <w:t xml:space="preserve"> in the last five years. It illustrates that </w:t>
      </w:r>
      <w:r w:rsidR="0063710B">
        <w:t xml:space="preserve">the </w:t>
      </w:r>
      <w:r w:rsidR="0063710B">
        <w:lastRenderedPageBreak/>
        <w:t xml:space="preserve">fleet has </w:t>
      </w:r>
      <w:r w:rsidR="004901CD">
        <w:t>increased by six</w:t>
      </w:r>
      <w:r w:rsidR="0063710B">
        <w:t xml:space="preserve"> vessels </w:t>
      </w:r>
      <w:r w:rsidR="004D73F7">
        <w:t>between 2008 and</w:t>
      </w:r>
      <w:r w:rsidR="0063710B">
        <w:t xml:space="preserve"> 2012 </w:t>
      </w:r>
      <w:r w:rsidR="004D73F7">
        <w:t xml:space="preserve">and that </w:t>
      </w:r>
      <w:r w:rsidR="0063710B">
        <w:t>these vessels were responsible for</w:t>
      </w:r>
      <w:r w:rsidR="00AA0A15">
        <w:t xml:space="preserve"> an average of 70</w:t>
      </w:r>
      <w:r w:rsidR="008E351D">
        <w:t>% of the harvest</w:t>
      </w:r>
      <w:r w:rsidR="0063710B">
        <w:t xml:space="preserve">. </w:t>
      </w:r>
    </w:p>
    <w:p w:rsidR="002E1332" w:rsidRPr="000F4C4E" w:rsidRDefault="00453E5C" w:rsidP="002E1332">
      <w:pPr>
        <w:pStyle w:val="Caption"/>
        <w:spacing w:after="0"/>
        <w:contextualSpacing/>
        <w:rPr>
          <w:sz w:val="22"/>
          <w:szCs w:val="22"/>
        </w:rPr>
      </w:pPr>
      <w:proofErr w:type="gramStart"/>
      <w:r>
        <w:rPr>
          <w:sz w:val="22"/>
          <w:szCs w:val="22"/>
        </w:rPr>
        <w:t>Table 2</w:t>
      </w:r>
      <w:r w:rsidR="000F4C4E" w:rsidRPr="000F4C4E">
        <w:rPr>
          <w:sz w:val="22"/>
          <w:szCs w:val="22"/>
        </w:rPr>
        <w:t>.</w:t>
      </w:r>
      <w:proofErr w:type="gramEnd"/>
      <w:r w:rsidR="000F4C4E" w:rsidRPr="000F4C4E">
        <w:rPr>
          <w:sz w:val="22"/>
          <w:szCs w:val="22"/>
        </w:rPr>
        <w:t xml:space="preserve"> </w:t>
      </w:r>
      <w:r>
        <w:rPr>
          <w:sz w:val="22"/>
          <w:szCs w:val="22"/>
        </w:rPr>
        <w:t>Count</w:t>
      </w:r>
      <w:r w:rsidR="002E1332" w:rsidRPr="000F4C4E">
        <w:rPr>
          <w:sz w:val="22"/>
          <w:szCs w:val="22"/>
        </w:rPr>
        <w:t xml:space="preserve"> of less than or equal to 32 foot LOA vessels participating in the NSRKC fishery</w:t>
      </w:r>
    </w:p>
    <w:p w:rsidR="00FD7AE5" w:rsidRDefault="00AA0A15" w:rsidP="002E1332">
      <w:pPr>
        <w:spacing w:after="0"/>
        <w:contextualSpacing/>
        <w:rPr>
          <w:color w:val="FF0000"/>
        </w:rPr>
      </w:pPr>
      <w:r w:rsidRPr="00AA0A15">
        <w:rPr>
          <w:noProof/>
        </w:rPr>
        <w:drawing>
          <wp:inline distT="0" distB="0" distL="0" distR="0">
            <wp:extent cx="4563035" cy="214724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3035" cy="2147241"/>
                    </a:xfrm>
                    <a:prstGeom prst="rect">
                      <a:avLst/>
                    </a:prstGeom>
                    <a:noFill/>
                    <a:ln>
                      <a:noFill/>
                    </a:ln>
                  </pic:spPr>
                </pic:pic>
              </a:graphicData>
            </a:graphic>
          </wp:inline>
        </w:drawing>
      </w:r>
    </w:p>
    <w:p w:rsidR="000C0153" w:rsidRDefault="00FD7AE5" w:rsidP="008E351D">
      <w:pPr>
        <w:spacing w:after="0"/>
        <w:contextualSpacing/>
        <w:rPr>
          <w:color w:val="FF0000"/>
        </w:rPr>
      </w:pPr>
      <w:r w:rsidRPr="00FD7AE5">
        <w:t>Source: ADF&amp;G Fish Tickets</w:t>
      </w:r>
    </w:p>
    <w:p w:rsidR="008E351D" w:rsidRPr="008E351D" w:rsidRDefault="008E351D" w:rsidP="008E351D">
      <w:pPr>
        <w:spacing w:after="0"/>
        <w:contextualSpacing/>
        <w:rPr>
          <w:color w:val="FF0000"/>
        </w:rPr>
      </w:pPr>
    </w:p>
    <w:p w:rsidR="000C0153" w:rsidRDefault="000C0153" w:rsidP="006D0021">
      <w:pPr>
        <w:pStyle w:val="Heading1"/>
      </w:pPr>
      <w:bookmarkStart w:id="4" w:name="_Toc386441126"/>
      <w:r>
        <w:t>COUNCIL ACTION</w:t>
      </w:r>
      <w:bookmarkEnd w:id="4"/>
    </w:p>
    <w:p w:rsidR="000C0153" w:rsidRDefault="000C0153" w:rsidP="00E91FF5">
      <w:pPr>
        <w:rPr>
          <w:rFonts w:cs="Times New Roman"/>
        </w:rPr>
      </w:pPr>
      <w:r>
        <w:rPr>
          <w:rFonts w:cs="Times New Roman"/>
        </w:rPr>
        <w:t>Public input will be particularly valuable in guiding Council course of action on the issue of over-</w:t>
      </w:r>
      <w:r w:rsidRPr="00E91FF5">
        <w:rPr>
          <w:rFonts w:cs="Times New Roman"/>
        </w:rPr>
        <w:t xml:space="preserve">capitalization in the NSRKC fishery. As the smallest king crab fishery in Alaskan </w:t>
      </w:r>
      <w:proofErr w:type="gramStart"/>
      <w:r w:rsidRPr="00E91FF5">
        <w:rPr>
          <w:rFonts w:cs="Times New Roman"/>
        </w:rPr>
        <w:t>waters,</w:t>
      </w:r>
      <w:proofErr w:type="gramEnd"/>
      <w:r w:rsidRPr="00E91FF5">
        <w:rPr>
          <w:rFonts w:cs="Times New Roman"/>
        </w:rPr>
        <w:t xml:space="preserve"> and with a designation of </w:t>
      </w:r>
      <w:r w:rsidR="00DC5547" w:rsidRPr="00E91FF5">
        <w:rPr>
          <w:rFonts w:cs="Times New Roman"/>
        </w:rPr>
        <w:t>‘</w:t>
      </w:r>
      <w:r w:rsidRPr="00E91FF5">
        <w:rPr>
          <w:rFonts w:cs="Times New Roman"/>
        </w:rPr>
        <w:t>super-exclusive</w:t>
      </w:r>
      <w:r w:rsidR="00DC5547" w:rsidRPr="00E91FF5">
        <w:rPr>
          <w:rFonts w:cs="Times New Roman"/>
        </w:rPr>
        <w:t>’</w:t>
      </w:r>
      <w:r w:rsidRPr="00E91FF5">
        <w:rPr>
          <w:rFonts w:cs="Times New Roman"/>
        </w:rPr>
        <w:t xml:space="preserve">, prosecutors of this fishery will likely have </w:t>
      </w:r>
      <w:r w:rsidR="00453E5C" w:rsidRPr="00E91FF5">
        <w:rPr>
          <w:rFonts w:cs="Times New Roman"/>
        </w:rPr>
        <w:t>an intimate</w:t>
      </w:r>
      <w:r w:rsidRPr="00E91FF5">
        <w:rPr>
          <w:rFonts w:cs="Times New Roman"/>
        </w:rPr>
        <w:t xml:space="preserve"> understanding of challenges associated with</w:t>
      </w:r>
      <w:r w:rsidR="00E91FF5" w:rsidRPr="00E91FF5">
        <w:rPr>
          <w:rFonts w:cs="Times New Roman"/>
        </w:rPr>
        <w:t xml:space="preserve"> this derby-style fishery</w:t>
      </w:r>
      <w:r w:rsidRPr="00E91FF5">
        <w:rPr>
          <w:rFonts w:cs="Times New Roman"/>
        </w:rPr>
        <w:t xml:space="preserve">. The Council does not need to take action to reduce uncertainty in the number </w:t>
      </w:r>
      <w:r>
        <w:rPr>
          <w:rFonts w:cs="Times New Roman"/>
        </w:rPr>
        <w:t xml:space="preserve">of vessels participating annually in the fishery; however, input from the direct stakeholders may justify further analysis. </w:t>
      </w:r>
    </w:p>
    <w:p w:rsidR="00242358" w:rsidRDefault="00242358" w:rsidP="00E91FF5">
      <w:pPr>
        <w:rPr>
          <w:rFonts w:cs="Times New Roman"/>
        </w:rPr>
      </w:pPr>
    </w:p>
    <w:p w:rsidR="00242358" w:rsidRDefault="00242358" w:rsidP="00E91FF5">
      <w:pPr>
        <w:rPr>
          <w:rFonts w:cs="Times New Roman"/>
        </w:rPr>
      </w:pPr>
    </w:p>
    <w:p w:rsidR="00242358" w:rsidRDefault="00242358" w:rsidP="00E91FF5">
      <w:pPr>
        <w:rPr>
          <w:rFonts w:cs="Times New Roman"/>
        </w:rPr>
      </w:pPr>
    </w:p>
    <w:p w:rsidR="00242358" w:rsidRDefault="00242358" w:rsidP="00E91FF5">
      <w:pPr>
        <w:rPr>
          <w:rFonts w:cs="Times New Roman"/>
        </w:rPr>
      </w:pPr>
    </w:p>
    <w:p w:rsidR="00242358" w:rsidRDefault="00242358" w:rsidP="00E91FF5">
      <w:pPr>
        <w:rPr>
          <w:rFonts w:cs="Times New Roman"/>
        </w:rPr>
      </w:pPr>
    </w:p>
    <w:p w:rsidR="00242358" w:rsidRDefault="00242358" w:rsidP="00E91FF5">
      <w:pPr>
        <w:rPr>
          <w:rFonts w:cs="Times New Roman"/>
        </w:rPr>
      </w:pPr>
    </w:p>
    <w:p w:rsidR="00242358" w:rsidRDefault="00242358" w:rsidP="00E91FF5">
      <w:pPr>
        <w:rPr>
          <w:rFonts w:cs="Times New Roman"/>
        </w:rPr>
      </w:pPr>
    </w:p>
    <w:p w:rsidR="00242358" w:rsidRDefault="00242358" w:rsidP="00E91FF5">
      <w:pPr>
        <w:rPr>
          <w:rFonts w:cs="Times New Roman"/>
        </w:rPr>
      </w:pPr>
    </w:p>
    <w:p w:rsidR="00242358" w:rsidRDefault="00242358" w:rsidP="00E91FF5">
      <w:pPr>
        <w:rPr>
          <w:rFonts w:cs="Times New Roman"/>
        </w:rPr>
      </w:pPr>
    </w:p>
    <w:p w:rsidR="00242358" w:rsidRDefault="00242358" w:rsidP="00E91FF5">
      <w:pPr>
        <w:rPr>
          <w:rFonts w:cs="Times New Roman"/>
        </w:rPr>
      </w:pPr>
    </w:p>
    <w:p w:rsidR="00242358" w:rsidRDefault="00242358" w:rsidP="00E91FF5">
      <w:pPr>
        <w:rPr>
          <w:rFonts w:cs="Times New Roman"/>
        </w:rPr>
      </w:pPr>
    </w:p>
    <w:p w:rsidR="00242358" w:rsidRDefault="00242358" w:rsidP="00E91FF5">
      <w:pPr>
        <w:rPr>
          <w:rFonts w:cs="Times New Roman"/>
        </w:rPr>
      </w:pPr>
    </w:p>
    <w:p w:rsidR="00242358" w:rsidRPr="0081147D" w:rsidRDefault="00242358" w:rsidP="00E91FF5">
      <w:pPr>
        <w:rPr>
          <w:rFonts w:cs="Times New Roman"/>
        </w:rPr>
      </w:pPr>
    </w:p>
    <w:p w:rsidR="000C0153" w:rsidRDefault="000C0153" w:rsidP="006D0021">
      <w:pPr>
        <w:pStyle w:val="Heading1"/>
        <w:rPr>
          <w:rStyle w:val="Heading2Char"/>
          <w:b/>
        </w:rPr>
      </w:pPr>
      <w:bookmarkStart w:id="5" w:name="_Toc386441127"/>
      <w:r w:rsidRPr="000C0153">
        <w:rPr>
          <w:rStyle w:val="Heading2Char"/>
          <w:b/>
        </w:rPr>
        <w:t>REFERENCES</w:t>
      </w:r>
      <w:bookmarkEnd w:id="5"/>
    </w:p>
    <w:p w:rsidR="00BE0D35" w:rsidRDefault="00BE0D35" w:rsidP="00BE0D35">
      <w:pPr>
        <w:ind w:left="720" w:hanging="720"/>
        <w:rPr>
          <w:rFonts w:cs="Times New Roman"/>
        </w:rPr>
      </w:pPr>
      <w:proofErr w:type="spellStart"/>
      <w:r w:rsidRPr="00534A6D">
        <w:rPr>
          <w:rFonts w:cs="Times New Roman"/>
        </w:rPr>
        <w:t>Dischner</w:t>
      </w:r>
      <w:proofErr w:type="spellEnd"/>
      <w:r w:rsidRPr="00534A6D">
        <w:rPr>
          <w:rFonts w:cs="Times New Roman"/>
        </w:rPr>
        <w:t xml:space="preserve">, M. Jun 13, 2013. Norton Sound winter red king crab fishery sets records. </w:t>
      </w:r>
      <w:proofErr w:type="gramStart"/>
      <w:r w:rsidRPr="00534A6D">
        <w:rPr>
          <w:rFonts w:cs="Times New Roman"/>
        </w:rPr>
        <w:t>Alaska Journal of Commerce, Anchorage.</w:t>
      </w:r>
      <w:proofErr w:type="gramEnd"/>
      <w:r w:rsidRPr="00534A6D">
        <w:rPr>
          <w:rFonts w:cs="Times New Roman"/>
        </w:rPr>
        <w:t xml:space="preserve"> </w:t>
      </w:r>
    </w:p>
    <w:p w:rsidR="00BE0D35" w:rsidRDefault="00BE0D35" w:rsidP="00BE0D35">
      <w:pPr>
        <w:ind w:left="720" w:hanging="720"/>
        <w:rPr>
          <w:rFonts w:cs="Times New Roman"/>
        </w:rPr>
      </w:pPr>
      <w:proofErr w:type="spellStart"/>
      <w:proofErr w:type="gramStart"/>
      <w:r w:rsidRPr="00534A6D">
        <w:rPr>
          <w:rFonts w:cs="Times New Roman"/>
        </w:rPr>
        <w:t>Hamazaki</w:t>
      </w:r>
      <w:proofErr w:type="spellEnd"/>
      <w:r w:rsidRPr="00534A6D">
        <w:rPr>
          <w:rFonts w:cs="Times New Roman"/>
        </w:rPr>
        <w:t>, T. and J. Zheng.</w:t>
      </w:r>
      <w:proofErr w:type="gramEnd"/>
      <w:r w:rsidRPr="00534A6D">
        <w:rPr>
          <w:rFonts w:cs="Times New Roman"/>
        </w:rPr>
        <w:t xml:space="preserve"> 2013. Norton Sound Red King Crab Stock Assessment for the fishing year 2014, in Stock Assessment and Fishery Evaluation Report (SAFE) for the King and Tanner Crab Fisheries of the Bering Sea and Aleutian Islands Regions. North Pacific Fishery Management Council, Anchorage.</w:t>
      </w:r>
    </w:p>
    <w:p w:rsidR="00BE0D35" w:rsidRDefault="00BE0D35" w:rsidP="00BE0D35">
      <w:pPr>
        <w:ind w:left="720" w:hanging="720"/>
        <w:rPr>
          <w:rFonts w:cs="Times New Roman"/>
        </w:rPr>
      </w:pPr>
      <w:proofErr w:type="gramStart"/>
      <w:r>
        <w:rPr>
          <w:rFonts w:cs="Times New Roman"/>
        </w:rPr>
        <w:t xml:space="preserve">Harrington, G. and M. </w:t>
      </w:r>
      <w:proofErr w:type="spellStart"/>
      <w:r>
        <w:rPr>
          <w:rFonts w:cs="Times New Roman"/>
        </w:rPr>
        <w:t>Fina</w:t>
      </w:r>
      <w:proofErr w:type="spellEnd"/>
      <w:r>
        <w:rPr>
          <w:rFonts w:cs="Times New Roman"/>
        </w:rPr>
        <w:t>.</w:t>
      </w:r>
      <w:proofErr w:type="gramEnd"/>
      <w:r>
        <w:rPr>
          <w:rFonts w:cs="Times New Roman"/>
        </w:rPr>
        <w:t xml:space="preserve"> </w:t>
      </w:r>
      <w:r w:rsidRPr="00CB04B8">
        <w:rPr>
          <w:rFonts w:cs="Times New Roman"/>
        </w:rPr>
        <w:t>2004. Final Environmental Impact Statement for Bering Sea and A</w:t>
      </w:r>
      <w:r>
        <w:rPr>
          <w:rFonts w:cs="Times New Roman"/>
        </w:rPr>
        <w:t xml:space="preserve">leutian Islands Crab Fisheries. National Oceanic and Atmospheric Administration, National Marine Fisheries Services, </w:t>
      </w:r>
      <w:r w:rsidRPr="00CB04B8">
        <w:rPr>
          <w:rFonts w:cs="Times New Roman"/>
        </w:rPr>
        <w:t>Juneau</w:t>
      </w:r>
      <w:r>
        <w:rPr>
          <w:rFonts w:cs="Times New Roman"/>
        </w:rPr>
        <w:t>.</w:t>
      </w:r>
    </w:p>
    <w:p w:rsidR="00BE0D35" w:rsidRPr="00534A6D" w:rsidRDefault="00BE0D35" w:rsidP="00BE0D35">
      <w:pPr>
        <w:ind w:left="720" w:hanging="720"/>
        <w:rPr>
          <w:rFonts w:cs="Times New Roman"/>
        </w:rPr>
      </w:pPr>
      <w:proofErr w:type="gramStart"/>
      <w:r w:rsidRPr="00534A6D">
        <w:rPr>
          <w:rFonts w:cs="Times New Roman"/>
        </w:rPr>
        <w:t xml:space="preserve">Kent, Scott M. and </w:t>
      </w:r>
      <w:proofErr w:type="spellStart"/>
      <w:r w:rsidRPr="00534A6D">
        <w:rPr>
          <w:rFonts w:cs="Times New Roman"/>
        </w:rPr>
        <w:t>Jenefer</w:t>
      </w:r>
      <w:proofErr w:type="spellEnd"/>
      <w:r w:rsidRPr="00534A6D">
        <w:rPr>
          <w:rFonts w:cs="Times New Roman"/>
        </w:rPr>
        <w:t xml:space="preserve"> Bell.</w:t>
      </w:r>
      <w:proofErr w:type="gramEnd"/>
      <w:r w:rsidRPr="00534A6D">
        <w:rPr>
          <w:rFonts w:cs="Times New Roman"/>
        </w:rPr>
        <w:t xml:space="preserve">  2014.  Norton Sound section shellfish, 2013; a report to the Alaska Board of Fisheries.  Alaska Department of Fish and Game, Fishery Management Report No. 14-09, Anchorage.</w:t>
      </w:r>
    </w:p>
    <w:p w:rsidR="00BE0D35" w:rsidRDefault="00BE0D35" w:rsidP="00BE0D35">
      <w:pPr>
        <w:ind w:left="720" w:hanging="720"/>
        <w:rPr>
          <w:rFonts w:cs="Times New Roman"/>
        </w:rPr>
      </w:pPr>
      <w:proofErr w:type="gramStart"/>
      <w:r w:rsidRPr="00534A6D">
        <w:rPr>
          <w:rFonts w:cs="Times New Roman"/>
        </w:rPr>
        <w:t>Menard, J., J. Soong, S. Kent, and A. Brown.</w:t>
      </w:r>
      <w:proofErr w:type="gramEnd"/>
      <w:r w:rsidRPr="00534A6D">
        <w:rPr>
          <w:rFonts w:cs="Times New Roman"/>
        </w:rPr>
        <w:t xml:space="preserve">  2013.  2012 Annual management report Norton Sound-Port Clarence Area, and Arctic-Kotzebue.  Alaska Department of Fish and Game, Fishery Management Report No. 13-28, Anchorage.</w:t>
      </w:r>
    </w:p>
    <w:p w:rsidR="00BE0D35" w:rsidRDefault="00BE0D35" w:rsidP="00BE0D35">
      <w:pPr>
        <w:ind w:left="720" w:hanging="720"/>
        <w:rPr>
          <w:rFonts w:cs="Times New Roman"/>
        </w:rPr>
      </w:pPr>
      <w:proofErr w:type="gramStart"/>
      <w:r w:rsidRPr="00534A6D">
        <w:rPr>
          <w:rFonts w:cs="Times New Roman"/>
        </w:rPr>
        <w:t>Schwarz.</w:t>
      </w:r>
      <w:proofErr w:type="gramEnd"/>
      <w:r w:rsidRPr="00534A6D">
        <w:rPr>
          <w:rFonts w:cs="Times New Roman"/>
        </w:rPr>
        <w:t xml:space="preserve"> </w:t>
      </w:r>
      <w:proofErr w:type="gramStart"/>
      <w:r w:rsidRPr="00534A6D">
        <w:rPr>
          <w:rFonts w:cs="Times New Roman"/>
        </w:rPr>
        <w:t xml:space="preserve">L., C. Lean, J. </w:t>
      </w:r>
      <w:proofErr w:type="spellStart"/>
      <w:r w:rsidRPr="00534A6D">
        <w:rPr>
          <w:rFonts w:cs="Times New Roman"/>
        </w:rPr>
        <w:t>Dinnocenzo</w:t>
      </w:r>
      <w:proofErr w:type="spellEnd"/>
      <w:r w:rsidRPr="00534A6D">
        <w:rPr>
          <w:rFonts w:cs="Times New Roman"/>
        </w:rPr>
        <w:t xml:space="preserve">, B. </w:t>
      </w:r>
      <w:proofErr w:type="spellStart"/>
      <w:r w:rsidRPr="00534A6D">
        <w:rPr>
          <w:rFonts w:cs="Times New Roman"/>
        </w:rPr>
        <w:t>Bigler</w:t>
      </w:r>
      <w:proofErr w:type="spellEnd"/>
      <w:r w:rsidRPr="00534A6D">
        <w:rPr>
          <w:rFonts w:cs="Times New Roman"/>
        </w:rPr>
        <w:t xml:space="preserve">., S. </w:t>
      </w:r>
      <w:proofErr w:type="spellStart"/>
      <w:r w:rsidRPr="00534A6D">
        <w:rPr>
          <w:rFonts w:cs="Times New Roman"/>
        </w:rPr>
        <w:t>Merkouris</w:t>
      </w:r>
      <w:proofErr w:type="spellEnd"/>
      <w:r w:rsidRPr="00534A6D">
        <w:rPr>
          <w:rFonts w:cs="Times New Roman"/>
        </w:rPr>
        <w:t xml:space="preserve">, M. Wyatt, and J. </w:t>
      </w:r>
      <w:proofErr w:type="spellStart"/>
      <w:r w:rsidRPr="00534A6D">
        <w:rPr>
          <w:rFonts w:cs="Times New Roman"/>
        </w:rPr>
        <w:t>Stien</w:t>
      </w:r>
      <w:proofErr w:type="spellEnd"/>
      <w:r w:rsidRPr="00534A6D">
        <w:rPr>
          <w:rFonts w:cs="Times New Roman"/>
        </w:rPr>
        <w:t>.</w:t>
      </w:r>
      <w:proofErr w:type="gramEnd"/>
      <w:r w:rsidRPr="00534A6D">
        <w:rPr>
          <w:rFonts w:cs="Times New Roman"/>
        </w:rPr>
        <w:t xml:space="preserve"> 1984. Annual Management Report 1983, Norton Sound-Port Clarence-Kotzebue. Alaska Department of Fish and Game, Division of Commercial Fisheries, Annual Management Report Norton Sound.</w:t>
      </w:r>
    </w:p>
    <w:p w:rsidR="00242358" w:rsidRDefault="00242358" w:rsidP="00BE0D35">
      <w:pPr>
        <w:ind w:left="720" w:hanging="720"/>
        <w:rPr>
          <w:rFonts w:cs="Times New Roman"/>
        </w:rPr>
      </w:pPr>
    </w:p>
    <w:p w:rsidR="00242358" w:rsidRDefault="00242358" w:rsidP="00BE0D35">
      <w:pPr>
        <w:ind w:left="720" w:hanging="720"/>
        <w:rPr>
          <w:rFonts w:cs="Times New Roman"/>
        </w:rPr>
      </w:pPr>
    </w:p>
    <w:p w:rsidR="00242358" w:rsidRDefault="00242358" w:rsidP="00BE0D35">
      <w:pPr>
        <w:ind w:left="720" w:hanging="720"/>
        <w:rPr>
          <w:rFonts w:cs="Times New Roman"/>
        </w:rPr>
      </w:pPr>
    </w:p>
    <w:p w:rsidR="00242358" w:rsidRDefault="00242358" w:rsidP="00BE0D35">
      <w:pPr>
        <w:ind w:left="720" w:hanging="720"/>
        <w:rPr>
          <w:rFonts w:cs="Times New Roman"/>
        </w:rPr>
      </w:pPr>
    </w:p>
    <w:p w:rsidR="00242358" w:rsidRDefault="00242358" w:rsidP="00BE0D35">
      <w:pPr>
        <w:ind w:left="720" w:hanging="720"/>
        <w:rPr>
          <w:rFonts w:cs="Times New Roman"/>
        </w:rPr>
      </w:pPr>
    </w:p>
    <w:p w:rsidR="00242358" w:rsidRDefault="00242358" w:rsidP="00BE0D35">
      <w:pPr>
        <w:ind w:left="720" w:hanging="720"/>
        <w:rPr>
          <w:rFonts w:cs="Times New Roman"/>
        </w:rPr>
      </w:pPr>
    </w:p>
    <w:p w:rsidR="00242358" w:rsidRDefault="00242358" w:rsidP="00BE0D35">
      <w:pPr>
        <w:ind w:left="720" w:hanging="720"/>
        <w:rPr>
          <w:rFonts w:cs="Times New Roman"/>
        </w:rPr>
      </w:pPr>
    </w:p>
    <w:p w:rsidR="00242358" w:rsidRDefault="00242358" w:rsidP="00BE0D35">
      <w:pPr>
        <w:ind w:left="720" w:hanging="720"/>
        <w:rPr>
          <w:rFonts w:cs="Times New Roman"/>
        </w:rPr>
      </w:pPr>
    </w:p>
    <w:p w:rsidR="00242358" w:rsidRDefault="00242358" w:rsidP="00BE0D35">
      <w:pPr>
        <w:ind w:left="720" w:hanging="720"/>
        <w:rPr>
          <w:rFonts w:cs="Times New Roman"/>
        </w:rPr>
      </w:pPr>
    </w:p>
    <w:p w:rsidR="00242358" w:rsidRDefault="00242358" w:rsidP="00BE0D35">
      <w:pPr>
        <w:ind w:left="720" w:hanging="720"/>
        <w:rPr>
          <w:rFonts w:cs="Times New Roman"/>
        </w:rPr>
      </w:pPr>
    </w:p>
    <w:p w:rsidR="00242358" w:rsidRDefault="00242358" w:rsidP="00BE0D35">
      <w:pPr>
        <w:ind w:left="720" w:hanging="720"/>
        <w:rPr>
          <w:rFonts w:cs="Times New Roman"/>
        </w:rPr>
      </w:pPr>
    </w:p>
    <w:p w:rsidR="00242358" w:rsidRPr="00534A6D" w:rsidRDefault="00242358" w:rsidP="00BE0D35">
      <w:pPr>
        <w:ind w:left="720" w:hanging="720"/>
        <w:rPr>
          <w:rFonts w:cs="Times New Roman"/>
        </w:rPr>
      </w:pPr>
    </w:p>
    <w:p w:rsidR="0081147D" w:rsidRPr="00B0390E" w:rsidRDefault="00B0390E" w:rsidP="006D0021">
      <w:pPr>
        <w:pStyle w:val="Heading1"/>
        <w:rPr>
          <w:sz w:val="22"/>
        </w:rPr>
      </w:pPr>
      <w:bookmarkStart w:id="6" w:name="_Toc386441128"/>
      <w:r>
        <w:t xml:space="preserve">APPENDIX A. </w:t>
      </w:r>
      <w:r w:rsidR="0081147D">
        <w:rPr>
          <w:szCs w:val="24"/>
        </w:rPr>
        <w:t>Historical summer commercial red king crab fishery performance, Norton Sound Section, Eastern Bering Sea, 1977-2013*</w:t>
      </w:r>
      <w:bookmarkEnd w:id="6"/>
    </w:p>
    <w:p w:rsidR="00FA3C8E" w:rsidRDefault="00FA3C8E" w:rsidP="00FA3C8E">
      <w:pPr>
        <w:spacing w:after="0" w:line="240" w:lineRule="auto"/>
        <w:contextualSpacing/>
        <w:rPr>
          <w:rFonts w:cs="Times New Roman"/>
        </w:rPr>
      </w:pPr>
      <w:r w:rsidRPr="00FA3C8E">
        <w:rPr>
          <w:noProof/>
        </w:rPr>
        <w:drawing>
          <wp:inline distT="0" distB="0" distL="0" distR="0" wp14:anchorId="5386CDAE" wp14:editId="758D75A2">
            <wp:extent cx="5943600" cy="635124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351247"/>
                    </a:xfrm>
                    <a:prstGeom prst="rect">
                      <a:avLst/>
                    </a:prstGeom>
                    <a:noFill/>
                    <a:ln>
                      <a:noFill/>
                    </a:ln>
                  </pic:spPr>
                </pic:pic>
              </a:graphicData>
            </a:graphic>
          </wp:inline>
        </w:drawing>
      </w:r>
      <w:r w:rsidR="0081147D">
        <w:rPr>
          <w:rFonts w:cs="Times New Roman"/>
        </w:rPr>
        <w:t>Source: Kent and Bell, 2013</w:t>
      </w:r>
    </w:p>
    <w:p w:rsidR="00D772B8" w:rsidRDefault="00D772B8" w:rsidP="00FA3C8E">
      <w:pPr>
        <w:spacing w:after="0" w:line="240" w:lineRule="auto"/>
        <w:contextualSpacing/>
        <w:rPr>
          <w:rFonts w:eastAsia="Times New Roman" w:cs="Times New Roman"/>
          <w:color w:val="000000"/>
          <w:sz w:val="20"/>
          <w:szCs w:val="20"/>
        </w:rPr>
      </w:pPr>
      <w:r w:rsidRPr="00D772B8">
        <w:rPr>
          <w:rFonts w:eastAsia="Times New Roman" w:cs="Times New Roman"/>
          <w:color w:val="000000"/>
          <w:sz w:val="20"/>
          <w:szCs w:val="20"/>
        </w:rPr>
        <w:t>Note: Blank cells indicate that information is unavailable.</w:t>
      </w:r>
    </w:p>
    <w:p w:rsidR="00FA3C8E" w:rsidRDefault="00FA3C8E" w:rsidP="00FA3C8E">
      <w:pPr>
        <w:spacing w:after="0" w:line="240" w:lineRule="auto"/>
        <w:contextualSpacing/>
        <w:rPr>
          <w:rFonts w:eastAsia="Times New Roman" w:cs="Times New Roman"/>
          <w:color w:val="000000"/>
          <w:sz w:val="20"/>
          <w:szCs w:val="20"/>
        </w:rPr>
      </w:pPr>
    </w:p>
    <w:p w:rsidR="00FA3C8E" w:rsidRDefault="00FA3C8E" w:rsidP="00FA3C8E">
      <w:pPr>
        <w:pStyle w:val="Table-Footnote"/>
        <w:spacing w:after="0"/>
        <w:contextualSpacing/>
      </w:pPr>
      <w:proofErr w:type="gramStart"/>
      <w:r w:rsidRPr="007F3415">
        <w:rPr>
          <w:vertAlign w:val="superscript"/>
        </w:rPr>
        <w:t>a</w:t>
      </w:r>
      <w:proofErr w:type="gramEnd"/>
      <w:r w:rsidRPr="007F3415">
        <w:t xml:space="preserve"> </w:t>
      </w:r>
      <w:proofErr w:type="spellStart"/>
      <w:r w:rsidRPr="007F3415">
        <w:t>Deadloss</w:t>
      </w:r>
      <w:proofErr w:type="spellEnd"/>
      <w:r w:rsidRPr="007F3415">
        <w:t xml:space="preserve"> included in total.</w:t>
      </w:r>
    </w:p>
    <w:p w:rsidR="00FA3C8E" w:rsidRDefault="00FA3C8E" w:rsidP="00FA3C8E">
      <w:pPr>
        <w:pStyle w:val="Table-Footnote"/>
        <w:spacing w:after="0"/>
        <w:contextualSpacing/>
        <w:rPr>
          <w:vertAlign w:val="superscript"/>
        </w:rPr>
      </w:pPr>
      <w:proofErr w:type="gramStart"/>
      <w:r w:rsidRPr="007F3415">
        <w:rPr>
          <w:vertAlign w:val="superscript"/>
        </w:rPr>
        <w:t>b</w:t>
      </w:r>
      <w:proofErr w:type="gramEnd"/>
      <w:r w:rsidRPr="007F3415">
        <w:t xml:space="preserve"> Millions of pounds.</w:t>
      </w:r>
      <w:r>
        <w:tab/>
      </w:r>
      <w:r>
        <w:tab/>
      </w:r>
      <w:r w:rsidRPr="00024F54">
        <w:rPr>
          <w:vertAlign w:val="superscript"/>
        </w:rPr>
        <w:t xml:space="preserve"> </w:t>
      </w:r>
    </w:p>
    <w:p w:rsidR="00FA3C8E" w:rsidRDefault="00FA3C8E" w:rsidP="00FA3C8E">
      <w:pPr>
        <w:pStyle w:val="Table-Footnote"/>
        <w:spacing w:after="0"/>
        <w:contextualSpacing/>
      </w:pPr>
      <w:proofErr w:type="gramStart"/>
      <w:r w:rsidRPr="007F3415">
        <w:rPr>
          <w:vertAlign w:val="superscript"/>
        </w:rPr>
        <w:lastRenderedPageBreak/>
        <w:t>c</w:t>
      </w:r>
      <w:proofErr w:type="gramEnd"/>
      <w:r w:rsidRPr="007F3415">
        <w:t xml:space="preserve"> Information not available.</w:t>
      </w:r>
    </w:p>
    <w:p w:rsidR="00FA3C8E" w:rsidRDefault="00FA3C8E" w:rsidP="00FA3C8E">
      <w:pPr>
        <w:spacing w:after="0" w:line="240" w:lineRule="auto"/>
        <w:contextualSpacing/>
      </w:pPr>
      <w:proofErr w:type="gramStart"/>
      <w:r w:rsidRPr="007F3415">
        <w:rPr>
          <w:vertAlign w:val="superscript"/>
        </w:rPr>
        <w:t>d</w:t>
      </w:r>
      <w:proofErr w:type="gramEnd"/>
      <w:r w:rsidRPr="007F3415">
        <w:rPr>
          <w:vertAlign w:val="superscript"/>
        </w:rPr>
        <w:t xml:space="preserve"> </w:t>
      </w:r>
      <w:r w:rsidRPr="007F3415">
        <w:t>Fishing actually began 8/12.</w:t>
      </w:r>
    </w:p>
    <w:p w:rsidR="00FA3C8E" w:rsidRDefault="00FA3C8E" w:rsidP="00FA3C8E">
      <w:pPr>
        <w:spacing w:after="0" w:line="240" w:lineRule="auto"/>
        <w:contextualSpacing/>
      </w:pPr>
      <w:proofErr w:type="gramStart"/>
      <w:r w:rsidRPr="007F3415">
        <w:rPr>
          <w:vertAlign w:val="superscript"/>
        </w:rPr>
        <w:t>e</w:t>
      </w:r>
      <w:proofErr w:type="gramEnd"/>
      <w:r>
        <w:t xml:space="preserve"> </w:t>
      </w:r>
      <w:r w:rsidRPr="007F3415">
        <w:t>Fishing actually began 7/8.</w:t>
      </w:r>
    </w:p>
    <w:p w:rsidR="00FA3C8E" w:rsidRDefault="00FA3C8E" w:rsidP="00FA3C8E">
      <w:pPr>
        <w:spacing w:after="0" w:line="240" w:lineRule="auto"/>
        <w:contextualSpacing/>
      </w:pPr>
      <w:proofErr w:type="gramStart"/>
      <w:r w:rsidRPr="007F3415">
        <w:rPr>
          <w:vertAlign w:val="superscript"/>
        </w:rPr>
        <w:t>f</w:t>
      </w:r>
      <w:proofErr w:type="gramEnd"/>
      <w:r w:rsidRPr="007F3415">
        <w:t xml:space="preserve"> Fishing began 7/9 due to fishermen strike.</w:t>
      </w:r>
    </w:p>
    <w:p w:rsidR="00FA3C8E" w:rsidRDefault="00FA3C8E" w:rsidP="00FA3C8E">
      <w:pPr>
        <w:spacing w:after="0" w:line="240" w:lineRule="auto"/>
        <w:contextualSpacing/>
      </w:pPr>
      <w:proofErr w:type="gramStart"/>
      <w:r w:rsidRPr="007F3415">
        <w:rPr>
          <w:vertAlign w:val="superscript"/>
        </w:rPr>
        <w:t>g</w:t>
      </w:r>
      <w:proofErr w:type="gramEnd"/>
      <w:r w:rsidRPr="007F3415">
        <w:t xml:space="preserve"> First delivery was made 7/10.</w:t>
      </w:r>
    </w:p>
    <w:p w:rsidR="00FA3C8E" w:rsidRPr="00FA3C8E" w:rsidRDefault="00FA3C8E" w:rsidP="00FA3C8E">
      <w:pPr>
        <w:spacing w:after="0" w:line="240" w:lineRule="auto"/>
        <w:contextualSpacing/>
      </w:pPr>
      <w:proofErr w:type="gramStart"/>
      <w:r w:rsidRPr="007F3415">
        <w:rPr>
          <w:vertAlign w:val="superscript"/>
        </w:rPr>
        <w:t>h</w:t>
      </w:r>
      <w:proofErr w:type="gramEnd"/>
      <w:r w:rsidRPr="007F3415">
        <w:t xml:space="preserve"> First delivery was made 7/16.</w:t>
      </w:r>
    </w:p>
    <w:p w:rsidR="00FA3C8E" w:rsidRDefault="00FA3C8E" w:rsidP="00FA3C8E">
      <w:pPr>
        <w:pStyle w:val="Table-Footnote"/>
        <w:spacing w:after="0"/>
        <w:contextualSpacing/>
      </w:pPr>
      <w:proofErr w:type="spellStart"/>
      <w:proofErr w:type="gramStart"/>
      <w:r w:rsidRPr="00346DBB">
        <w:rPr>
          <w:vertAlign w:val="superscript"/>
        </w:rPr>
        <w:t>i</w:t>
      </w:r>
      <w:proofErr w:type="spellEnd"/>
      <w:proofErr w:type="gramEnd"/>
      <w:r w:rsidRPr="00346DBB">
        <w:rPr>
          <w:vertAlign w:val="superscript"/>
        </w:rPr>
        <w:t xml:space="preserve"> </w:t>
      </w:r>
      <w:r w:rsidRPr="007F3415">
        <w:t>The season was extended 24 hours due to bad weather.</w:t>
      </w:r>
      <w:r>
        <w:tab/>
      </w:r>
    </w:p>
    <w:p w:rsidR="00FA3C8E" w:rsidRDefault="00FA3C8E" w:rsidP="00FA3C8E">
      <w:pPr>
        <w:pStyle w:val="Table-Footnote"/>
        <w:spacing w:after="0"/>
        <w:contextualSpacing/>
      </w:pPr>
      <w:proofErr w:type="gramStart"/>
      <w:r w:rsidRPr="00346DBB">
        <w:rPr>
          <w:vertAlign w:val="superscript"/>
        </w:rPr>
        <w:t>j</w:t>
      </w:r>
      <w:proofErr w:type="gramEnd"/>
      <w:r w:rsidRPr="00346DBB">
        <w:rPr>
          <w:vertAlign w:val="superscript"/>
        </w:rPr>
        <w:t xml:space="preserve"> </w:t>
      </w:r>
      <w:r w:rsidRPr="00346DBB">
        <w:t>Open access (OA) closed 8/29. CDQ opened 9/1-9/29.</w:t>
      </w:r>
    </w:p>
    <w:p w:rsidR="00FA3C8E" w:rsidRDefault="00FA3C8E" w:rsidP="00FA3C8E">
      <w:pPr>
        <w:spacing w:after="0" w:line="240" w:lineRule="auto"/>
        <w:contextualSpacing/>
        <w:rPr>
          <w:vertAlign w:val="superscript"/>
        </w:rPr>
      </w:pPr>
      <w:proofErr w:type="gramStart"/>
      <w:r w:rsidRPr="00346DBB">
        <w:rPr>
          <w:vertAlign w:val="superscript"/>
        </w:rPr>
        <w:t>k</w:t>
      </w:r>
      <w:proofErr w:type="gramEnd"/>
      <w:r w:rsidRPr="00346DBB">
        <w:rPr>
          <w:vertAlign w:val="superscript"/>
        </w:rPr>
        <w:t xml:space="preserve"> </w:t>
      </w:r>
      <w:r w:rsidRPr="00346DBB">
        <w:t>OA closed 9/1. CDQ opened from 9/1-9/9.</w:t>
      </w:r>
      <w:r w:rsidRPr="00024F54">
        <w:rPr>
          <w:vertAlign w:val="superscript"/>
        </w:rPr>
        <w:t xml:space="preserve"> </w:t>
      </w:r>
    </w:p>
    <w:p w:rsidR="00FA3C8E" w:rsidRDefault="00FA3C8E" w:rsidP="00FA3C8E">
      <w:pPr>
        <w:spacing w:after="0" w:line="240" w:lineRule="auto"/>
        <w:contextualSpacing/>
        <w:rPr>
          <w:vertAlign w:val="superscript"/>
        </w:rPr>
      </w:pPr>
      <w:proofErr w:type="gramStart"/>
      <w:r w:rsidRPr="00346DBB">
        <w:rPr>
          <w:vertAlign w:val="superscript"/>
        </w:rPr>
        <w:t>l</w:t>
      </w:r>
      <w:proofErr w:type="gramEnd"/>
      <w:r w:rsidRPr="00346DBB">
        <w:rPr>
          <w:vertAlign w:val="superscript"/>
        </w:rPr>
        <w:t xml:space="preserve"> </w:t>
      </w:r>
      <w:r w:rsidRPr="00346DBB">
        <w:t>OA opened 7/1-8/6. CDQ opened 6/15-6/28 and 8/9-9/3.</w:t>
      </w:r>
      <w:r w:rsidRPr="00024F54">
        <w:rPr>
          <w:vertAlign w:val="superscript"/>
        </w:rPr>
        <w:t xml:space="preserve"> </w:t>
      </w:r>
    </w:p>
    <w:p w:rsidR="00FA3C8E" w:rsidRDefault="00FA3C8E" w:rsidP="00FA3C8E">
      <w:pPr>
        <w:pStyle w:val="Table-Footnote"/>
        <w:ind w:left="0" w:firstLine="0"/>
      </w:pPr>
      <w:r>
        <w:rPr>
          <w:vertAlign w:val="superscript"/>
        </w:rPr>
        <w:t xml:space="preserve"> </w:t>
      </w:r>
      <w:proofErr w:type="gramStart"/>
      <w:r w:rsidRPr="00346DBB">
        <w:rPr>
          <w:vertAlign w:val="superscript"/>
        </w:rPr>
        <w:t>m</w:t>
      </w:r>
      <w:proofErr w:type="gramEnd"/>
      <w:r w:rsidRPr="00346DBB">
        <w:rPr>
          <w:vertAlign w:val="superscript"/>
        </w:rPr>
        <w:t xml:space="preserve"> </w:t>
      </w:r>
      <w:r w:rsidRPr="00346DBB">
        <w:t>OA opened 7/1-8/13. CDQ opened 6/15-6/28 and 8/15-8/24</w:t>
      </w:r>
      <w:r>
        <w:t>.</w:t>
      </w:r>
    </w:p>
    <w:p w:rsidR="00FA3C8E" w:rsidRDefault="00FA3C8E" w:rsidP="00FA3C8E">
      <w:pPr>
        <w:pStyle w:val="Table-Footnote"/>
      </w:pPr>
      <w:proofErr w:type="gramStart"/>
      <w:r w:rsidRPr="00346DBB">
        <w:rPr>
          <w:vertAlign w:val="superscript"/>
        </w:rPr>
        <w:t>n</w:t>
      </w:r>
      <w:proofErr w:type="gramEnd"/>
      <w:r w:rsidRPr="00346DBB">
        <w:t xml:space="preserve"> CDQ opened 6/15-6/28. OA opened 7/1 to the end date.</w:t>
      </w:r>
    </w:p>
    <w:p w:rsidR="00FA3C8E" w:rsidRPr="007F3415" w:rsidRDefault="00FA3C8E" w:rsidP="00FA3C8E">
      <w:pPr>
        <w:pStyle w:val="Table-Footnote"/>
      </w:pPr>
      <w:proofErr w:type="gramStart"/>
      <w:r w:rsidRPr="00346DBB">
        <w:rPr>
          <w:vertAlign w:val="superscript"/>
        </w:rPr>
        <w:t>o</w:t>
      </w:r>
      <w:proofErr w:type="gramEnd"/>
      <w:r w:rsidRPr="00346DBB">
        <w:t xml:space="preserve"> OA opened 7/1-8/15. CDQ opened 6/15-6/28 and 8/17-8/27.</w:t>
      </w:r>
    </w:p>
    <w:p w:rsidR="00FA3C8E" w:rsidRDefault="00FA3C8E" w:rsidP="00FA3C8E">
      <w:pPr>
        <w:pStyle w:val="Table-Footnote"/>
      </w:pPr>
      <w:proofErr w:type="gramStart"/>
      <w:r w:rsidRPr="00346DBB">
        <w:rPr>
          <w:vertAlign w:val="superscript"/>
        </w:rPr>
        <w:t>p</w:t>
      </w:r>
      <w:proofErr w:type="gramEnd"/>
      <w:r w:rsidRPr="00346DBB">
        <w:t xml:space="preserve"> OA opened 6/23-8/18. CDQ opened 8/17-9/3.</w:t>
      </w:r>
    </w:p>
    <w:p w:rsidR="00FA3C8E" w:rsidRDefault="00FA3C8E" w:rsidP="00FA3C8E">
      <w:pPr>
        <w:spacing w:after="0" w:line="240" w:lineRule="auto"/>
        <w:contextualSpacing/>
      </w:pPr>
      <w:r w:rsidRPr="00346DBB">
        <w:rPr>
          <w:vertAlign w:val="superscript"/>
        </w:rPr>
        <w:t>q</w:t>
      </w:r>
      <w:r w:rsidRPr="00346DBB">
        <w:t xml:space="preserve"> CDQ opened 6/15-7/28.</w:t>
      </w:r>
      <w:r>
        <w:t xml:space="preserve"> OA opened 6/15 </w:t>
      </w:r>
    </w:p>
    <w:p w:rsidR="00FA3C8E" w:rsidRPr="00FA3C8E" w:rsidRDefault="00FA3C8E" w:rsidP="00FA3C8E">
      <w:pPr>
        <w:pStyle w:val="Table-Footnote"/>
      </w:pPr>
      <w:proofErr w:type="gramStart"/>
      <w:r w:rsidRPr="00346DBB">
        <w:rPr>
          <w:vertAlign w:val="superscript"/>
        </w:rPr>
        <w:t>r</w:t>
      </w:r>
      <w:proofErr w:type="gramEnd"/>
      <w:r w:rsidRPr="00346DBB">
        <w:t xml:space="preserve"> CDQ opened 6/28-7/16. OA opened 7/1 </w:t>
      </w:r>
    </w:p>
    <w:p w:rsidR="00FA3C8E" w:rsidRPr="00FA3C8E" w:rsidRDefault="00FA3C8E" w:rsidP="00FA3C8E">
      <w:pPr>
        <w:pStyle w:val="Table-Footnote"/>
      </w:pPr>
      <w:proofErr w:type="gramStart"/>
      <w:r w:rsidRPr="00346DBB">
        <w:rPr>
          <w:vertAlign w:val="superscript"/>
        </w:rPr>
        <w:t>s</w:t>
      </w:r>
      <w:proofErr w:type="gramEnd"/>
      <w:r w:rsidRPr="00346DBB">
        <w:t xml:space="preserve"> CDQ opened 6/28-7/8. OA opened 6/28 </w:t>
      </w:r>
    </w:p>
    <w:p w:rsidR="00FA3C8E" w:rsidRPr="00FA3C8E" w:rsidRDefault="00FA3C8E" w:rsidP="00FA3C8E">
      <w:pPr>
        <w:pStyle w:val="Table-Footnote"/>
      </w:pPr>
      <w:proofErr w:type="gramStart"/>
      <w:r w:rsidRPr="00346DBB">
        <w:rPr>
          <w:vertAlign w:val="superscript"/>
        </w:rPr>
        <w:t>t</w:t>
      </w:r>
      <w:proofErr w:type="gramEnd"/>
      <w:r w:rsidRPr="00346DBB">
        <w:rPr>
          <w:vertAlign w:val="superscript"/>
        </w:rPr>
        <w:t xml:space="preserve"> </w:t>
      </w:r>
      <w:r w:rsidRPr="00346DBB">
        <w:t>CDQ opened 6/29. OA opened 6/29-8/11.</w:t>
      </w:r>
    </w:p>
    <w:p w:rsidR="00FA3C8E" w:rsidRPr="00FA3C8E" w:rsidRDefault="00FA3C8E" w:rsidP="00FA3C8E">
      <w:pPr>
        <w:pStyle w:val="Table-Footnote"/>
        <w:rPr>
          <w:vertAlign w:val="superscript"/>
        </w:rPr>
      </w:pPr>
      <w:proofErr w:type="gramStart"/>
      <w:r w:rsidRPr="00346DBB">
        <w:rPr>
          <w:vertAlign w:val="superscript"/>
        </w:rPr>
        <w:t>u</w:t>
      </w:r>
      <w:proofErr w:type="gramEnd"/>
      <w:r w:rsidRPr="00346DBB">
        <w:rPr>
          <w:vertAlign w:val="superscript"/>
        </w:rPr>
        <w:t xml:space="preserve"> </w:t>
      </w:r>
      <w:r w:rsidRPr="00346DBB">
        <w:t>CDQ and OA</w:t>
      </w:r>
      <w:r>
        <w:t xml:space="preserve"> opened and closed at same time</w:t>
      </w:r>
    </w:p>
    <w:p w:rsidR="00FA3C8E" w:rsidRDefault="00FA3C8E" w:rsidP="00FA3C8E">
      <w:pPr>
        <w:pStyle w:val="Table-Footnote"/>
        <w:rPr>
          <w:vertAlign w:val="superscript"/>
        </w:rPr>
      </w:pPr>
      <w:r>
        <w:rPr>
          <w:vertAlign w:val="superscript"/>
        </w:rPr>
        <w:tab/>
      </w:r>
    </w:p>
    <w:p w:rsidR="00FA3C8E" w:rsidRDefault="00FA3C8E" w:rsidP="00FA3C8E">
      <w:pPr>
        <w:pStyle w:val="Table-Footnote"/>
        <w:rPr>
          <w:vertAlign w:val="superscript"/>
        </w:rPr>
      </w:pPr>
      <w:r>
        <w:rPr>
          <w:vertAlign w:val="superscript"/>
        </w:rPr>
        <w:tab/>
      </w:r>
      <w:r>
        <w:rPr>
          <w:vertAlign w:val="superscript"/>
        </w:rPr>
        <w:tab/>
      </w:r>
    </w:p>
    <w:p w:rsidR="00FA3C8E" w:rsidRPr="00B0390E" w:rsidRDefault="00FA3C8E" w:rsidP="00B0390E">
      <w:pPr>
        <w:pStyle w:val="Table-Footnote"/>
        <w:ind w:left="0" w:firstLine="0"/>
        <w:rPr>
          <w:vertAlign w:val="superscript"/>
        </w:rPr>
        <w:sectPr w:rsidR="00FA3C8E" w:rsidRPr="00B0390E">
          <w:headerReference w:type="default" r:id="rId15"/>
          <w:footerReference w:type="default" r:id="rId16"/>
          <w:pgSz w:w="12240" w:h="15840"/>
          <w:pgMar w:top="1440" w:right="1440" w:bottom="1440" w:left="1440" w:header="720" w:footer="720" w:gutter="0"/>
          <w:cols w:space="720"/>
          <w:docGrid w:linePitch="360"/>
        </w:sectPr>
      </w:pPr>
    </w:p>
    <w:p w:rsidR="00B0390E" w:rsidRDefault="00B0390E" w:rsidP="006D0021">
      <w:pPr>
        <w:pStyle w:val="Heading1"/>
        <w:rPr>
          <w:szCs w:val="24"/>
        </w:rPr>
      </w:pPr>
      <w:bookmarkStart w:id="7" w:name="_Toc386441129"/>
      <w:r>
        <w:lastRenderedPageBreak/>
        <w:t xml:space="preserve">APPENDIX B. </w:t>
      </w:r>
      <w:r w:rsidRPr="009B2901">
        <w:rPr>
          <w:szCs w:val="24"/>
        </w:rPr>
        <w:t xml:space="preserve">Count of active licenses </w:t>
      </w:r>
      <w:r>
        <w:rPr>
          <w:szCs w:val="24"/>
        </w:rPr>
        <w:t xml:space="preserve">out of 62 </w:t>
      </w:r>
      <w:r w:rsidRPr="009B2901">
        <w:rPr>
          <w:szCs w:val="24"/>
        </w:rPr>
        <w:t>and count of vessel</w:t>
      </w:r>
      <w:r>
        <w:rPr>
          <w:szCs w:val="24"/>
        </w:rPr>
        <w:t>s</w:t>
      </w:r>
      <w:r w:rsidRPr="009B2901">
        <w:rPr>
          <w:szCs w:val="24"/>
        </w:rPr>
        <w:t xml:space="preserve"> participating in the NSRKC fishery 2008-2012</w:t>
      </w:r>
      <w:r>
        <w:rPr>
          <w:szCs w:val="24"/>
        </w:rPr>
        <w:t>*</w:t>
      </w:r>
      <w:bookmarkEnd w:id="7"/>
    </w:p>
    <w:p w:rsidR="00B0390E" w:rsidRDefault="001F1D53" w:rsidP="00B0390E">
      <w:pPr>
        <w:spacing w:after="0"/>
        <w:contextualSpacing/>
        <w:rPr>
          <w:rFonts w:cs="Times New Roman"/>
        </w:rPr>
      </w:pPr>
      <w:r w:rsidRPr="001F1D53">
        <w:rPr>
          <w:noProof/>
        </w:rPr>
        <w:drawing>
          <wp:inline distT="0" distB="0" distL="0" distR="0" wp14:anchorId="4CDE50FE" wp14:editId="07D5F6BF">
            <wp:extent cx="8229600" cy="271346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2713469"/>
                    </a:xfrm>
                    <a:prstGeom prst="rect">
                      <a:avLst/>
                    </a:prstGeom>
                    <a:noFill/>
                    <a:ln>
                      <a:noFill/>
                    </a:ln>
                  </pic:spPr>
                </pic:pic>
              </a:graphicData>
            </a:graphic>
          </wp:inline>
        </w:drawing>
      </w:r>
    </w:p>
    <w:p w:rsidR="00B0390E" w:rsidRDefault="00B0390E" w:rsidP="00B0390E">
      <w:pPr>
        <w:spacing w:after="0"/>
        <w:contextualSpacing/>
        <w:rPr>
          <w:rFonts w:cs="Times New Roman"/>
        </w:rPr>
      </w:pPr>
      <w:r>
        <w:rPr>
          <w:rFonts w:cs="Times New Roman"/>
        </w:rPr>
        <w:t>Source: ADF&amp;G Fish Ticket</w:t>
      </w:r>
    </w:p>
    <w:p w:rsidR="00B0390E" w:rsidRPr="006D4BAC" w:rsidRDefault="00B0390E" w:rsidP="00B0390E">
      <w:pPr>
        <w:spacing w:after="0"/>
        <w:contextualSpacing/>
        <w:rPr>
          <w:rFonts w:cs="Times New Roman"/>
        </w:rPr>
      </w:pPr>
      <w:r>
        <w:rPr>
          <w:rFonts w:cs="Times New Roman"/>
        </w:rPr>
        <w:t>*One LLP license may be used on more than one vessel in a given fishing year</w:t>
      </w:r>
      <w:r w:rsidR="001A18C2">
        <w:rPr>
          <w:rFonts w:cs="Times New Roman"/>
        </w:rPr>
        <w:t xml:space="preserve">. Conversely, one vessel may have fished with more than one license in one year. </w:t>
      </w:r>
    </w:p>
    <w:p w:rsidR="00B0390E" w:rsidRPr="00B0390E" w:rsidRDefault="00B0390E" w:rsidP="00B0390E"/>
    <w:sectPr w:rsidR="00B0390E" w:rsidRPr="00B0390E" w:rsidSect="009B290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82B" w:rsidRDefault="0070682B" w:rsidP="0070682B">
      <w:pPr>
        <w:spacing w:after="0" w:line="240" w:lineRule="auto"/>
      </w:pPr>
      <w:r>
        <w:separator/>
      </w:r>
    </w:p>
  </w:endnote>
  <w:endnote w:type="continuationSeparator" w:id="0">
    <w:p w:rsidR="0070682B" w:rsidRDefault="0070682B" w:rsidP="0070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67308"/>
      <w:docPartObj>
        <w:docPartGallery w:val="Page Numbers (Bottom of Page)"/>
        <w:docPartUnique/>
      </w:docPartObj>
    </w:sdtPr>
    <w:sdtEndPr>
      <w:rPr>
        <w:noProof/>
      </w:rPr>
    </w:sdtEndPr>
    <w:sdtContent>
      <w:p w:rsidR="0081147D" w:rsidRDefault="0081147D">
        <w:pPr>
          <w:pStyle w:val="Footer"/>
          <w:jc w:val="right"/>
        </w:pPr>
        <w:r>
          <w:fldChar w:fldCharType="begin"/>
        </w:r>
        <w:r>
          <w:instrText xml:space="preserve"> PAGE   \* MERGEFORMAT </w:instrText>
        </w:r>
        <w:r>
          <w:fldChar w:fldCharType="separate"/>
        </w:r>
        <w:r w:rsidR="00D8788C">
          <w:rPr>
            <w:noProof/>
          </w:rPr>
          <w:t>1</w:t>
        </w:r>
        <w:r>
          <w:rPr>
            <w:noProof/>
          </w:rPr>
          <w:fldChar w:fldCharType="end"/>
        </w:r>
      </w:p>
    </w:sdtContent>
  </w:sdt>
  <w:p w:rsidR="0081147D" w:rsidRDefault="00811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82B" w:rsidRDefault="0070682B" w:rsidP="0070682B">
      <w:pPr>
        <w:spacing w:after="0" w:line="240" w:lineRule="auto"/>
      </w:pPr>
      <w:r>
        <w:separator/>
      </w:r>
    </w:p>
  </w:footnote>
  <w:footnote w:type="continuationSeparator" w:id="0">
    <w:p w:rsidR="0070682B" w:rsidRDefault="0070682B" w:rsidP="0070682B">
      <w:pPr>
        <w:spacing w:after="0" w:line="240" w:lineRule="auto"/>
      </w:pPr>
      <w:r>
        <w:continuationSeparator/>
      </w:r>
    </w:p>
  </w:footnote>
  <w:footnote w:id="1">
    <w:p w:rsidR="00B0390E" w:rsidRDefault="00B0390E">
      <w:pPr>
        <w:pStyle w:val="FootnoteText"/>
      </w:pPr>
      <w:r>
        <w:rPr>
          <w:rStyle w:val="FootnoteReference"/>
        </w:rPr>
        <w:footnoteRef/>
      </w:r>
      <w:r>
        <w:t xml:space="preserve"> Prepared by Sarah </w:t>
      </w:r>
      <w:proofErr w:type="spellStart"/>
      <w:r>
        <w:t>Marrinan</w:t>
      </w:r>
      <w:proofErr w:type="spellEnd"/>
      <w:r>
        <w:t>, NPFMC Staff; Mike Fey, AKFIN</w:t>
      </w:r>
    </w:p>
  </w:footnote>
  <w:footnote w:id="2">
    <w:p w:rsidR="00A34252" w:rsidRPr="00CA0498" w:rsidRDefault="00A34252">
      <w:pPr>
        <w:pStyle w:val="FootnoteText"/>
      </w:pPr>
      <w:r w:rsidRPr="00CA0498">
        <w:rPr>
          <w:rStyle w:val="FootnoteReference"/>
        </w:rPr>
        <w:footnoteRef/>
      </w:r>
      <w:r w:rsidRPr="00CA0498">
        <w:t xml:space="preserve"> See Kent and Bell (2013) for more detailed description of the subsistence activity.</w:t>
      </w:r>
    </w:p>
  </w:footnote>
  <w:footnote w:id="3">
    <w:p w:rsidR="003F6D33" w:rsidRDefault="003F6D33">
      <w:pPr>
        <w:pStyle w:val="FootnoteText"/>
      </w:pPr>
      <w:r w:rsidRPr="00CA0498">
        <w:rPr>
          <w:rStyle w:val="FootnoteReference"/>
        </w:rPr>
        <w:footnoteRef/>
      </w:r>
      <w:r w:rsidRPr="00CA0498">
        <w:t xml:space="preserve"> For qualitative evidence, see Kent and Bell (2013).</w:t>
      </w:r>
    </w:p>
  </w:footnote>
  <w:footnote w:id="4">
    <w:p w:rsidR="0087664C" w:rsidRDefault="0087664C">
      <w:pPr>
        <w:pStyle w:val="FootnoteText"/>
      </w:pPr>
      <w:r>
        <w:rPr>
          <w:rStyle w:val="FootnoteReference"/>
        </w:rPr>
        <w:footnoteRef/>
      </w:r>
      <w:r>
        <w:t xml:space="preserve"> No summer fishery occurred in 1991 due to lack of staff to </w:t>
      </w:r>
      <w:r w:rsidRPr="00CA0498">
        <w:t>manage the fishery (</w:t>
      </w:r>
      <w:proofErr w:type="spellStart"/>
      <w:r w:rsidRPr="00CA0498">
        <w:rPr>
          <w:rFonts w:cs="Times New Roman"/>
        </w:rPr>
        <w:t>Hamazaki</w:t>
      </w:r>
      <w:proofErr w:type="spellEnd"/>
      <w:r w:rsidRPr="00CA0498">
        <w:rPr>
          <w:rFonts w:cs="Times New Roman"/>
        </w:rPr>
        <w:t xml:space="preserve"> </w:t>
      </w:r>
      <w:r w:rsidR="009D2E3F" w:rsidRPr="00CA0498">
        <w:rPr>
          <w:rFonts w:cs="Times New Roman"/>
        </w:rPr>
        <w:t>&amp; Zheng</w:t>
      </w:r>
      <w:r w:rsidRPr="00CA0498">
        <w:rPr>
          <w:rFonts w:cs="Times New Roman"/>
        </w:rPr>
        <w:t xml:space="preserve"> 2013).</w:t>
      </w:r>
    </w:p>
  </w:footnote>
  <w:footnote w:id="5">
    <w:p w:rsidR="00A16637" w:rsidRDefault="00A16637">
      <w:pPr>
        <w:pStyle w:val="FootnoteText"/>
      </w:pPr>
      <w:r>
        <w:rPr>
          <w:rStyle w:val="FootnoteReference"/>
        </w:rPr>
        <w:footnoteRef/>
      </w:r>
      <w:r>
        <w:t xml:space="preserve"> </w:t>
      </w:r>
      <w:r w:rsidRPr="00633199">
        <w:t>50 CFR </w:t>
      </w:r>
      <w:r>
        <w:rPr>
          <w:rFonts w:cs="Times New Roman"/>
        </w:rPr>
        <w:t xml:space="preserve">§ </w:t>
      </w:r>
      <w:r>
        <w:t>679.4(k)(1)</w:t>
      </w:r>
      <w:r w:rsidRPr="00633199">
        <w:t>(ii)</w:t>
      </w:r>
      <w:r>
        <w:t xml:space="preserve">  </w:t>
      </w:r>
    </w:p>
  </w:footnote>
  <w:footnote w:id="6">
    <w:p w:rsidR="003C663E" w:rsidRDefault="003C663E">
      <w:pPr>
        <w:pStyle w:val="FootnoteText"/>
      </w:pPr>
      <w:r>
        <w:rPr>
          <w:rStyle w:val="FootnoteReference"/>
        </w:rPr>
        <w:footnoteRef/>
      </w:r>
      <w:r>
        <w:t xml:space="preserve"> </w:t>
      </w:r>
      <w:r>
        <w:rPr>
          <w:rFonts w:cs="Times New Roman"/>
        </w:rPr>
        <w:t xml:space="preserve">Appendix A includes the full dataset for </w:t>
      </w:r>
      <w:r w:rsidR="004D73F7">
        <w:rPr>
          <w:rFonts w:cs="Times New Roman"/>
        </w:rPr>
        <w:t xml:space="preserve">summer </w:t>
      </w:r>
      <w:r>
        <w:rPr>
          <w:rFonts w:cs="Times New Roman"/>
        </w:rPr>
        <w:t>GHL versus</w:t>
      </w:r>
      <w:r w:rsidR="004D73F7">
        <w:rPr>
          <w:rFonts w:cs="Times New Roman"/>
        </w:rPr>
        <w:t xml:space="preserve"> summer</w:t>
      </w:r>
      <w:r>
        <w:rPr>
          <w:rFonts w:cs="Times New Roman"/>
        </w:rPr>
        <w:t xml:space="preserve"> harvest between 1977 and 2013.</w:t>
      </w:r>
    </w:p>
  </w:footnote>
  <w:footnote w:id="7">
    <w:p w:rsidR="0034250B" w:rsidRDefault="0034250B">
      <w:pPr>
        <w:pStyle w:val="FootnoteText"/>
      </w:pPr>
      <w:r>
        <w:rPr>
          <w:rStyle w:val="FootnoteReference"/>
        </w:rPr>
        <w:footnoteRef/>
      </w:r>
      <w:r>
        <w:t xml:space="preserve"> RAM records indicate that there may have been</w:t>
      </w:r>
      <w:r w:rsidR="003C3029">
        <w:t xml:space="preserve"> up to</w:t>
      </w:r>
      <w:r>
        <w:t xml:space="preserve"> 65 at the onset of the program; however, there have been 62 licenses registered with RAM </w:t>
      </w:r>
      <w:r w:rsidR="004D73F7">
        <w:t xml:space="preserve">consistently </w:t>
      </w:r>
      <w:r>
        <w:t>since 2004.</w:t>
      </w:r>
    </w:p>
  </w:footnote>
  <w:footnote w:id="8">
    <w:p w:rsidR="00DC5547" w:rsidRDefault="00DC5547">
      <w:pPr>
        <w:pStyle w:val="FootnoteText"/>
      </w:pPr>
      <w:r>
        <w:rPr>
          <w:rStyle w:val="FootnoteReference"/>
        </w:rPr>
        <w:footnoteRef/>
      </w:r>
      <w:r>
        <w:t xml:space="preserve"> CFR 50 </w:t>
      </w:r>
      <w:r>
        <w:rPr>
          <w:rFonts w:cs="Times New Roman"/>
        </w:rPr>
        <w:t>§</w:t>
      </w:r>
      <w:r>
        <w:t xml:space="preserve"> 679.4(k</w:t>
      </w:r>
      <w:proofErr w:type="gramStart"/>
      <w:r>
        <w:t>)(</w:t>
      </w:r>
      <w:proofErr w:type="gramEnd"/>
      <w:r>
        <w:t>2)</w:t>
      </w:r>
      <w:r w:rsidRPr="00633199">
        <w:t>(ii)</w:t>
      </w:r>
      <w:r>
        <w:t>.</w:t>
      </w:r>
    </w:p>
  </w:footnote>
  <w:footnote w:id="9">
    <w:p w:rsidR="00670F49" w:rsidRDefault="00670F49">
      <w:pPr>
        <w:pStyle w:val="FootnoteText"/>
      </w:pPr>
      <w:r>
        <w:rPr>
          <w:rStyle w:val="FootnoteReference"/>
        </w:rPr>
        <w:footnoteRef/>
      </w:r>
      <w:r>
        <w:t xml:space="preserve"> Appendix B illustrates the full dataset of </w:t>
      </w:r>
      <w:r w:rsidR="00453E5C">
        <w:t xml:space="preserve">active licenses and corresponding vessels compared to the 62 available licenses.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D31A7B">
      <w:trPr>
        <w:trHeight w:val="288"/>
      </w:trPr>
      <w:sdt>
        <w:sdtPr>
          <w:rPr>
            <w:rFonts w:asciiTheme="majorHAnsi" w:eastAsiaTheme="majorEastAsia" w:hAnsiTheme="majorHAnsi" w:cstheme="majorBidi"/>
            <w:color w:val="FF0000"/>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D31A7B" w:rsidRDefault="00D31A7B">
              <w:pPr>
                <w:pStyle w:val="Header"/>
                <w:jc w:val="right"/>
                <w:rPr>
                  <w:rFonts w:asciiTheme="majorHAnsi" w:eastAsiaTheme="majorEastAsia" w:hAnsiTheme="majorHAnsi" w:cstheme="majorBidi"/>
                  <w:sz w:val="36"/>
                  <w:szCs w:val="36"/>
                </w:rPr>
              </w:pPr>
              <w:r w:rsidRPr="00D31A7B">
                <w:rPr>
                  <w:rFonts w:asciiTheme="majorHAnsi" w:eastAsiaTheme="majorEastAsia" w:hAnsiTheme="majorHAnsi" w:cstheme="majorBidi"/>
                  <w:color w:val="FF0000"/>
                </w:rPr>
                <w:t>DRAFT FOR PLAN TEAM REVIEW ONLY</w:t>
              </w:r>
            </w:p>
          </w:tc>
        </w:sdtContent>
      </w:sdt>
      <w:tc>
        <w:tcPr>
          <w:tcW w:w="1105" w:type="dxa"/>
        </w:tcPr>
        <w:p w:rsidR="00D31A7B" w:rsidRPr="0081147D" w:rsidRDefault="0081147D" w:rsidP="00D31A7B">
          <w:pPr>
            <w:pStyle w:val="Header"/>
            <w:rPr>
              <w:rFonts w:asciiTheme="minorHAnsi" w:eastAsiaTheme="majorEastAsia" w:hAnsiTheme="minorHAnsi" w:cstheme="majorBidi"/>
              <w:bCs/>
              <w:color w:val="4F81BD" w:themeColor="accent1"/>
              <w14:numForm w14:val="oldStyle"/>
            </w:rPr>
          </w:pPr>
          <w:r w:rsidRPr="0081147D">
            <w:rPr>
              <w:rFonts w:asciiTheme="minorHAnsi" w:eastAsiaTheme="majorEastAsia" w:hAnsiTheme="minorHAnsi" w:cstheme="majorBidi"/>
              <w:bCs/>
              <w:color w:val="FF0000"/>
              <w14:numForm w14:val="oldStyle"/>
            </w:rPr>
            <w:t>4.26.14</w:t>
          </w:r>
        </w:p>
      </w:tc>
    </w:tr>
  </w:tbl>
  <w:p w:rsidR="00D31A7B" w:rsidRDefault="00D31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3C2F"/>
    <w:multiLevelType w:val="hybridMultilevel"/>
    <w:tmpl w:val="D6BC9ACC"/>
    <w:lvl w:ilvl="0" w:tplc="E60AC2F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84"/>
    <w:rsid w:val="00027D16"/>
    <w:rsid w:val="0006757C"/>
    <w:rsid w:val="00092AFB"/>
    <w:rsid w:val="000A3121"/>
    <w:rsid w:val="000C0153"/>
    <w:rsid w:val="000F4366"/>
    <w:rsid w:val="000F4C4E"/>
    <w:rsid w:val="000F7FA9"/>
    <w:rsid w:val="001137AA"/>
    <w:rsid w:val="00123A24"/>
    <w:rsid w:val="00130628"/>
    <w:rsid w:val="00146C7B"/>
    <w:rsid w:val="001A18C2"/>
    <w:rsid w:val="001F1D42"/>
    <w:rsid w:val="001F1D53"/>
    <w:rsid w:val="00230D3A"/>
    <w:rsid w:val="00242358"/>
    <w:rsid w:val="00262702"/>
    <w:rsid w:val="0028745E"/>
    <w:rsid w:val="002D4DFF"/>
    <w:rsid w:val="002D64E1"/>
    <w:rsid w:val="002E1332"/>
    <w:rsid w:val="003145C1"/>
    <w:rsid w:val="00327176"/>
    <w:rsid w:val="0034250B"/>
    <w:rsid w:val="00350DF9"/>
    <w:rsid w:val="00351112"/>
    <w:rsid w:val="0036306E"/>
    <w:rsid w:val="00383E59"/>
    <w:rsid w:val="003851D0"/>
    <w:rsid w:val="00391651"/>
    <w:rsid w:val="003C3029"/>
    <w:rsid w:val="003C663E"/>
    <w:rsid w:val="003C75D3"/>
    <w:rsid w:val="003D7453"/>
    <w:rsid w:val="003E0B37"/>
    <w:rsid w:val="003F6D33"/>
    <w:rsid w:val="0040008B"/>
    <w:rsid w:val="00415C2D"/>
    <w:rsid w:val="00453E5C"/>
    <w:rsid w:val="004901CD"/>
    <w:rsid w:val="004A6784"/>
    <w:rsid w:val="004B0B95"/>
    <w:rsid w:val="004D6F2C"/>
    <w:rsid w:val="004D73F7"/>
    <w:rsid w:val="004F6174"/>
    <w:rsid w:val="005774B1"/>
    <w:rsid w:val="005919E3"/>
    <w:rsid w:val="005C6DED"/>
    <w:rsid w:val="005D1523"/>
    <w:rsid w:val="005D3D22"/>
    <w:rsid w:val="00633199"/>
    <w:rsid w:val="0063710B"/>
    <w:rsid w:val="00670F49"/>
    <w:rsid w:val="006D0021"/>
    <w:rsid w:val="006D4BAC"/>
    <w:rsid w:val="006D79FE"/>
    <w:rsid w:val="007057C1"/>
    <w:rsid w:val="0070682B"/>
    <w:rsid w:val="00722B0C"/>
    <w:rsid w:val="0072716F"/>
    <w:rsid w:val="007514C2"/>
    <w:rsid w:val="007A5055"/>
    <w:rsid w:val="007B7330"/>
    <w:rsid w:val="0081147D"/>
    <w:rsid w:val="00816DC4"/>
    <w:rsid w:val="00844216"/>
    <w:rsid w:val="008677D3"/>
    <w:rsid w:val="0087664C"/>
    <w:rsid w:val="0087714D"/>
    <w:rsid w:val="0088060C"/>
    <w:rsid w:val="00890D79"/>
    <w:rsid w:val="008C7182"/>
    <w:rsid w:val="008E351D"/>
    <w:rsid w:val="0090562A"/>
    <w:rsid w:val="0092434F"/>
    <w:rsid w:val="009447BB"/>
    <w:rsid w:val="00976BFA"/>
    <w:rsid w:val="0099026A"/>
    <w:rsid w:val="009B2901"/>
    <w:rsid w:val="009D2E3F"/>
    <w:rsid w:val="009D5167"/>
    <w:rsid w:val="00A12B25"/>
    <w:rsid w:val="00A12CA5"/>
    <w:rsid w:val="00A16637"/>
    <w:rsid w:val="00A34252"/>
    <w:rsid w:val="00A57918"/>
    <w:rsid w:val="00A83EFB"/>
    <w:rsid w:val="00AA0A15"/>
    <w:rsid w:val="00AB2525"/>
    <w:rsid w:val="00B0390E"/>
    <w:rsid w:val="00B113E2"/>
    <w:rsid w:val="00B130C6"/>
    <w:rsid w:val="00B40038"/>
    <w:rsid w:val="00B41DA7"/>
    <w:rsid w:val="00B60C09"/>
    <w:rsid w:val="00B70BD3"/>
    <w:rsid w:val="00B85140"/>
    <w:rsid w:val="00BD0BE4"/>
    <w:rsid w:val="00BE0D35"/>
    <w:rsid w:val="00BF3979"/>
    <w:rsid w:val="00C04411"/>
    <w:rsid w:val="00C31A34"/>
    <w:rsid w:val="00C446A0"/>
    <w:rsid w:val="00C45AC1"/>
    <w:rsid w:val="00C572EB"/>
    <w:rsid w:val="00C77F27"/>
    <w:rsid w:val="00C84B43"/>
    <w:rsid w:val="00CA0498"/>
    <w:rsid w:val="00CA31D6"/>
    <w:rsid w:val="00CE6EF0"/>
    <w:rsid w:val="00CF6C38"/>
    <w:rsid w:val="00D31A7B"/>
    <w:rsid w:val="00D50D15"/>
    <w:rsid w:val="00D73A69"/>
    <w:rsid w:val="00D772B8"/>
    <w:rsid w:val="00D8788C"/>
    <w:rsid w:val="00DA5149"/>
    <w:rsid w:val="00DB1E12"/>
    <w:rsid w:val="00DB6C1D"/>
    <w:rsid w:val="00DC5547"/>
    <w:rsid w:val="00DD0AB2"/>
    <w:rsid w:val="00E11D71"/>
    <w:rsid w:val="00E85D4D"/>
    <w:rsid w:val="00E91FF5"/>
    <w:rsid w:val="00E93BC0"/>
    <w:rsid w:val="00E96469"/>
    <w:rsid w:val="00EA6723"/>
    <w:rsid w:val="00EB1CF3"/>
    <w:rsid w:val="00EF096D"/>
    <w:rsid w:val="00EF415C"/>
    <w:rsid w:val="00EF487C"/>
    <w:rsid w:val="00FA3C8E"/>
    <w:rsid w:val="00FA4254"/>
    <w:rsid w:val="00FD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D42"/>
    <w:rPr>
      <w:rFonts w:ascii="Times New Roman" w:hAnsi="Times New Roman"/>
    </w:rPr>
  </w:style>
  <w:style w:type="paragraph" w:styleId="Heading1">
    <w:name w:val="heading 1"/>
    <w:basedOn w:val="Normal"/>
    <w:next w:val="Normal"/>
    <w:link w:val="Heading1Char"/>
    <w:uiPriority w:val="9"/>
    <w:qFormat/>
    <w:rsid w:val="006D0021"/>
    <w:pPr>
      <w:spacing w:after="120" w:line="240" w:lineRule="auto"/>
      <w:outlineLvl w:val="0"/>
    </w:pPr>
    <w:rPr>
      <w:rFonts w:cs="Times New Roman"/>
      <w:b/>
      <w:sz w:val="24"/>
    </w:rPr>
  </w:style>
  <w:style w:type="paragraph" w:styleId="Heading2">
    <w:name w:val="heading 2"/>
    <w:basedOn w:val="Heading1"/>
    <w:next w:val="Normal"/>
    <w:link w:val="Heading2Char"/>
    <w:uiPriority w:val="9"/>
    <w:unhideWhenUsed/>
    <w:qFormat/>
    <w:rsid w:val="00B40038"/>
    <w:pPr>
      <w:outlineLvl w:val="1"/>
    </w:pPr>
    <w:rPr>
      <w:sz w:val="22"/>
    </w:rPr>
  </w:style>
  <w:style w:type="paragraph" w:styleId="Heading3">
    <w:name w:val="heading 3"/>
    <w:basedOn w:val="Normal"/>
    <w:next w:val="Normal"/>
    <w:link w:val="Heading3Char"/>
    <w:uiPriority w:val="9"/>
    <w:unhideWhenUsed/>
    <w:qFormat/>
    <w:rsid w:val="0092434F"/>
    <w:pPr>
      <w:outlineLvl w:val="2"/>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EF0"/>
    <w:pPr>
      <w:ind w:left="720"/>
      <w:contextualSpacing/>
    </w:pPr>
  </w:style>
  <w:style w:type="character" w:customStyle="1" w:styleId="Heading1Char">
    <w:name w:val="Heading 1 Char"/>
    <w:basedOn w:val="DefaultParagraphFont"/>
    <w:link w:val="Heading1"/>
    <w:uiPriority w:val="9"/>
    <w:rsid w:val="006D0021"/>
    <w:rPr>
      <w:rFonts w:ascii="Times New Roman" w:hAnsi="Times New Roman" w:cs="Times New Roman"/>
      <w:b/>
      <w:sz w:val="24"/>
    </w:rPr>
  </w:style>
  <w:style w:type="paragraph" w:styleId="TOCHeading">
    <w:name w:val="TOC Heading"/>
    <w:basedOn w:val="Heading1"/>
    <w:next w:val="Normal"/>
    <w:uiPriority w:val="39"/>
    <w:unhideWhenUsed/>
    <w:qFormat/>
    <w:rsid w:val="006D4BAC"/>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1">
    <w:name w:val="toc 1"/>
    <w:basedOn w:val="Normal"/>
    <w:next w:val="Normal"/>
    <w:autoRedefine/>
    <w:uiPriority w:val="39"/>
    <w:unhideWhenUsed/>
    <w:rsid w:val="006D4BAC"/>
    <w:pPr>
      <w:spacing w:after="100"/>
    </w:pPr>
  </w:style>
  <w:style w:type="character" w:styleId="Hyperlink">
    <w:name w:val="Hyperlink"/>
    <w:basedOn w:val="DefaultParagraphFont"/>
    <w:uiPriority w:val="99"/>
    <w:unhideWhenUsed/>
    <w:rsid w:val="006D4BAC"/>
    <w:rPr>
      <w:color w:val="0000FF" w:themeColor="hyperlink"/>
      <w:u w:val="single"/>
    </w:rPr>
  </w:style>
  <w:style w:type="paragraph" w:styleId="BalloonText">
    <w:name w:val="Balloon Text"/>
    <w:basedOn w:val="Normal"/>
    <w:link w:val="BalloonTextChar"/>
    <w:uiPriority w:val="99"/>
    <w:semiHidden/>
    <w:unhideWhenUsed/>
    <w:rsid w:val="006D4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BAC"/>
    <w:rPr>
      <w:rFonts w:ascii="Tahoma" w:hAnsi="Tahoma" w:cs="Tahoma"/>
      <w:sz w:val="16"/>
      <w:szCs w:val="16"/>
    </w:rPr>
  </w:style>
  <w:style w:type="character" w:customStyle="1" w:styleId="Heading2Char">
    <w:name w:val="Heading 2 Char"/>
    <w:basedOn w:val="DefaultParagraphFont"/>
    <w:link w:val="Heading2"/>
    <w:uiPriority w:val="9"/>
    <w:rsid w:val="00B40038"/>
    <w:rPr>
      <w:rFonts w:ascii="Times New Roman" w:hAnsi="Times New Roman" w:cs="Times New Roman"/>
      <w:b/>
    </w:rPr>
  </w:style>
  <w:style w:type="character" w:customStyle="1" w:styleId="Heading3Char">
    <w:name w:val="Heading 3 Char"/>
    <w:basedOn w:val="DefaultParagraphFont"/>
    <w:link w:val="Heading3"/>
    <w:uiPriority w:val="9"/>
    <w:rsid w:val="0092434F"/>
    <w:rPr>
      <w:rFonts w:ascii="Times New Roman" w:hAnsi="Times New Roman" w:cs="Times New Roman"/>
      <w:i/>
    </w:rPr>
  </w:style>
  <w:style w:type="character" w:customStyle="1" w:styleId="apple-converted-space">
    <w:name w:val="apple-converted-space"/>
    <w:basedOn w:val="DefaultParagraphFont"/>
    <w:rsid w:val="00633199"/>
  </w:style>
  <w:style w:type="paragraph" w:styleId="Caption">
    <w:name w:val="caption"/>
    <w:basedOn w:val="Normal"/>
    <w:next w:val="Normal"/>
    <w:uiPriority w:val="35"/>
    <w:unhideWhenUsed/>
    <w:qFormat/>
    <w:rsid w:val="002E1332"/>
    <w:pPr>
      <w:spacing w:line="240" w:lineRule="auto"/>
    </w:pPr>
    <w:rPr>
      <w:b/>
      <w:bCs/>
      <w:sz w:val="20"/>
      <w:szCs w:val="18"/>
    </w:rPr>
  </w:style>
  <w:style w:type="paragraph" w:styleId="FootnoteText">
    <w:name w:val="footnote text"/>
    <w:basedOn w:val="Normal"/>
    <w:link w:val="FootnoteTextChar"/>
    <w:uiPriority w:val="99"/>
    <w:semiHidden/>
    <w:unhideWhenUsed/>
    <w:rsid w:val="003425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50B"/>
    <w:rPr>
      <w:rFonts w:ascii="Times New Roman" w:hAnsi="Times New Roman"/>
      <w:sz w:val="20"/>
      <w:szCs w:val="20"/>
    </w:rPr>
  </w:style>
  <w:style w:type="character" w:styleId="FootnoteReference">
    <w:name w:val="footnote reference"/>
    <w:basedOn w:val="DefaultParagraphFont"/>
    <w:uiPriority w:val="99"/>
    <w:semiHidden/>
    <w:unhideWhenUsed/>
    <w:rsid w:val="0034250B"/>
    <w:rPr>
      <w:vertAlign w:val="superscript"/>
    </w:rPr>
  </w:style>
  <w:style w:type="table" w:styleId="TableGrid">
    <w:name w:val="Table Grid"/>
    <w:basedOn w:val="TableNormal"/>
    <w:uiPriority w:val="59"/>
    <w:rsid w:val="00C31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OPg-Citation">
    <w:name w:val="OEO Pg-Citation"/>
    <w:basedOn w:val="Normal"/>
    <w:rsid w:val="00415C2D"/>
    <w:pPr>
      <w:framePr w:hSpace="187" w:wrap="around" w:hAnchor="margin" w:yAlign="center" w:anchorLock="1"/>
      <w:pBdr>
        <w:top w:val="single" w:sz="6" w:space="1" w:color="auto"/>
        <w:left w:val="single" w:sz="6" w:space="1" w:color="auto"/>
        <w:bottom w:val="single" w:sz="6" w:space="1" w:color="auto"/>
        <w:right w:val="single" w:sz="6" w:space="1" w:color="auto"/>
      </w:pBdr>
      <w:suppressAutoHyphens/>
      <w:spacing w:after="0" w:line="240" w:lineRule="auto"/>
      <w:ind w:left="720" w:hanging="720"/>
      <w:jc w:val="both"/>
    </w:pPr>
    <w:rPr>
      <w:rFonts w:eastAsia="Times New Roman" w:cs="Times New Roman"/>
      <w:i/>
      <w:sz w:val="20"/>
      <w:szCs w:val="20"/>
    </w:rPr>
  </w:style>
  <w:style w:type="paragraph" w:styleId="TOC2">
    <w:name w:val="toc 2"/>
    <w:basedOn w:val="Normal"/>
    <w:next w:val="Normal"/>
    <w:autoRedefine/>
    <w:uiPriority w:val="39"/>
    <w:unhideWhenUsed/>
    <w:rsid w:val="00D31A7B"/>
    <w:pPr>
      <w:spacing w:after="100"/>
      <w:ind w:left="220"/>
    </w:pPr>
  </w:style>
  <w:style w:type="paragraph" w:styleId="Header">
    <w:name w:val="header"/>
    <w:basedOn w:val="Normal"/>
    <w:link w:val="HeaderChar"/>
    <w:uiPriority w:val="99"/>
    <w:unhideWhenUsed/>
    <w:rsid w:val="00D31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A7B"/>
    <w:rPr>
      <w:rFonts w:ascii="Times New Roman" w:hAnsi="Times New Roman"/>
    </w:rPr>
  </w:style>
  <w:style w:type="paragraph" w:styleId="Footer">
    <w:name w:val="footer"/>
    <w:basedOn w:val="Normal"/>
    <w:link w:val="FooterChar"/>
    <w:uiPriority w:val="99"/>
    <w:unhideWhenUsed/>
    <w:rsid w:val="00D31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A7B"/>
    <w:rPr>
      <w:rFonts w:ascii="Times New Roman" w:hAnsi="Times New Roman"/>
    </w:rPr>
  </w:style>
  <w:style w:type="paragraph" w:customStyle="1" w:styleId="Table-Footnote">
    <w:name w:val="Table-Footnote"/>
    <w:basedOn w:val="Normal"/>
    <w:next w:val="Normal"/>
    <w:rsid w:val="00FA3C8E"/>
    <w:pPr>
      <w:tabs>
        <w:tab w:val="left" w:pos="216"/>
      </w:tabs>
      <w:suppressAutoHyphens/>
      <w:spacing w:before="40" w:after="20" w:line="240" w:lineRule="auto"/>
      <w:ind w:left="216" w:hanging="216"/>
      <w:jc w:val="both"/>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D42"/>
    <w:rPr>
      <w:rFonts w:ascii="Times New Roman" w:hAnsi="Times New Roman"/>
    </w:rPr>
  </w:style>
  <w:style w:type="paragraph" w:styleId="Heading1">
    <w:name w:val="heading 1"/>
    <w:basedOn w:val="Normal"/>
    <w:next w:val="Normal"/>
    <w:link w:val="Heading1Char"/>
    <w:uiPriority w:val="9"/>
    <w:qFormat/>
    <w:rsid w:val="006D0021"/>
    <w:pPr>
      <w:spacing w:after="120" w:line="240" w:lineRule="auto"/>
      <w:outlineLvl w:val="0"/>
    </w:pPr>
    <w:rPr>
      <w:rFonts w:cs="Times New Roman"/>
      <w:b/>
      <w:sz w:val="24"/>
    </w:rPr>
  </w:style>
  <w:style w:type="paragraph" w:styleId="Heading2">
    <w:name w:val="heading 2"/>
    <w:basedOn w:val="Heading1"/>
    <w:next w:val="Normal"/>
    <w:link w:val="Heading2Char"/>
    <w:uiPriority w:val="9"/>
    <w:unhideWhenUsed/>
    <w:qFormat/>
    <w:rsid w:val="00B40038"/>
    <w:pPr>
      <w:outlineLvl w:val="1"/>
    </w:pPr>
    <w:rPr>
      <w:sz w:val="22"/>
    </w:rPr>
  </w:style>
  <w:style w:type="paragraph" w:styleId="Heading3">
    <w:name w:val="heading 3"/>
    <w:basedOn w:val="Normal"/>
    <w:next w:val="Normal"/>
    <w:link w:val="Heading3Char"/>
    <w:uiPriority w:val="9"/>
    <w:unhideWhenUsed/>
    <w:qFormat/>
    <w:rsid w:val="0092434F"/>
    <w:pPr>
      <w:outlineLvl w:val="2"/>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EF0"/>
    <w:pPr>
      <w:ind w:left="720"/>
      <w:contextualSpacing/>
    </w:pPr>
  </w:style>
  <w:style w:type="character" w:customStyle="1" w:styleId="Heading1Char">
    <w:name w:val="Heading 1 Char"/>
    <w:basedOn w:val="DefaultParagraphFont"/>
    <w:link w:val="Heading1"/>
    <w:uiPriority w:val="9"/>
    <w:rsid w:val="006D0021"/>
    <w:rPr>
      <w:rFonts w:ascii="Times New Roman" w:hAnsi="Times New Roman" w:cs="Times New Roman"/>
      <w:b/>
      <w:sz w:val="24"/>
    </w:rPr>
  </w:style>
  <w:style w:type="paragraph" w:styleId="TOCHeading">
    <w:name w:val="TOC Heading"/>
    <w:basedOn w:val="Heading1"/>
    <w:next w:val="Normal"/>
    <w:uiPriority w:val="39"/>
    <w:unhideWhenUsed/>
    <w:qFormat/>
    <w:rsid w:val="006D4BAC"/>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1">
    <w:name w:val="toc 1"/>
    <w:basedOn w:val="Normal"/>
    <w:next w:val="Normal"/>
    <w:autoRedefine/>
    <w:uiPriority w:val="39"/>
    <w:unhideWhenUsed/>
    <w:rsid w:val="006D4BAC"/>
    <w:pPr>
      <w:spacing w:after="100"/>
    </w:pPr>
  </w:style>
  <w:style w:type="character" w:styleId="Hyperlink">
    <w:name w:val="Hyperlink"/>
    <w:basedOn w:val="DefaultParagraphFont"/>
    <w:uiPriority w:val="99"/>
    <w:unhideWhenUsed/>
    <w:rsid w:val="006D4BAC"/>
    <w:rPr>
      <w:color w:val="0000FF" w:themeColor="hyperlink"/>
      <w:u w:val="single"/>
    </w:rPr>
  </w:style>
  <w:style w:type="paragraph" w:styleId="BalloonText">
    <w:name w:val="Balloon Text"/>
    <w:basedOn w:val="Normal"/>
    <w:link w:val="BalloonTextChar"/>
    <w:uiPriority w:val="99"/>
    <w:semiHidden/>
    <w:unhideWhenUsed/>
    <w:rsid w:val="006D4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BAC"/>
    <w:rPr>
      <w:rFonts w:ascii="Tahoma" w:hAnsi="Tahoma" w:cs="Tahoma"/>
      <w:sz w:val="16"/>
      <w:szCs w:val="16"/>
    </w:rPr>
  </w:style>
  <w:style w:type="character" w:customStyle="1" w:styleId="Heading2Char">
    <w:name w:val="Heading 2 Char"/>
    <w:basedOn w:val="DefaultParagraphFont"/>
    <w:link w:val="Heading2"/>
    <w:uiPriority w:val="9"/>
    <w:rsid w:val="00B40038"/>
    <w:rPr>
      <w:rFonts w:ascii="Times New Roman" w:hAnsi="Times New Roman" w:cs="Times New Roman"/>
      <w:b/>
    </w:rPr>
  </w:style>
  <w:style w:type="character" w:customStyle="1" w:styleId="Heading3Char">
    <w:name w:val="Heading 3 Char"/>
    <w:basedOn w:val="DefaultParagraphFont"/>
    <w:link w:val="Heading3"/>
    <w:uiPriority w:val="9"/>
    <w:rsid w:val="0092434F"/>
    <w:rPr>
      <w:rFonts w:ascii="Times New Roman" w:hAnsi="Times New Roman" w:cs="Times New Roman"/>
      <w:i/>
    </w:rPr>
  </w:style>
  <w:style w:type="character" w:customStyle="1" w:styleId="apple-converted-space">
    <w:name w:val="apple-converted-space"/>
    <w:basedOn w:val="DefaultParagraphFont"/>
    <w:rsid w:val="00633199"/>
  </w:style>
  <w:style w:type="paragraph" w:styleId="Caption">
    <w:name w:val="caption"/>
    <w:basedOn w:val="Normal"/>
    <w:next w:val="Normal"/>
    <w:uiPriority w:val="35"/>
    <w:unhideWhenUsed/>
    <w:qFormat/>
    <w:rsid w:val="002E1332"/>
    <w:pPr>
      <w:spacing w:line="240" w:lineRule="auto"/>
    </w:pPr>
    <w:rPr>
      <w:b/>
      <w:bCs/>
      <w:sz w:val="20"/>
      <w:szCs w:val="18"/>
    </w:rPr>
  </w:style>
  <w:style w:type="paragraph" w:styleId="FootnoteText">
    <w:name w:val="footnote text"/>
    <w:basedOn w:val="Normal"/>
    <w:link w:val="FootnoteTextChar"/>
    <w:uiPriority w:val="99"/>
    <w:semiHidden/>
    <w:unhideWhenUsed/>
    <w:rsid w:val="003425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50B"/>
    <w:rPr>
      <w:rFonts w:ascii="Times New Roman" w:hAnsi="Times New Roman"/>
      <w:sz w:val="20"/>
      <w:szCs w:val="20"/>
    </w:rPr>
  </w:style>
  <w:style w:type="character" w:styleId="FootnoteReference">
    <w:name w:val="footnote reference"/>
    <w:basedOn w:val="DefaultParagraphFont"/>
    <w:uiPriority w:val="99"/>
    <w:semiHidden/>
    <w:unhideWhenUsed/>
    <w:rsid w:val="0034250B"/>
    <w:rPr>
      <w:vertAlign w:val="superscript"/>
    </w:rPr>
  </w:style>
  <w:style w:type="table" w:styleId="TableGrid">
    <w:name w:val="Table Grid"/>
    <w:basedOn w:val="TableNormal"/>
    <w:uiPriority w:val="59"/>
    <w:rsid w:val="00C31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OPg-Citation">
    <w:name w:val="OEO Pg-Citation"/>
    <w:basedOn w:val="Normal"/>
    <w:rsid w:val="00415C2D"/>
    <w:pPr>
      <w:framePr w:hSpace="187" w:wrap="around" w:hAnchor="margin" w:yAlign="center" w:anchorLock="1"/>
      <w:pBdr>
        <w:top w:val="single" w:sz="6" w:space="1" w:color="auto"/>
        <w:left w:val="single" w:sz="6" w:space="1" w:color="auto"/>
        <w:bottom w:val="single" w:sz="6" w:space="1" w:color="auto"/>
        <w:right w:val="single" w:sz="6" w:space="1" w:color="auto"/>
      </w:pBdr>
      <w:suppressAutoHyphens/>
      <w:spacing w:after="0" w:line="240" w:lineRule="auto"/>
      <w:ind w:left="720" w:hanging="720"/>
      <w:jc w:val="both"/>
    </w:pPr>
    <w:rPr>
      <w:rFonts w:eastAsia="Times New Roman" w:cs="Times New Roman"/>
      <w:i/>
      <w:sz w:val="20"/>
      <w:szCs w:val="20"/>
    </w:rPr>
  </w:style>
  <w:style w:type="paragraph" w:styleId="TOC2">
    <w:name w:val="toc 2"/>
    <w:basedOn w:val="Normal"/>
    <w:next w:val="Normal"/>
    <w:autoRedefine/>
    <w:uiPriority w:val="39"/>
    <w:unhideWhenUsed/>
    <w:rsid w:val="00D31A7B"/>
    <w:pPr>
      <w:spacing w:after="100"/>
      <w:ind w:left="220"/>
    </w:pPr>
  </w:style>
  <w:style w:type="paragraph" w:styleId="Header">
    <w:name w:val="header"/>
    <w:basedOn w:val="Normal"/>
    <w:link w:val="HeaderChar"/>
    <w:uiPriority w:val="99"/>
    <w:unhideWhenUsed/>
    <w:rsid w:val="00D31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A7B"/>
    <w:rPr>
      <w:rFonts w:ascii="Times New Roman" w:hAnsi="Times New Roman"/>
    </w:rPr>
  </w:style>
  <w:style w:type="paragraph" w:styleId="Footer">
    <w:name w:val="footer"/>
    <w:basedOn w:val="Normal"/>
    <w:link w:val="FooterChar"/>
    <w:uiPriority w:val="99"/>
    <w:unhideWhenUsed/>
    <w:rsid w:val="00D31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A7B"/>
    <w:rPr>
      <w:rFonts w:ascii="Times New Roman" w:hAnsi="Times New Roman"/>
    </w:rPr>
  </w:style>
  <w:style w:type="paragraph" w:customStyle="1" w:styleId="Table-Footnote">
    <w:name w:val="Table-Footnote"/>
    <w:basedOn w:val="Normal"/>
    <w:next w:val="Normal"/>
    <w:rsid w:val="00FA3C8E"/>
    <w:pPr>
      <w:tabs>
        <w:tab w:val="left" w:pos="216"/>
      </w:tabs>
      <w:suppressAutoHyphens/>
      <w:spacing w:before="40" w:after="20" w:line="240" w:lineRule="auto"/>
      <w:ind w:left="216" w:hanging="216"/>
      <w:jc w:val="both"/>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91649">
      <w:bodyDiv w:val="1"/>
      <w:marLeft w:val="0"/>
      <w:marRight w:val="0"/>
      <w:marTop w:val="0"/>
      <w:marBottom w:val="0"/>
      <w:divBdr>
        <w:top w:val="none" w:sz="0" w:space="0" w:color="auto"/>
        <w:left w:val="none" w:sz="0" w:space="0" w:color="auto"/>
        <w:bottom w:val="none" w:sz="0" w:space="0" w:color="auto"/>
        <w:right w:val="none" w:sz="0" w:space="0" w:color="auto"/>
      </w:divBdr>
    </w:div>
    <w:div w:id="742797072">
      <w:bodyDiv w:val="1"/>
      <w:marLeft w:val="0"/>
      <w:marRight w:val="0"/>
      <w:marTop w:val="0"/>
      <w:marBottom w:val="0"/>
      <w:divBdr>
        <w:top w:val="none" w:sz="0" w:space="0" w:color="auto"/>
        <w:left w:val="none" w:sz="0" w:space="0" w:color="auto"/>
        <w:bottom w:val="none" w:sz="0" w:space="0" w:color="auto"/>
        <w:right w:val="none" w:sz="0" w:space="0" w:color="auto"/>
      </w:divBdr>
    </w:div>
    <w:div w:id="1070422474">
      <w:bodyDiv w:val="1"/>
      <w:marLeft w:val="0"/>
      <w:marRight w:val="0"/>
      <w:marTop w:val="0"/>
      <w:marBottom w:val="0"/>
      <w:divBdr>
        <w:top w:val="none" w:sz="0" w:space="0" w:color="auto"/>
        <w:left w:val="none" w:sz="0" w:space="0" w:color="auto"/>
        <w:bottom w:val="none" w:sz="0" w:space="0" w:color="auto"/>
        <w:right w:val="none" w:sz="0" w:space="0" w:color="auto"/>
      </w:divBdr>
    </w:div>
    <w:div w:id="1181898174">
      <w:bodyDiv w:val="1"/>
      <w:marLeft w:val="0"/>
      <w:marRight w:val="0"/>
      <w:marTop w:val="0"/>
      <w:marBottom w:val="0"/>
      <w:divBdr>
        <w:top w:val="none" w:sz="0" w:space="0" w:color="auto"/>
        <w:left w:val="none" w:sz="0" w:space="0" w:color="auto"/>
        <w:bottom w:val="none" w:sz="0" w:space="0" w:color="auto"/>
        <w:right w:val="none" w:sz="0" w:space="0" w:color="auto"/>
      </w:divBdr>
    </w:div>
    <w:div w:id="1497964345">
      <w:bodyDiv w:val="1"/>
      <w:marLeft w:val="0"/>
      <w:marRight w:val="0"/>
      <w:marTop w:val="0"/>
      <w:marBottom w:val="0"/>
      <w:divBdr>
        <w:top w:val="none" w:sz="0" w:space="0" w:color="auto"/>
        <w:left w:val="none" w:sz="0" w:space="0" w:color="auto"/>
        <w:bottom w:val="none" w:sz="0" w:space="0" w:color="auto"/>
        <w:right w:val="none" w:sz="0" w:space="0" w:color="auto"/>
      </w:divBdr>
    </w:div>
    <w:div w:id="1739329634">
      <w:bodyDiv w:val="1"/>
      <w:marLeft w:val="0"/>
      <w:marRight w:val="0"/>
      <w:marTop w:val="0"/>
      <w:marBottom w:val="0"/>
      <w:divBdr>
        <w:top w:val="none" w:sz="0" w:space="0" w:color="auto"/>
        <w:left w:val="none" w:sz="0" w:space="0" w:color="auto"/>
        <w:bottom w:val="none" w:sz="0" w:space="0" w:color="auto"/>
        <w:right w:val="none" w:sz="0" w:space="0" w:color="auto"/>
      </w:divBdr>
    </w:div>
    <w:div w:id="205326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465D52-B239-4016-B4E0-0A3773E6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2395</Words>
  <Characters>13652</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DRAFT FOR PLAN TEAM REVIEW ONLY</vt:lpstr>
    </vt:vector>
  </TitlesOfParts>
  <Company>NPFMC</Company>
  <LinksUpToDate>false</LinksUpToDate>
  <CharactersWithSpaces>16015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PLAN TEAM REVIEW ONLY</dc:title>
  <dc:creator>Sarah Marrinan</dc:creator>
  <cp:lastModifiedBy>Peggy Kircher</cp:lastModifiedBy>
  <cp:revision>2</cp:revision>
  <cp:lastPrinted>2014-04-30T16:49:00Z</cp:lastPrinted>
  <dcterms:created xsi:type="dcterms:W3CDTF">2014-04-30T17:12:00Z</dcterms:created>
  <dcterms:modified xsi:type="dcterms:W3CDTF">2014-04-30T17:12:00Z</dcterms:modified>
</cp:coreProperties>
</file>