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FE" w:rsidRDefault="007F48FE" w:rsidP="003716BD">
      <w:pPr>
        <w:tabs>
          <w:tab w:val="left" w:pos="8460"/>
        </w:tabs>
        <w:jc w:val="center"/>
        <w:rPr>
          <w:b/>
          <w:sz w:val="28"/>
          <w:szCs w:val="28"/>
        </w:rPr>
      </w:pPr>
      <w:r w:rsidRPr="00444865">
        <w:rPr>
          <w:b/>
          <w:sz w:val="28"/>
          <w:szCs w:val="28"/>
        </w:rPr>
        <w:t>Norton Sound Red King Crab</w:t>
      </w:r>
      <w:r w:rsidR="003549C3">
        <w:rPr>
          <w:b/>
          <w:sz w:val="28"/>
          <w:szCs w:val="28"/>
        </w:rPr>
        <w:t xml:space="preserve"> Stock Assessment for the fishing year</w:t>
      </w:r>
      <w:r w:rsidR="003A76E0">
        <w:rPr>
          <w:b/>
          <w:sz w:val="28"/>
          <w:szCs w:val="28"/>
        </w:rPr>
        <w:t xml:space="preserve"> </w:t>
      </w:r>
      <w:r w:rsidR="006A40FD">
        <w:rPr>
          <w:b/>
          <w:sz w:val="28"/>
          <w:szCs w:val="28"/>
        </w:rPr>
        <w:t>20</w:t>
      </w:r>
      <w:r w:rsidR="005B64AB">
        <w:rPr>
          <w:b/>
          <w:sz w:val="28"/>
          <w:szCs w:val="28"/>
        </w:rPr>
        <w:t>1</w:t>
      </w:r>
      <w:r w:rsidR="00A568E9">
        <w:rPr>
          <w:b/>
          <w:sz w:val="28"/>
          <w:szCs w:val="28"/>
        </w:rPr>
        <w:t>4</w:t>
      </w:r>
      <w:r w:rsidR="00AB40A3">
        <w:rPr>
          <w:b/>
          <w:sz w:val="28"/>
          <w:szCs w:val="28"/>
        </w:rPr>
        <w:t>/15</w:t>
      </w:r>
      <w:r w:rsidR="00A141A4">
        <w:rPr>
          <w:b/>
          <w:sz w:val="28"/>
          <w:szCs w:val="28"/>
        </w:rPr>
        <w:t xml:space="preserve"> </w:t>
      </w:r>
    </w:p>
    <w:p w:rsidR="007F48FE" w:rsidRDefault="007F48FE">
      <w:pPr>
        <w:rPr>
          <w:b/>
          <w:sz w:val="28"/>
          <w:szCs w:val="28"/>
        </w:rPr>
      </w:pPr>
    </w:p>
    <w:p w:rsidR="00AB40A3" w:rsidRDefault="00AB40A3"/>
    <w:p w:rsidR="002D1DAA" w:rsidRDefault="002D1DAA" w:rsidP="00CD658F">
      <w:pPr>
        <w:jc w:val="center"/>
      </w:pPr>
      <w:proofErr w:type="spellStart"/>
      <w:r>
        <w:t>Toshihide</w:t>
      </w:r>
      <w:proofErr w:type="spellEnd"/>
      <w:r>
        <w:t xml:space="preserve"> Hamazaki</w:t>
      </w:r>
      <w:r w:rsidR="00DD2598" w:rsidRPr="00DD2598">
        <w:rPr>
          <w:vertAlign w:val="superscript"/>
        </w:rPr>
        <w:t>1</w:t>
      </w:r>
      <w:r>
        <w:t xml:space="preserve"> and</w:t>
      </w:r>
      <w:r w:rsidR="00DD2598" w:rsidRPr="00DD2598">
        <w:t xml:space="preserve"> </w:t>
      </w:r>
      <w:r w:rsidRPr="00DD2598">
        <w:t>Jie Zheng</w:t>
      </w:r>
      <w:r w:rsidRPr="00DD2598">
        <w:rPr>
          <w:vertAlign w:val="superscript"/>
        </w:rPr>
        <w:t xml:space="preserve"> </w:t>
      </w:r>
      <w:r w:rsidR="00DD2598" w:rsidRPr="00DD2598">
        <w:rPr>
          <w:vertAlign w:val="superscript"/>
        </w:rPr>
        <w:t>2</w:t>
      </w:r>
      <w:r w:rsidR="00DD2598" w:rsidRPr="00DD2598">
        <w:t xml:space="preserve"> </w:t>
      </w:r>
    </w:p>
    <w:p w:rsidR="002D1DAA" w:rsidRPr="00CD658F" w:rsidRDefault="00DD2598" w:rsidP="00CD658F">
      <w:pPr>
        <w:jc w:val="center"/>
      </w:pPr>
      <w:r>
        <w:t>Alaska Department of Fish and Game</w:t>
      </w:r>
      <w:r w:rsidR="00CD658F">
        <w:t xml:space="preserve"> </w:t>
      </w:r>
      <w:r w:rsidRPr="00DD2598">
        <w:rPr>
          <w:lang w:val="fr-FR"/>
        </w:rPr>
        <w:t xml:space="preserve">Commercial </w:t>
      </w:r>
      <w:r w:rsidRPr="004E66CC">
        <w:t>Fisheries</w:t>
      </w:r>
      <w:r w:rsidRPr="00DD2598">
        <w:rPr>
          <w:lang w:val="fr-FR"/>
        </w:rPr>
        <w:t xml:space="preserve"> Division</w:t>
      </w:r>
    </w:p>
    <w:p w:rsidR="002D1DAA" w:rsidRPr="00401549" w:rsidRDefault="002D1DAA" w:rsidP="002D1DAA">
      <w:pPr>
        <w:jc w:val="center"/>
        <w:rPr>
          <w:lang w:val="fr-FR"/>
        </w:rPr>
      </w:pPr>
      <w:r>
        <w:rPr>
          <w:vertAlign w:val="superscript"/>
          <w:lang w:val="fr-FR"/>
        </w:rPr>
        <w:t>1</w:t>
      </w:r>
      <w:r>
        <w:rPr>
          <w:lang w:val="fr-FR"/>
        </w:rPr>
        <w:t xml:space="preserve">333 </w:t>
      </w:r>
      <w:r w:rsidRPr="004E66CC">
        <w:t>Raspberry</w:t>
      </w:r>
      <w:r w:rsidRPr="00401549">
        <w:rPr>
          <w:lang w:val="fr-FR"/>
        </w:rPr>
        <w:t xml:space="preserve"> Rd., Anchorage, AK 99518-1565</w:t>
      </w:r>
    </w:p>
    <w:p w:rsidR="002D1DAA" w:rsidRPr="00401549" w:rsidRDefault="002D1DAA" w:rsidP="002D1DAA">
      <w:pPr>
        <w:jc w:val="center"/>
        <w:rPr>
          <w:lang w:val="fr-FR"/>
        </w:rPr>
      </w:pPr>
      <w:r w:rsidRPr="00401549">
        <w:rPr>
          <w:lang w:val="fr-FR"/>
        </w:rPr>
        <w:t>Phone: 907-267-2158</w:t>
      </w:r>
    </w:p>
    <w:p w:rsidR="002D1DAA" w:rsidRPr="00DD2598" w:rsidRDefault="002D1DAA" w:rsidP="00CD658F">
      <w:pPr>
        <w:jc w:val="center"/>
        <w:rPr>
          <w:lang w:val="fr-FR"/>
        </w:rPr>
      </w:pPr>
      <w:r w:rsidRPr="00401549">
        <w:rPr>
          <w:lang w:val="fr-FR"/>
        </w:rPr>
        <w:t xml:space="preserve">Email: </w:t>
      </w:r>
      <w:hyperlink r:id="rId9" w:history="1">
        <w:r w:rsidR="000D2D87" w:rsidRPr="00AD5F14">
          <w:rPr>
            <w:rStyle w:val="Hyperlink"/>
            <w:lang w:val="fr-FR"/>
          </w:rPr>
          <w:t>Toshihide.Hamazaki@alaska.gov</w:t>
        </w:r>
      </w:hyperlink>
    </w:p>
    <w:p w:rsidR="00DD2598" w:rsidRPr="00DD2598" w:rsidRDefault="002D1DAA" w:rsidP="00DC4DF1">
      <w:pPr>
        <w:jc w:val="center"/>
        <w:rPr>
          <w:lang w:val="fr-FR"/>
        </w:rPr>
      </w:pPr>
      <w:r>
        <w:rPr>
          <w:vertAlign w:val="superscript"/>
          <w:lang w:val="fr-FR"/>
        </w:rPr>
        <w:t>2</w:t>
      </w:r>
      <w:r w:rsidR="00DD2598" w:rsidRPr="00DD2598">
        <w:rPr>
          <w:lang w:val="fr-FR"/>
        </w:rPr>
        <w:t>P.O.</w:t>
      </w:r>
      <w:r w:rsidR="00522ACB">
        <w:rPr>
          <w:lang w:val="fr-FR"/>
        </w:rPr>
        <w:t xml:space="preserve"> </w:t>
      </w:r>
      <w:r w:rsidR="00DD2598" w:rsidRPr="00DD2598">
        <w:rPr>
          <w:lang w:val="fr-FR"/>
        </w:rPr>
        <w:t>Box 115526, Juneau, AK 99811-5526</w:t>
      </w:r>
    </w:p>
    <w:p w:rsidR="00DD2598" w:rsidRPr="00401549" w:rsidRDefault="00DD2598" w:rsidP="00DC4DF1">
      <w:pPr>
        <w:jc w:val="center"/>
        <w:rPr>
          <w:lang w:val="fr-FR"/>
        </w:rPr>
      </w:pPr>
      <w:r w:rsidRPr="00401549">
        <w:rPr>
          <w:lang w:val="fr-FR"/>
        </w:rPr>
        <w:t>Phone : 907-465-6102</w:t>
      </w:r>
    </w:p>
    <w:p w:rsidR="00DD2598" w:rsidRPr="00401549" w:rsidRDefault="00DD2598" w:rsidP="00DC4DF1">
      <w:pPr>
        <w:jc w:val="center"/>
        <w:rPr>
          <w:lang w:val="fr-FR"/>
        </w:rPr>
      </w:pPr>
      <w:r w:rsidRPr="00401549">
        <w:rPr>
          <w:lang w:val="fr-FR"/>
        </w:rPr>
        <w:t xml:space="preserve">Email : </w:t>
      </w:r>
      <w:hyperlink r:id="rId10" w:history="1">
        <w:r w:rsidRPr="00401549">
          <w:rPr>
            <w:rStyle w:val="Hyperlink"/>
            <w:lang w:val="fr-FR"/>
          </w:rPr>
          <w:t>Jie.Zheng@alaska.gov</w:t>
        </w:r>
      </w:hyperlink>
    </w:p>
    <w:p w:rsidR="000B3967" w:rsidRDefault="000B3967" w:rsidP="00DD2598"/>
    <w:p w:rsidR="0049196C" w:rsidRPr="007A481A" w:rsidRDefault="0049196C" w:rsidP="0049196C">
      <w:pPr>
        <w:spacing w:line="360" w:lineRule="auto"/>
        <w:jc w:val="center"/>
        <w:rPr>
          <w:b/>
          <w:sz w:val="28"/>
          <w:szCs w:val="28"/>
        </w:rPr>
      </w:pPr>
      <w:r w:rsidRPr="007A481A">
        <w:rPr>
          <w:b/>
          <w:sz w:val="28"/>
          <w:szCs w:val="28"/>
        </w:rPr>
        <w:t>Executive Summary</w:t>
      </w:r>
    </w:p>
    <w:p w:rsidR="001B4D5F" w:rsidRPr="00A123BF" w:rsidRDefault="001B4D5F" w:rsidP="00A123BF">
      <w:pPr>
        <w:pStyle w:val="ListParagraph"/>
        <w:numPr>
          <w:ilvl w:val="0"/>
          <w:numId w:val="17"/>
        </w:numPr>
        <w:jc w:val="both"/>
        <w:rPr>
          <w:spacing w:val="-3"/>
        </w:rPr>
      </w:pPr>
      <w:r w:rsidRPr="00A123BF">
        <w:rPr>
          <w:spacing w:val="-3"/>
        </w:rPr>
        <w:t xml:space="preserve">Stock. </w:t>
      </w:r>
      <w:r w:rsidR="0049196C" w:rsidRPr="00A123BF">
        <w:rPr>
          <w:spacing w:val="-3"/>
        </w:rPr>
        <w:t>Red king crab,</w:t>
      </w:r>
      <w:r w:rsidR="0049196C" w:rsidRPr="00A123BF">
        <w:rPr>
          <w:i/>
          <w:spacing w:val="-3"/>
        </w:rPr>
        <w:t xml:space="preserve"> </w:t>
      </w:r>
      <w:proofErr w:type="spellStart"/>
      <w:r w:rsidR="0049196C" w:rsidRPr="00A123BF">
        <w:rPr>
          <w:i/>
          <w:spacing w:val="-3"/>
        </w:rPr>
        <w:t>Paralithodes</w:t>
      </w:r>
      <w:proofErr w:type="spellEnd"/>
      <w:r w:rsidR="0049196C" w:rsidRPr="00A123BF">
        <w:rPr>
          <w:i/>
          <w:spacing w:val="-3"/>
        </w:rPr>
        <w:t xml:space="preserve"> </w:t>
      </w:r>
      <w:proofErr w:type="spellStart"/>
      <w:r w:rsidR="0049196C" w:rsidRPr="00A123BF">
        <w:rPr>
          <w:i/>
          <w:spacing w:val="-3"/>
        </w:rPr>
        <w:t>camtschaticus</w:t>
      </w:r>
      <w:proofErr w:type="spellEnd"/>
      <w:r w:rsidR="0049196C" w:rsidRPr="00A123BF">
        <w:rPr>
          <w:spacing w:val="-3"/>
        </w:rPr>
        <w:t>, in Norton Sound, Alaska</w:t>
      </w:r>
      <w:r w:rsidRPr="00A123BF">
        <w:rPr>
          <w:spacing w:val="-3"/>
        </w:rPr>
        <w:t>.</w:t>
      </w:r>
    </w:p>
    <w:p w:rsidR="001E66BE" w:rsidRPr="001E66BE" w:rsidRDefault="001E66BE" w:rsidP="001E66BE">
      <w:pPr>
        <w:ind w:left="720"/>
        <w:jc w:val="both"/>
        <w:rPr>
          <w:spacing w:val="-3"/>
        </w:rPr>
      </w:pPr>
    </w:p>
    <w:p w:rsidR="001B7B13" w:rsidRDefault="001B4D5F" w:rsidP="00933DE0">
      <w:pPr>
        <w:numPr>
          <w:ilvl w:val="0"/>
          <w:numId w:val="17"/>
        </w:numPr>
        <w:jc w:val="both"/>
        <w:rPr>
          <w:spacing w:val="-3"/>
        </w:rPr>
      </w:pPr>
      <w:r>
        <w:rPr>
          <w:spacing w:val="-3"/>
        </w:rPr>
        <w:t>Catches. This stock</w:t>
      </w:r>
      <w:r w:rsidR="0049196C">
        <w:rPr>
          <w:spacing w:val="-3"/>
        </w:rPr>
        <w:t xml:space="preserve"> support</w:t>
      </w:r>
      <w:r>
        <w:rPr>
          <w:spacing w:val="-3"/>
        </w:rPr>
        <w:t>s</w:t>
      </w:r>
      <w:r w:rsidR="0049196C">
        <w:rPr>
          <w:spacing w:val="-3"/>
        </w:rPr>
        <w:t xml:space="preserve"> three main fisheries: summer commercial, winter commercial, and winter subsistence fisheries</w:t>
      </w:r>
      <w:r w:rsidR="00581F43">
        <w:rPr>
          <w:spacing w:val="-3"/>
        </w:rPr>
        <w:t xml:space="preserve">. </w:t>
      </w:r>
      <w:r w:rsidR="003710E7">
        <w:rPr>
          <w:spacing w:val="-3"/>
        </w:rPr>
        <w:t xml:space="preserve">Of those, the summer commercial fishery accounts for more </w:t>
      </w:r>
      <w:r w:rsidR="00032367">
        <w:rPr>
          <w:spacing w:val="-3"/>
        </w:rPr>
        <w:t>than 90% of total harvest</w:t>
      </w:r>
      <w:r w:rsidR="00581F43">
        <w:rPr>
          <w:spacing w:val="-3"/>
        </w:rPr>
        <w:t>.</w:t>
      </w:r>
      <w:r w:rsidR="00032367">
        <w:rPr>
          <w:spacing w:val="-3"/>
        </w:rPr>
        <w:t xml:space="preserve"> S</w:t>
      </w:r>
      <w:r w:rsidR="003710E7">
        <w:rPr>
          <w:spacing w:val="-3"/>
        </w:rPr>
        <w:t xml:space="preserve">ummer commercial fishery </w:t>
      </w:r>
      <w:r w:rsidR="00032367">
        <w:rPr>
          <w:spacing w:val="-3"/>
        </w:rPr>
        <w:t xml:space="preserve">started in 1977, and its catch quickly reached </w:t>
      </w:r>
      <w:r w:rsidR="005C4453">
        <w:rPr>
          <w:spacing w:val="-3"/>
        </w:rPr>
        <w:t xml:space="preserve">a peak in the late </w:t>
      </w:r>
      <w:r w:rsidR="00032367">
        <w:rPr>
          <w:spacing w:val="-3"/>
        </w:rPr>
        <w:t xml:space="preserve">1970s with retained catch of </w:t>
      </w:r>
      <w:r w:rsidR="005C4453">
        <w:rPr>
          <w:spacing w:val="-3"/>
        </w:rPr>
        <w:t>over 2</w:t>
      </w:r>
      <w:r w:rsidR="003C564A">
        <w:rPr>
          <w:spacing w:val="-3"/>
        </w:rPr>
        <w:t>.9 million pounds</w:t>
      </w:r>
      <w:r w:rsidR="00581F43">
        <w:rPr>
          <w:spacing w:val="-3"/>
        </w:rPr>
        <w:t xml:space="preserve">. </w:t>
      </w:r>
      <w:r w:rsidR="003710E7">
        <w:rPr>
          <w:spacing w:val="-3"/>
        </w:rPr>
        <w:t>Since 1982, r</w:t>
      </w:r>
      <w:r w:rsidR="001B7B13">
        <w:rPr>
          <w:spacing w:val="-3"/>
        </w:rPr>
        <w:t>etained catches</w:t>
      </w:r>
      <w:r w:rsidR="005C4453">
        <w:rPr>
          <w:spacing w:val="-3"/>
        </w:rPr>
        <w:t xml:space="preserve"> have been below 0.5 million pounds, averaging</w:t>
      </w:r>
      <w:r w:rsidR="001B7B13">
        <w:rPr>
          <w:spacing w:val="-3"/>
        </w:rPr>
        <w:t xml:space="preserve"> </w:t>
      </w:r>
      <w:r w:rsidR="00032367">
        <w:rPr>
          <w:spacing w:val="-3"/>
        </w:rPr>
        <w:t>0.</w:t>
      </w:r>
      <w:r w:rsidR="001B7B13">
        <w:rPr>
          <w:spacing w:val="-3"/>
        </w:rPr>
        <w:t>275</w:t>
      </w:r>
      <w:r w:rsidR="00032367">
        <w:rPr>
          <w:spacing w:val="-3"/>
        </w:rPr>
        <w:t xml:space="preserve"> million</w:t>
      </w:r>
      <w:r w:rsidR="001B7B13">
        <w:rPr>
          <w:spacing w:val="-3"/>
        </w:rPr>
        <w:t xml:space="preserve"> pounds</w:t>
      </w:r>
      <w:r w:rsidR="0010773D">
        <w:rPr>
          <w:spacing w:val="-3"/>
        </w:rPr>
        <w:t>, including several low years in the 1990s</w:t>
      </w:r>
      <w:r w:rsidR="001B7B13">
        <w:rPr>
          <w:spacing w:val="-3"/>
        </w:rPr>
        <w:t xml:space="preserve">. </w:t>
      </w:r>
      <w:r w:rsidR="00032367">
        <w:rPr>
          <w:spacing w:val="-3"/>
        </w:rPr>
        <w:t>As the crab population rebounds, r</w:t>
      </w:r>
      <w:r w:rsidR="001B7B13">
        <w:rPr>
          <w:spacing w:val="-3"/>
        </w:rPr>
        <w:t xml:space="preserve">etained catches </w:t>
      </w:r>
      <w:r w:rsidR="00032367">
        <w:rPr>
          <w:spacing w:val="-3"/>
        </w:rPr>
        <w:t>have been increasing</w:t>
      </w:r>
      <w:r w:rsidR="00581F43">
        <w:rPr>
          <w:spacing w:val="-3"/>
        </w:rPr>
        <w:t xml:space="preserve">. </w:t>
      </w:r>
      <w:r w:rsidR="00032367">
        <w:rPr>
          <w:spacing w:val="-3"/>
        </w:rPr>
        <w:t xml:space="preserve">For past several years, retained catch is around 0.4 million </w:t>
      </w:r>
      <w:r w:rsidR="0010773D">
        <w:rPr>
          <w:spacing w:val="-3"/>
        </w:rPr>
        <w:t>pounds</w:t>
      </w:r>
      <w:r w:rsidR="001B7B13">
        <w:rPr>
          <w:spacing w:val="-3"/>
        </w:rPr>
        <w:t>.</w:t>
      </w:r>
    </w:p>
    <w:p w:rsidR="001E66BE" w:rsidRDefault="001E66BE" w:rsidP="00032367">
      <w:pPr>
        <w:ind w:left="360"/>
        <w:jc w:val="both"/>
        <w:rPr>
          <w:spacing w:val="-3"/>
        </w:rPr>
      </w:pPr>
    </w:p>
    <w:p w:rsidR="0010773D" w:rsidRDefault="001B7B13" w:rsidP="00933DE0">
      <w:pPr>
        <w:numPr>
          <w:ilvl w:val="0"/>
          <w:numId w:val="17"/>
        </w:numPr>
        <w:jc w:val="both"/>
        <w:rPr>
          <w:spacing w:val="-3"/>
        </w:rPr>
      </w:pPr>
      <w:r>
        <w:rPr>
          <w:spacing w:val="-3"/>
        </w:rPr>
        <w:t>Stock Biomass</w:t>
      </w:r>
      <w:r w:rsidR="0010773D">
        <w:rPr>
          <w:spacing w:val="-3"/>
        </w:rPr>
        <w:t xml:space="preserve">. </w:t>
      </w:r>
      <w:r w:rsidR="00032367">
        <w:rPr>
          <w:spacing w:val="-3"/>
        </w:rPr>
        <w:t>Estimated m</w:t>
      </w:r>
      <w:r w:rsidR="0010773D">
        <w:rPr>
          <w:spacing w:val="-3"/>
        </w:rPr>
        <w:t xml:space="preserve">ature male biomass </w:t>
      </w:r>
      <w:r w:rsidR="005917AF">
        <w:rPr>
          <w:spacing w:val="-3"/>
        </w:rPr>
        <w:t xml:space="preserve">(MMB) </w:t>
      </w:r>
      <w:r w:rsidR="00032367">
        <w:rPr>
          <w:spacing w:val="-3"/>
        </w:rPr>
        <w:t xml:space="preserve">shows </w:t>
      </w:r>
      <w:r w:rsidR="0010773D">
        <w:rPr>
          <w:spacing w:val="-3"/>
        </w:rPr>
        <w:t xml:space="preserve">an </w:t>
      </w:r>
      <w:r w:rsidR="00032367">
        <w:rPr>
          <w:spacing w:val="-3"/>
        </w:rPr>
        <w:t>increasing</w:t>
      </w:r>
      <w:r w:rsidR="0010773D">
        <w:rPr>
          <w:spacing w:val="-3"/>
        </w:rPr>
        <w:t xml:space="preserve"> trend </w:t>
      </w:r>
      <w:r w:rsidR="00032367">
        <w:rPr>
          <w:spacing w:val="-3"/>
        </w:rPr>
        <w:t>sinc</w:t>
      </w:r>
      <w:r w:rsidR="003E5B69">
        <w:rPr>
          <w:spacing w:val="-3"/>
        </w:rPr>
        <w:t xml:space="preserve">e </w:t>
      </w:r>
      <w:r w:rsidR="0010773D">
        <w:rPr>
          <w:spacing w:val="-3"/>
        </w:rPr>
        <w:t>1997</w:t>
      </w:r>
      <w:r w:rsidR="003E5B69">
        <w:rPr>
          <w:spacing w:val="-3"/>
        </w:rPr>
        <w:t xml:space="preserve"> </w:t>
      </w:r>
      <w:r w:rsidR="00CB4EAA">
        <w:rPr>
          <w:spacing w:val="-3"/>
        </w:rPr>
        <w:t>following the dramatic decrease in abundance from a peak in 1977 to a</w:t>
      </w:r>
      <w:r w:rsidR="0010773D">
        <w:rPr>
          <w:spacing w:val="-3"/>
        </w:rPr>
        <w:t xml:space="preserve"> historic low in 1982. </w:t>
      </w:r>
      <w:r w:rsidR="003E5B69">
        <w:rPr>
          <w:spacing w:val="-3"/>
        </w:rPr>
        <w:t xml:space="preserve">However, </w:t>
      </w:r>
      <w:r w:rsidR="00CB4EAA">
        <w:rPr>
          <w:spacing w:val="-3"/>
        </w:rPr>
        <w:t xml:space="preserve">estimates of </w:t>
      </w:r>
      <w:r w:rsidR="003E5B69">
        <w:rPr>
          <w:spacing w:val="-3"/>
        </w:rPr>
        <w:t xml:space="preserve">historical </w:t>
      </w:r>
      <w:r w:rsidR="0010773D">
        <w:rPr>
          <w:spacing w:val="-3"/>
        </w:rPr>
        <w:t xml:space="preserve">biomass </w:t>
      </w:r>
      <w:r w:rsidR="00CB4EAA">
        <w:rPr>
          <w:spacing w:val="-3"/>
        </w:rPr>
        <w:t xml:space="preserve">are highly </w:t>
      </w:r>
      <w:r w:rsidR="003E5B69">
        <w:rPr>
          <w:spacing w:val="-3"/>
        </w:rPr>
        <w:t>uncertain</w:t>
      </w:r>
      <w:r w:rsidR="00CB4EAA">
        <w:rPr>
          <w:spacing w:val="-3"/>
        </w:rPr>
        <w:t xml:space="preserve"> due in part to </w:t>
      </w:r>
      <w:r w:rsidR="0010773D">
        <w:rPr>
          <w:spacing w:val="-3"/>
        </w:rPr>
        <w:t>infrequent trawl surveys (every 3 to 5 years)</w:t>
      </w:r>
      <w:r w:rsidR="00933DE0">
        <w:rPr>
          <w:spacing w:val="-3"/>
        </w:rPr>
        <w:t xml:space="preserve"> and </w:t>
      </w:r>
      <w:r w:rsidR="00032367">
        <w:rPr>
          <w:spacing w:val="-3"/>
        </w:rPr>
        <w:t>limited</w:t>
      </w:r>
      <w:r w:rsidR="00786989">
        <w:rPr>
          <w:spacing w:val="-3"/>
        </w:rPr>
        <w:t xml:space="preserve"> </w:t>
      </w:r>
      <w:r w:rsidR="00CB4EAA">
        <w:rPr>
          <w:spacing w:val="-3"/>
        </w:rPr>
        <w:t>geographic coverage of the</w:t>
      </w:r>
      <w:r w:rsidR="00786989">
        <w:rPr>
          <w:spacing w:val="-3"/>
        </w:rPr>
        <w:t xml:space="preserve"> </w:t>
      </w:r>
      <w:r w:rsidR="00933DE0">
        <w:rPr>
          <w:spacing w:val="-3"/>
        </w:rPr>
        <w:t>winter pot survey</w:t>
      </w:r>
      <w:r>
        <w:rPr>
          <w:spacing w:val="-3"/>
        </w:rPr>
        <w:t>.</w:t>
      </w:r>
    </w:p>
    <w:p w:rsidR="001E66BE" w:rsidRDefault="001E66BE" w:rsidP="001E66BE">
      <w:pPr>
        <w:jc w:val="both"/>
        <w:rPr>
          <w:spacing w:val="-3"/>
        </w:rPr>
      </w:pPr>
    </w:p>
    <w:p w:rsidR="0001356B" w:rsidRPr="000E4B45" w:rsidRDefault="0010773D" w:rsidP="00933DE0">
      <w:pPr>
        <w:numPr>
          <w:ilvl w:val="0"/>
          <w:numId w:val="17"/>
        </w:numPr>
        <w:jc w:val="both"/>
        <w:rPr>
          <w:spacing w:val="-3"/>
        </w:rPr>
      </w:pPr>
      <w:r>
        <w:rPr>
          <w:spacing w:val="-3"/>
        </w:rPr>
        <w:t xml:space="preserve">Recruitment. </w:t>
      </w:r>
      <w:r w:rsidR="009E75F6">
        <w:rPr>
          <w:spacing w:val="-3"/>
        </w:rPr>
        <w:t>Model e</w:t>
      </w:r>
      <w:r w:rsidR="007F742D" w:rsidRPr="007F742D">
        <w:rPr>
          <w:spacing w:val="-3"/>
        </w:rPr>
        <w:t>stimated recruitment was weak during the late 1970s</w:t>
      </w:r>
      <w:r w:rsidR="00CB4EAA">
        <w:rPr>
          <w:spacing w:val="-3"/>
        </w:rPr>
        <w:t>,</w:t>
      </w:r>
      <w:r w:rsidR="007F742D" w:rsidRPr="007F742D">
        <w:rPr>
          <w:spacing w:val="-3"/>
        </w:rPr>
        <w:t xml:space="preserve"> high during the early 1980s</w:t>
      </w:r>
      <w:r w:rsidR="00CB4EAA">
        <w:rPr>
          <w:spacing w:val="-3"/>
        </w:rPr>
        <w:t>, and showed</w:t>
      </w:r>
      <w:r w:rsidR="007F742D" w:rsidRPr="007F742D">
        <w:rPr>
          <w:spacing w:val="-3"/>
        </w:rPr>
        <w:t xml:space="preserve"> a slight d</w:t>
      </w:r>
      <w:r w:rsidR="00CB4EAA">
        <w:rPr>
          <w:spacing w:val="-3"/>
        </w:rPr>
        <w:t>ecreasing</w:t>
      </w:r>
      <w:r w:rsidR="007F742D" w:rsidRPr="007F742D">
        <w:rPr>
          <w:spacing w:val="-3"/>
        </w:rPr>
        <w:t xml:space="preserve"> trend from 1983 to 1993</w:t>
      </w:r>
      <w:r w:rsidR="00581F43">
        <w:rPr>
          <w:spacing w:val="-3"/>
        </w:rPr>
        <w:t xml:space="preserve">. </w:t>
      </w:r>
      <w:r w:rsidR="007F742D" w:rsidRPr="007F742D">
        <w:rPr>
          <w:spacing w:val="-3"/>
        </w:rPr>
        <w:t xml:space="preserve">Estimated recruitment </w:t>
      </w:r>
      <w:r w:rsidR="007F742D">
        <w:rPr>
          <w:spacing w:val="-3"/>
        </w:rPr>
        <w:t xml:space="preserve">has been highly variable but </w:t>
      </w:r>
      <w:r w:rsidR="00CB4EAA">
        <w:rPr>
          <w:spacing w:val="-3"/>
        </w:rPr>
        <w:t>with</w:t>
      </w:r>
      <w:r w:rsidR="007F742D">
        <w:rPr>
          <w:spacing w:val="-3"/>
        </w:rPr>
        <w:t xml:space="preserve"> an increasing trend in</w:t>
      </w:r>
      <w:r w:rsidR="007F742D" w:rsidRPr="007F742D">
        <w:rPr>
          <w:spacing w:val="-3"/>
        </w:rPr>
        <w:t xml:space="preserve"> recent years</w:t>
      </w:r>
      <w:r w:rsidR="007F742D">
        <w:rPr>
          <w:spacing w:val="-3"/>
        </w:rPr>
        <w:t>.</w:t>
      </w:r>
    </w:p>
    <w:p w:rsidR="009E75F6" w:rsidRPr="00ED2E4A" w:rsidRDefault="009E75F6" w:rsidP="009E75F6">
      <w:pPr>
        <w:jc w:val="both"/>
        <w:rPr>
          <w:spacing w:val="-3"/>
        </w:rPr>
      </w:pPr>
    </w:p>
    <w:p w:rsidR="009E75F6" w:rsidRDefault="009E75F6" w:rsidP="00933DE0">
      <w:pPr>
        <w:numPr>
          <w:ilvl w:val="0"/>
          <w:numId w:val="17"/>
        </w:numPr>
        <w:jc w:val="both"/>
        <w:rPr>
          <w:spacing w:val="-3"/>
        </w:rPr>
      </w:pPr>
      <w:r>
        <w:rPr>
          <w:spacing w:val="-3"/>
        </w:rPr>
        <w:t xml:space="preserve">Management performance. </w:t>
      </w:r>
    </w:p>
    <w:p w:rsidR="009E75F6" w:rsidRDefault="009E75F6" w:rsidP="0001356B">
      <w:pPr>
        <w:jc w:val="both"/>
        <w:rPr>
          <w:spacing w:val="-3"/>
        </w:rPr>
      </w:pPr>
    </w:p>
    <w:p w:rsidR="00CD658F" w:rsidRPr="000B364D" w:rsidRDefault="0001356B" w:rsidP="000B364D">
      <w:pPr>
        <w:jc w:val="both"/>
        <w:rPr>
          <w:i/>
          <w:spacing w:val="-3"/>
          <w:sz w:val="22"/>
          <w:szCs w:val="22"/>
        </w:rPr>
      </w:pPr>
      <w:r w:rsidRPr="000B364D">
        <w:rPr>
          <w:i/>
          <w:spacing w:val="-3"/>
          <w:sz w:val="22"/>
          <w:szCs w:val="22"/>
        </w:rPr>
        <w:t>Status an</w:t>
      </w:r>
      <w:r w:rsidR="00800896">
        <w:rPr>
          <w:i/>
          <w:spacing w:val="-3"/>
          <w:sz w:val="22"/>
          <w:szCs w:val="22"/>
        </w:rPr>
        <w:t>d catch specifications (million</w:t>
      </w:r>
      <w:r w:rsidRPr="000B364D">
        <w:rPr>
          <w:i/>
          <w:spacing w:val="-3"/>
          <w:sz w:val="22"/>
          <w:szCs w:val="22"/>
        </w:rPr>
        <w:t xml:space="preserve"> </w:t>
      </w:r>
      <w:proofErr w:type="spellStart"/>
      <w:r w:rsidRPr="000B364D">
        <w:rPr>
          <w:i/>
          <w:spacing w:val="-3"/>
          <w:sz w:val="22"/>
          <w:szCs w:val="22"/>
        </w:rPr>
        <w:t>lb</w:t>
      </w:r>
      <w:proofErr w:type="spellEnd"/>
      <w:r w:rsidRPr="000B364D">
        <w:rPr>
          <w:i/>
          <w:spacing w:val="-3"/>
          <w:sz w:val="22"/>
          <w:szCs w:val="22"/>
        </w:rPr>
        <w:t>)</w:t>
      </w:r>
    </w:p>
    <w:tbl>
      <w:tblPr>
        <w:tblW w:w="5000" w:type="pct"/>
        <w:tblLook w:val="04A0" w:firstRow="1" w:lastRow="0" w:firstColumn="1" w:lastColumn="0" w:noHBand="0" w:noVBand="1"/>
      </w:tblPr>
      <w:tblGrid>
        <w:gridCol w:w="1778"/>
        <w:gridCol w:w="1103"/>
        <w:gridCol w:w="1316"/>
        <w:gridCol w:w="914"/>
        <w:gridCol w:w="1390"/>
        <w:gridCol w:w="1097"/>
        <w:gridCol w:w="1097"/>
        <w:gridCol w:w="881"/>
      </w:tblGrid>
      <w:tr w:rsidR="00E55CBF" w:rsidRPr="002A201F" w:rsidTr="008264B6">
        <w:trPr>
          <w:trHeight w:val="20"/>
        </w:trPr>
        <w:tc>
          <w:tcPr>
            <w:tcW w:w="928" w:type="pct"/>
            <w:tcBorders>
              <w:top w:val="single" w:sz="12" w:space="0" w:color="auto"/>
              <w:left w:val="nil"/>
              <w:bottom w:val="single" w:sz="12" w:space="0" w:color="auto"/>
              <w:right w:val="nil"/>
            </w:tcBorders>
            <w:shd w:val="clear" w:color="auto" w:fill="auto"/>
            <w:vAlign w:val="center"/>
          </w:tcPr>
          <w:p w:rsidR="00E55CBF" w:rsidRPr="002A201F" w:rsidRDefault="00E55CBF" w:rsidP="008264B6">
            <w:pPr>
              <w:rPr>
                <w:rFonts w:eastAsia="Times New Roman"/>
                <w:b/>
                <w:bCs/>
                <w:color w:val="000000"/>
                <w:lang w:eastAsia="en-US"/>
              </w:rPr>
            </w:pPr>
            <w:r w:rsidRPr="002A201F">
              <w:rPr>
                <w:rFonts w:eastAsia="Times New Roman"/>
                <w:b/>
                <w:bCs/>
                <w:color w:val="000000"/>
                <w:lang w:eastAsia="en-US"/>
              </w:rPr>
              <w:t>Year</w:t>
            </w:r>
          </w:p>
        </w:tc>
        <w:tc>
          <w:tcPr>
            <w:tcW w:w="576" w:type="pct"/>
            <w:tcBorders>
              <w:top w:val="single" w:sz="12" w:space="0" w:color="auto"/>
              <w:left w:val="nil"/>
              <w:bottom w:val="single" w:sz="12" w:space="0" w:color="auto"/>
              <w:right w:val="nil"/>
            </w:tcBorders>
            <w:shd w:val="clear" w:color="auto" w:fill="auto"/>
            <w:vAlign w:val="center"/>
          </w:tcPr>
          <w:p w:rsidR="00E55CBF" w:rsidRPr="002A201F" w:rsidRDefault="00E55CBF" w:rsidP="00702417">
            <w:pPr>
              <w:jc w:val="center"/>
              <w:rPr>
                <w:rFonts w:eastAsia="Times New Roman"/>
                <w:b/>
                <w:bCs/>
                <w:color w:val="000000"/>
                <w:lang w:eastAsia="en-US"/>
              </w:rPr>
            </w:pPr>
            <w:r w:rsidRPr="002A201F">
              <w:rPr>
                <w:rFonts w:eastAsia="Times New Roman"/>
                <w:b/>
                <w:bCs/>
                <w:color w:val="000000"/>
                <w:lang w:eastAsia="en-US"/>
              </w:rPr>
              <w:t>MSST</w:t>
            </w:r>
          </w:p>
        </w:tc>
        <w:tc>
          <w:tcPr>
            <w:tcW w:w="687" w:type="pct"/>
            <w:tcBorders>
              <w:top w:val="single" w:sz="12" w:space="0" w:color="auto"/>
              <w:left w:val="nil"/>
              <w:bottom w:val="single" w:sz="12" w:space="0" w:color="auto"/>
              <w:right w:val="nil"/>
            </w:tcBorders>
            <w:shd w:val="clear" w:color="auto" w:fill="auto"/>
            <w:vAlign w:val="center"/>
          </w:tcPr>
          <w:p w:rsidR="00E55CBF" w:rsidRPr="002A201F" w:rsidRDefault="00E55CBF" w:rsidP="00702417">
            <w:pPr>
              <w:jc w:val="center"/>
              <w:rPr>
                <w:rFonts w:eastAsia="Times New Roman"/>
                <w:b/>
                <w:bCs/>
                <w:color w:val="000000"/>
                <w:lang w:eastAsia="en-US"/>
              </w:rPr>
            </w:pPr>
            <w:r w:rsidRPr="002A201F">
              <w:rPr>
                <w:rFonts w:eastAsia="Times New Roman"/>
                <w:b/>
                <w:bCs/>
                <w:color w:val="000000"/>
                <w:lang w:eastAsia="en-US"/>
              </w:rPr>
              <w:t>Biomass (MMB)</w:t>
            </w:r>
          </w:p>
        </w:tc>
        <w:tc>
          <w:tcPr>
            <w:tcW w:w="477" w:type="pct"/>
            <w:tcBorders>
              <w:top w:val="single" w:sz="12" w:space="0" w:color="auto"/>
              <w:left w:val="nil"/>
              <w:bottom w:val="single" w:sz="12" w:space="0" w:color="auto"/>
              <w:right w:val="nil"/>
            </w:tcBorders>
            <w:shd w:val="clear" w:color="auto" w:fill="auto"/>
            <w:vAlign w:val="center"/>
          </w:tcPr>
          <w:p w:rsidR="00E55CBF" w:rsidRPr="002A201F" w:rsidRDefault="00E55CBF" w:rsidP="00702417">
            <w:pPr>
              <w:jc w:val="center"/>
              <w:rPr>
                <w:rFonts w:eastAsia="Times New Roman"/>
                <w:b/>
                <w:bCs/>
                <w:color w:val="000000"/>
                <w:lang w:eastAsia="en-US"/>
              </w:rPr>
            </w:pPr>
            <w:r w:rsidRPr="002A201F">
              <w:rPr>
                <w:rFonts w:eastAsia="Times New Roman"/>
                <w:b/>
                <w:bCs/>
                <w:color w:val="000000"/>
                <w:lang w:eastAsia="en-US"/>
              </w:rPr>
              <w:t>GHL</w:t>
            </w:r>
          </w:p>
        </w:tc>
        <w:tc>
          <w:tcPr>
            <w:tcW w:w="726" w:type="pct"/>
            <w:tcBorders>
              <w:top w:val="single" w:sz="12" w:space="0" w:color="auto"/>
              <w:left w:val="nil"/>
              <w:bottom w:val="single" w:sz="12" w:space="0" w:color="auto"/>
              <w:right w:val="nil"/>
            </w:tcBorders>
            <w:shd w:val="clear" w:color="auto" w:fill="auto"/>
            <w:vAlign w:val="center"/>
          </w:tcPr>
          <w:p w:rsidR="00E55CBF" w:rsidRPr="002A201F" w:rsidRDefault="00E55CBF" w:rsidP="00702417">
            <w:pPr>
              <w:jc w:val="center"/>
              <w:rPr>
                <w:rFonts w:eastAsia="Times New Roman"/>
                <w:b/>
                <w:bCs/>
                <w:color w:val="000000"/>
                <w:lang w:eastAsia="en-US"/>
              </w:rPr>
            </w:pPr>
            <w:r w:rsidRPr="002A201F">
              <w:rPr>
                <w:rFonts w:eastAsia="Times New Roman"/>
                <w:b/>
                <w:bCs/>
                <w:color w:val="000000"/>
                <w:lang w:eastAsia="en-US"/>
              </w:rPr>
              <w:t>Retained Catch</w:t>
            </w:r>
          </w:p>
        </w:tc>
        <w:tc>
          <w:tcPr>
            <w:tcW w:w="573" w:type="pct"/>
            <w:tcBorders>
              <w:top w:val="single" w:sz="12" w:space="0" w:color="auto"/>
              <w:left w:val="nil"/>
              <w:bottom w:val="single" w:sz="12" w:space="0" w:color="auto"/>
              <w:right w:val="nil"/>
            </w:tcBorders>
            <w:shd w:val="clear" w:color="auto" w:fill="auto"/>
            <w:vAlign w:val="center"/>
          </w:tcPr>
          <w:p w:rsidR="00E55CBF" w:rsidRPr="002A201F" w:rsidRDefault="00E55CBF" w:rsidP="00702417">
            <w:pPr>
              <w:jc w:val="center"/>
              <w:rPr>
                <w:rFonts w:eastAsia="Times New Roman"/>
                <w:b/>
                <w:bCs/>
                <w:color w:val="000000"/>
                <w:lang w:eastAsia="en-US"/>
              </w:rPr>
            </w:pPr>
            <w:r w:rsidRPr="002A201F">
              <w:rPr>
                <w:rFonts w:eastAsia="Times New Roman"/>
                <w:b/>
                <w:bCs/>
                <w:color w:val="000000"/>
                <w:lang w:eastAsia="en-US"/>
              </w:rPr>
              <w:t>Total Catch</w:t>
            </w:r>
          </w:p>
        </w:tc>
        <w:tc>
          <w:tcPr>
            <w:tcW w:w="573" w:type="pct"/>
            <w:tcBorders>
              <w:top w:val="single" w:sz="12" w:space="0" w:color="auto"/>
              <w:left w:val="nil"/>
              <w:bottom w:val="single" w:sz="12" w:space="0" w:color="auto"/>
              <w:right w:val="nil"/>
            </w:tcBorders>
            <w:shd w:val="clear" w:color="auto" w:fill="auto"/>
            <w:vAlign w:val="center"/>
          </w:tcPr>
          <w:p w:rsidR="00E55CBF" w:rsidRPr="002A201F" w:rsidRDefault="00E55CBF" w:rsidP="00702417">
            <w:pPr>
              <w:jc w:val="center"/>
              <w:rPr>
                <w:rFonts w:eastAsia="Times New Roman"/>
                <w:b/>
                <w:bCs/>
                <w:color w:val="000000"/>
                <w:lang w:eastAsia="en-US"/>
              </w:rPr>
            </w:pPr>
            <w:r w:rsidRPr="002A201F">
              <w:rPr>
                <w:rFonts w:eastAsia="Times New Roman"/>
                <w:b/>
                <w:bCs/>
                <w:color w:val="000000"/>
                <w:lang w:eastAsia="en-US"/>
              </w:rPr>
              <w:t>OFL</w:t>
            </w:r>
          </w:p>
        </w:tc>
        <w:tc>
          <w:tcPr>
            <w:tcW w:w="460" w:type="pct"/>
            <w:tcBorders>
              <w:top w:val="single" w:sz="12" w:space="0" w:color="auto"/>
              <w:left w:val="nil"/>
              <w:bottom w:val="single" w:sz="12" w:space="0" w:color="auto"/>
              <w:right w:val="nil"/>
            </w:tcBorders>
            <w:vAlign w:val="center"/>
          </w:tcPr>
          <w:p w:rsidR="00E55CBF" w:rsidRPr="002A201F" w:rsidRDefault="00E55CBF" w:rsidP="00702417">
            <w:pPr>
              <w:jc w:val="center"/>
              <w:rPr>
                <w:rFonts w:eastAsia="Times New Roman"/>
                <w:b/>
                <w:bCs/>
                <w:color w:val="000000"/>
                <w:lang w:eastAsia="en-US"/>
              </w:rPr>
            </w:pPr>
            <w:r>
              <w:rPr>
                <w:rFonts w:eastAsia="Times New Roman"/>
                <w:b/>
                <w:bCs/>
                <w:color w:val="000000"/>
                <w:lang w:eastAsia="en-US"/>
              </w:rPr>
              <w:t>ABC</w:t>
            </w:r>
          </w:p>
        </w:tc>
      </w:tr>
      <w:tr w:rsidR="00593FF9" w:rsidRPr="002A201F" w:rsidTr="008264B6">
        <w:trPr>
          <w:trHeight w:val="20"/>
        </w:trPr>
        <w:tc>
          <w:tcPr>
            <w:tcW w:w="928"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sidRPr="002A201F">
              <w:rPr>
                <w:rFonts w:eastAsia="Times New Roman"/>
                <w:color w:val="000000"/>
                <w:lang w:eastAsia="en-US"/>
              </w:rPr>
              <w:t>2010</w:t>
            </w:r>
            <w:r>
              <w:rPr>
                <w:rFonts w:eastAsia="Times New Roman"/>
                <w:color w:val="000000"/>
                <w:lang w:eastAsia="en-US"/>
              </w:rPr>
              <w:t>/11</w:t>
            </w:r>
          </w:p>
        </w:tc>
        <w:tc>
          <w:tcPr>
            <w:tcW w:w="576" w:type="pct"/>
            <w:tcBorders>
              <w:top w:val="nil"/>
              <w:left w:val="nil"/>
              <w:right w:val="nil"/>
            </w:tcBorders>
            <w:shd w:val="clear" w:color="auto" w:fill="auto"/>
            <w:noWrap/>
            <w:vAlign w:val="center"/>
          </w:tcPr>
          <w:p w:rsidR="00593FF9" w:rsidRPr="000E4452" w:rsidRDefault="00593FF9" w:rsidP="00702417">
            <w:pPr>
              <w:jc w:val="center"/>
              <w:rPr>
                <w:rFonts w:eastAsia="Times New Roman"/>
                <w:color w:val="000000"/>
                <w:vertAlign w:val="superscript"/>
                <w:lang w:eastAsia="en-US"/>
              </w:rPr>
            </w:pPr>
            <w:r w:rsidRPr="002A201F">
              <w:rPr>
                <w:rFonts w:eastAsia="Times New Roman"/>
                <w:color w:val="000000"/>
                <w:lang w:eastAsia="en-US"/>
              </w:rPr>
              <w:t>1.56</w:t>
            </w:r>
            <w:r w:rsidR="004E66CC">
              <w:rPr>
                <w:rFonts w:eastAsia="Times New Roman"/>
                <w:color w:val="000000"/>
                <w:vertAlign w:val="superscript"/>
                <w:lang w:eastAsia="en-US"/>
              </w:rPr>
              <w:t>A</w:t>
            </w:r>
          </w:p>
        </w:tc>
        <w:tc>
          <w:tcPr>
            <w:tcW w:w="687" w:type="pct"/>
            <w:tcBorders>
              <w:top w:val="nil"/>
              <w:left w:val="nil"/>
              <w:right w:val="nil"/>
            </w:tcBorders>
            <w:shd w:val="clear" w:color="auto" w:fill="auto"/>
            <w:noWrap/>
            <w:vAlign w:val="center"/>
          </w:tcPr>
          <w:p w:rsidR="00593FF9" w:rsidRPr="000E4452" w:rsidRDefault="00593FF9" w:rsidP="00702417">
            <w:pPr>
              <w:jc w:val="center"/>
              <w:rPr>
                <w:rFonts w:eastAsia="Times New Roman"/>
                <w:color w:val="000000"/>
                <w:vertAlign w:val="superscript"/>
                <w:lang w:eastAsia="en-US"/>
              </w:rPr>
            </w:pPr>
            <w:r w:rsidRPr="002A201F">
              <w:rPr>
                <w:rFonts w:eastAsia="Times New Roman"/>
                <w:color w:val="000000"/>
                <w:lang w:eastAsia="en-US"/>
              </w:rPr>
              <w:t>5.44</w:t>
            </w:r>
          </w:p>
        </w:tc>
        <w:tc>
          <w:tcPr>
            <w:tcW w:w="477"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0.40</w:t>
            </w:r>
          </w:p>
        </w:tc>
        <w:tc>
          <w:tcPr>
            <w:tcW w:w="726"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0.42</w:t>
            </w:r>
          </w:p>
        </w:tc>
        <w:tc>
          <w:tcPr>
            <w:tcW w:w="573" w:type="pct"/>
            <w:tcBorders>
              <w:top w:val="nil"/>
              <w:left w:val="nil"/>
              <w:right w:val="nil"/>
            </w:tcBorders>
            <w:shd w:val="clear" w:color="auto" w:fill="auto"/>
            <w:noWrap/>
            <w:vAlign w:val="center"/>
          </w:tcPr>
          <w:p w:rsidR="00593FF9" w:rsidRPr="00393D6E" w:rsidRDefault="00593FF9" w:rsidP="00702417">
            <w:pPr>
              <w:contextualSpacing/>
              <w:jc w:val="center"/>
              <w:rPr>
                <w:rFonts w:eastAsia="Times New Roman"/>
                <w:color w:val="000000"/>
                <w:lang w:eastAsia="en-US"/>
              </w:rPr>
            </w:pPr>
            <w:r w:rsidRPr="00393D6E">
              <w:rPr>
                <w:rFonts w:eastAsia="Times New Roman"/>
                <w:color w:val="000000"/>
                <w:lang w:eastAsia="en-US"/>
              </w:rPr>
              <w:t>0.46</w:t>
            </w:r>
          </w:p>
        </w:tc>
        <w:tc>
          <w:tcPr>
            <w:tcW w:w="573" w:type="pct"/>
            <w:tcBorders>
              <w:top w:val="nil"/>
              <w:left w:val="nil"/>
              <w:right w:val="nil"/>
            </w:tcBorders>
            <w:shd w:val="clear" w:color="auto" w:fill="auto"/>
            <w:noWrap/>
            <w:vAlign w:val="center"/>
          </w:tcPr>
          <w:p w:rsidR="00593FF9" w:rsidRPr="000E4452" w:rsidRDefault="00593FF9" w:rsidP="00702417">
            <w:pPr>
              <w:jc w:val="center"/>
              <w:rPr>
                <w:rFonts w:eastAsia="Times New Roman"/>
                <w:color w:val="000000"/>
                <w:vertAlign w:val="superscript"/>
                <w:lang w:eastAsia="en-US"/>
              </w:rPr>
            </w:pPr>
            <w:r w:rsidRPr="002A201F">
              <w:rPr>
                <w:rFonts w:eastAsia="Times New Roman"/>
                <w:color w:val="000000"/>
                <w:lang w:eastAsia="en-US"/>
              </w:rPr>
              <w:t>0.73</w:t>
            </w:r>
            <w:r w:rsidR="004E66CC">
              <w:rPr>
                <w:rFonts w:eastAsia="Times New Roman"/>
                <w:color w:val="000000"/>
                <w:vertAlign w:val="superscript"/>
                <w:lang w:eastAsia="en-US"/>
              </w:rPr>
              <w:t>A</w:t>
            </w:r>
          </w:p>
        </w:tc>
        <w:tc>
          <w:tcPr>
            <w:tcW w:w="460" w:type="pct"/>
            <w:tcBorders>
              <w:top w:val="nil"/>
              <w:left w:val="nil"/>
              <w:right w:val="nil"/>
            </w:tcBorders>
            <w:vAlign w:val="center"/>
          </w:tcPr>
          <w:p w:rsidR="00593FF9" w:rsidRPr="002A201F" w:rsidRDefault="00593FF9" w:rsidP="00702417">
            <w:pPr>
              <w:jc w:val="center"/>
              <w:rPr>
                <w:rFonts w:eastAsia="Times New Roman"/>
                <w:color w:val="000000"/>
                <w:lang w:eastAsia="en-US"/>
              </w:rPr>
            </w:pPr>
          </w:p>
        </w:tc>
      </w:tr>
      <w:tr w:rsidR="00593FF9" w:rsidRPr="002A201F" w:rsidTr="008264B6">
        <w:trPr>
          <w:trHeight w:val="20"/>
        </w:trPr>
        <w:tc>
          <w:tcPr>
            <w:tcW w:w="928"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2011/12</w:t>
            </w:r>
          </w:p>
        </w:tc>
        <w:tc>
          <w:tcPr>
            <w:tcW w:w="576"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sidRPr="002A201F">
              <w:rPr>
                <w:rFonts w:eastAsia="Times New Roman"/>
                <w:color w:val="000000"/>
                <w:lang w:eastAsia="en-US"/>
              </w:rPr>
              <w:t>1.56</w:t>
            </w:r>
            <w:r w:rsidR="004E66CC">
              <w:rPr>
                <w:rFonts w:eastAsia="Times New Roman"/>
                <w:color w:val="000000"/>
                <w:vertAlign w:val="superscript"/>
                <w:lang w:eastAsia="en-US"/>
              </w:rPr>
              <w:t>B</w:t>
            </w:r>
          </w:p>
        </w:tc>
        <w:tc>
          <w:tcPr>
            <w:tcW w:w="687"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4.70</w:t>
            </w:r>
          </w:p>
        </w:tc>
        <w:tc>
          <w:tcPr>
            <w:tcW w:w="477"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0.36</w:t>
            </w:r>
          </w:p>
        </w:tc>
        <w:tc>
          <w:tcPr>
            <w:tcW w:w="726"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0.40</w:t>
            </w:r>
          </w:p>
        </w:tc>
        <w:tc>
          <w:tcPr>
            <w:tcW w:w="573" w:type="pct"/>
            <w:tcBorders>
              <w:top w:val="nil"/>
              <w:left w:val="nil"/>
              <w:right w:val="nil"/>
            </w:tcBorders>
            <w:shd w:val="clear" w:color="auto" w:fill="auto"/>
            <w:noWrap/>
            <w:vAlign w:val="center"/>
          </w:tcPr>
          <w:p w:rsidR="00593FF9" w:rsidRPr="00393D6E" w:rsidRDefault="00593FF9" w:rsidP="00702417">
            <w:pPr>
              <w:contextualSpacing/>
              <w:jc w:val="center"/>
              <w:rPr>
                <w:rFonts w:eastAsia="Times New Roman"/>
                <w:color w:val="000000"/>
                <w:lang w:eastAsia="en-US"/>
              </w:rPr>
            </w:pPr>
            <w:r>
              <w:rPr>
                <w:rFonts w:eastAsia="Times New Roman"/>
                <w:color w:val="000000"/>
                <w:lang w:eastAsia="en-US"/>
              </w:rPr>
              <w:t>0.43</w:t>
            </w:r>
          </w:p>
        </w:tc>
        <w:tc>
          <w:tcPr>
            <w:tcW w:w="573"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0.66</w:t>
            </w:r>
            <w:r w:rsidR="004E66CC">
              <w:rPr>
                <w:rFonts w:eastAsia="Times New Roman"/>
                <w:color w:val="000000"/>
                <w:vertAlign w:val="superscript"/>
                <w:lang w:eastAsia="en-US"/>
              </w:rPr>
              <w:t>B</w:t>
            </w:r>
          </w:p>
        </w:tc>
        <w:tc>
          <w:tcPr>
            <w:tcW w:w="460" w:type="pct"/>
            <w:tcBorders>
              <w:top w:val="nil"/>
              <w:left w:val="nil"/>
              <w:right w:val="nil"/>
            </w:tcBorders>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0.59</w:t>
            </w:r>
          </w:p>
        </w:tc>
      </w:tr>
      <w:tr w:rsidR="00593FF9" w:rsidRPr="002A201F" w:rsidTr="008264B6">
        <w:trPr>
          <w:trHeight w:val="20"/>
        </w:trPr>
        <w:tc>
          <w:tcPr>
            <w:tcW w:w="928"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2012/13</w:t>
            </w:r>
          </w:p>
        </w:tc>
        <w:tc>
          <w:tcPr>
            <w:tcW w:w="576"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1.78</w:t>
            </w:r>
            <w:r w:rsidR="004E66CC">
              <w:rPr>
                <w:rFonts w:eastAsia="Times New Roman"/>
                <w:color w:val="000000"/>
                <w:vertAlign w:val="superscript"/>
                <w:lang w:eastAsia="en-US"/>
              </w:rPr>
              <w:t>C</w:t>
            </w:r>
          </w:p>
        </w:tc>
        <w:tc>
          <w:tcPr>
            <w:tcW w:w="687"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4.59</w:t>
            </w:r>
          </w:p>
        </w:tc>
        <w:tc>
          <w:tcPr>
            <w:tcW w:w="477" w:type="pct"/>
            <w:tcBorders>
              <w:top w:val="nil"/>
              <w:left w:val="nil"/>
              <w:right w:val="nil"/>
            </w:tcBorders>
            <w:shd w:val="clear" w:color="auto" w:fill="auto"/>
            <w:noWrap/>
            <w:vAlign w:val="center"/>
          </w:tcPr>
          <w:p w:rsidR="00593FF9" w:rsidRPr="002A201F" w:rsidRDefault="00282332" w:rsidP="00702417">
            <w:pPr>
              <w:jc w:val="center"/>
              <w:rPr>
                <w:rFonts w:eastAsia="Times New Roman"/>
                <w:color w:val="000000"/>
                <w:lang w:eastAsia="en-US"/>
              </w:rPr>
            </w:pPr>
            <w:r>
              <w:rPr>
                <w:rFonts w:eastAsia="Times New Roman"/>
                <w:color w:val="000000"/>
                <w:lang w:eastAsia="en-US"/>
              </w:rPr>
              <w:t>0.47</w:t>
            </w:r>
          </w:p>
        </w:tc>
        <w:tc>
          <w:tcPr>
            <w:tcW w:w="726" w:type="pct"/>
            <w:tcBorders>
              <w:top w:val="nil"/>
              <w:left w:val="nil"/>
              <w:right w:val="nil"/>
            </w:tcBorders>
            <w:shd w:val="clear" w:color="auto" w:fill="auto"/>
            <w:noWrap/>
            <w:vAlign w:val="center"/>
          </w:tcPr>
          <w:p w:rsidR="00593FF9" w:rsidRPr="002A201F" w:rsidRDefault="00282332" w:rsidP="00702417">
            <w:pPr>
              <w:jc w:val="center"/>
              <w:rPr>
                <w:rFonts w:eastAsia="Times New Roman"/>
                <w:color w:val="000000"/>
                <w:lang w:eastAsia="en-US"/>
              </w:rPr>
            </w:pPr>
            <w:r>
              <w:rPr>
                <w:rFonts w:eastAsia="Times New Roman"/>
                <w:color w:val="000000"/>
                <w:lang w:eastAsia="en-US"/>
              </w:rPr>
              <w:t>0.47</w:t>
            </w:r>
          </w:p>
        </w:tc>
        <w:tc>
          <w:tcPr>
            <w:tcW w:w="573" w:type="pct"/>
            <w:tcBorders>
              <w:top w:val="nil"/>
              <w:left w:val="nil"/>
              <w:right w:val="nil"/>
            </w:tcBorders>
            <w:shd w:val="clear" w:color="auto" w:fill="auto"/>
            <w:noWrap/>
            <w:vAlign w:val="center"/>
          </w:tcPr>
          <w:p w:rsidR="00593FF9" w:rsidRPr="002A201F" w:rsidRDefault="00282332" w:rsidP="00702417">
            <w:pPr>
              <w:jc w:val="center"/>
              <w:rPr>
                <w:rFonts w:eastAsia="Times New Roman"/>
                <w:color w:val="000000"/>
                <w:lang w:eastAsia="en-US"/>
              </w:rPr>
            </w:pPr>
            <w:r>
              <w:rPr>
                <w:rFonts w:eastAsia="Times New Roman"/>
                <w:color w:val="000000"/>
                <w:lang w:eastAsia="en-US"/>
              </w:rPr>
              <w:t>0.47</w:t>
            </w:r>
          </w:p>
        </w:tc>
        <w:tc>
          <w:tcPr>
            <w:tcW w:w="573" w:type="pct"/>
            <w:tcBorders>
              <w:top w:val="nil"/>
              <w:left w:val="nil"/>
              <w:right w:val="nil"/>
            </w:tcBorders>
            <w:shd w:val="clear" w:color="auto" w:fill="auto"/>
            <w:noWrap/>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0.53</w:t>
            </w:r>
            <w:r w:rsidR="004E66CC">
              <w:rPr>
                <w:rFonts w:eastAsia="Times New Roman"/>
                <w:color w:val="000000"/>
                <w:vertAlign w:val="superscript"/>
                <w:lang w:eastAsia="en-US"/>
              </w:rPr>
              <w:t>C</w:t>
            </w:r>
          </w:p>
        </w:tc>
        <w:tc>
          <w:tcPr>
            <w:tcW w:w="460" w:type="pct"/>
            <w:tcBorders>
              <w:top w:val="nil"/>
              <w:left w:val="nil"/>
              <w:right w:val="nil"/>
            </w:tcBorders>
            <w:vAlign w:val="center"/>
          </w:tcPr>
          <w:p w:rsidR="00593FF9" w:rsidRPr="002A201F" w:rsidRDefault="00593FF9" w:rsidP="00702417">
            <w:pPr>
              <w:jc w:val="center"/>
              <w:rPr>
                <w:rFonts w:eastAsia="Times New Roman"/>
                <w:color w:val="000000"/>
                <w:lang w:eastAsia="en-US"/>
              </w:rPr>
            </w:pPr>
            <w:r>
              <w:rPr>
                <w:rFonts w:eastAsia="Times New Roman"/>
                <w:color w:val="000000"/>
                <w:lang w:eastAsia="en-US"/>
              </w:rPr>
              <w:t>0.48</w:t>
            </w:r>
          </w:p>
        </w:tc>
      </w:tr>
      <w:tr w:rsidR="00D85712" w:rsidRPr="002A201F" w:rsidTr="008264B6">
        <w:trPr>
          <w:trHeight w:val="20"/>
        </w:trPr>
        <w:tc>
          <w:tcPr>
            <w:tcW w:w="928" w:type="pct"/>
            <w:tcBorders>
              <w:left w:val="nil"/>
              <w:right w:val="nil"/>
            </w:tcBorders>
            <w:shd w:val="clear" w:color="auto" w:fill="auto"/>
            <w:noWrap/>
            <w:vAlign w:val="center"/>
          </w:tcPr>
          <w:p w:rsidR="00D85712" w:rsidRDefault="00D85712" w:rsidP="00702417">
            <w:pPr>
              <w:jc w:val="center"/>
              <w:rPr>
                <w:rFonts w:eastAsia="Times New Roman"/>
                <w:color w:val="000000"/>
                <w:lang w:eastAsia="en-US"/>
              </w:rPr>
            </w:pPr>
            <w:r>
              <w:rPr>
                <w:rFonts w:eastAsia="Times New Roman"/>
                <w:color w:val="000000"/>
                <w:lang w:eastAsia="en-US"/>
              </w:rPr>
              <w:t>2013</w:t>
            </w:r>
            <w:r w:rsidR="00AB40A3">
              <w:rPr>
                <w:rFonts w:eastAsia="Times New Roman"/>
                <w:color w:val="000000"/>
                <w:lang w:eastAsia="en-US"/>
              </w:rPr>
              <w:t>/14</w:t>
            </w:r>
          </w:p>
        </w:tc>
        <w:tc>
          <w:tcPr>
            <w:tcW w:w="576" w:type="pct"/>
            <w:tcBorders>
              <w:left w:val="nil"/>
              <w:right w:val="nil"/>
            </w:tcBorders>
            <w:shd w:val="clear" w:color="auto" w:fill="auto"/>
            <w:noWrap/>
            <w:vAlign w:val="center"/>
          </w:tcPr>
          <w:p w:rsidR="00D85712" w:rsidRPr="002A201F" w:rsidRDefault="002E1218" w:rsidP="00702417">
            <w:pPr>
              <w:jc w:val="center"/>
              <w:rPr>
                <w:rFonts w:eastAsia="Times New Roman"/>
                <w:color w:val="000000"/>
                <w:lang w:eastAsia="en-US"/>
              </w:rPr>
            </w:pPr>
            <w:r>
              <w:rPr>
                <w:rFonts w:eastAsia="Times New Roman"/>
                <w:color w:val="000000"/>
                <w:lang w:eastAsia="en-US"/>
              </w:rPr>
              <w:t>2.06</w:t>
            </w:r>
            <w:r w:rsidR="004E66CC">
              <w:rPr>
                <w:rFonts w:eastAsia="Times New Roman"/>
                <w:color w:val="000000"/>
                <w:vertAlign w:val="superscript"/>
                <w:lang w:eastAsia="en-US"/>
              </w:rPr>
              <w:t>D</w:t>
            </w:r>
          </w:p>
        </w:tc>
        <w:tc>
          <w:tcPr>
            <w:tcW w:w="687" w:type="pct"/>
            <w:tcBorders>
              <w:left w:val="nil"/>
              <w:right w:val="nil"/>
            </w:tcBorders>
            <w:shd w:val="clear" w:color="auto" w:fill="auto"/>
            <w:noWrap/>
            <w:vAlign w:val="center"/>
          </w:tcPr>
          <w:p w:rsidR="00D85712" w:rsidRDefault="002E1218" w:rsidP="00702417">
            <w:pPr>
              <w:jc w:val="center"/>
              <w:rPr>
                <w:rFonts w:eastAsia="Times New Roman"/>
                <w:color w:val="000000"/>
                <w:lang w:eastAsia="en-US"/>
              </w:rPr>
            </w:pPr>
            <w:r>
              <w:rPr>
                <w:rFonts w:eastAsia="Times New Roman"/>
                <w:color w:val="000000"/>
                <w:lang w:eastAsia="en-US"/>
              </w:rPr>
              <w:t>5.00</w:t>
            </w:r>
          </w:p>
        </w:tc>
        <w:tc>
          <w:tcPr>
            <w:tcW w:w="477" w:type="pct"/>
            <w:tcBorders>
              <w:left w:val="nil"/>
              <w:right w:val="nil"/>
            </w:tcBorders>
            <w:shd w:val="clear" w:color="auto" w:fill="auto"/>
            <w:noWrap/>
            <w:vAlign w:val="center"/>
          </w:tcPr>
          <w:p w:rsidR="00D85712" w:rsidRDefault="001F1094" w:rsidP="00702417">
            <w:pPr>
              <w:jc w:val="center"/>
              <w:rPr>
                <w:rFonts w:eastAsia="Times New Roman"/>
                <w:color w:val="000000"/>
                <w:lang w:eastAsia="en-US"/>
              </w:rPr>
            </w:pPr>
            <w:r>
              <w:rPr>
                <w:rFonts w:eastAsia="Times New Roman"/>
                <w:color w:val="000000"/>
                <w:lang w:eastAsia="en-US"/>
              </w:rPr>
              <w:t>0.</w:t>
            </w:r>
            <w:r w:rsidR="00964610">
              <w:rPr>
                <w:rFonts w:eastAsia="Times New Roman"/>
                <w:color w:val="000000"/>
                <w:lang w:eastAsia="en-US"/>
              </w:rPr>
              <w:t>50</w:t>
            </w:r>
          </w:p>
        </w:tc>
        <w:tc>
          <w:tcPr>
            <w:tcW w:w="726" w:type="pct"/>
            <w:tcBorders>
              <w:left w:val="nil"/>
              <w:right w:val="nil"/>
            </w:tcBorders>
            <w:shd w:val="clear" w:color="auto" w:fill="auto"/>
            <w:noWrap/>
            <w:vAlign w:val="center"/>
          </w:tcPr>
          <w:p w:rsidR="00D85712" w:rsidRDefault="00964610" w:rsidP="00702417">
            <w:pPr>
              <w:jc w:val="center"/>
              <w:rPr>
                <w:rFonts w:eastAsia="Times New Roman"/>
                <w:color w:val="000000"/>
                <w:lang w:eastAsia="en-US"/>
              </w:rPr>
            </w:pPr>
            <w:r>
              <w:rPr>
                <w:rFonts w:eastAsia="Times New Roman"/>
                <w:color w:val="000000"/>
                <w:lang w:eastAsia="en-US"/>
              </w:rPr>
              <w:t>0.35</w:t>
            </w:r>
          </w:p>
        </w:tc>
        <w:tc>
          <w:tcPr>
            <w:tcW w:w="573" w:type="pct"/>
            <w:tcBorders>
              <w:left w:val="nil"/>
              <w:right w:val="nil"/>
            </w:tcBorders>
            <w:shd w:val="clear" w:color="auto" w:fill="auto"/>
            <w:noWrap/>
            <w:vAlign w:val="center"/>
          </w:tcPr>
          <w:p w:rsidR="00D85712" w:rsidRDefault="00964610" w:rsidP="00702417">
            <w:pPr>
              <w:jc w:val="center"/>
              <w:rPr>
                <w:rFonts w:eastAsia="Times New Roman"/>
                <w:color w:val="000000"/>
                <w:lang w:eastAsia="en-US"/>
              </w:rPr>
            </w:pPr>
            <w:r>
              <w:rPr>
                <w:rFonts w:eastAsia="Times New Roman"/>
                <w:color w:val="000000"/>
                <w:lang w:eastAsia="en-US"/>
              </w:rPr>
              <w:t>0.35</w:t>
            </w:r>
          </w:p>
        </w:tc>
        <w:tc>
          <w:tcPr>
            <w:tcW w:w="573" w:type="pct"/>
            <w:tcBorders>
              <w:left w:val="nil"/>
              <w:right w:val="nil"/>
            </w:tcBorders>
            <w:shd w:val="clear" w:color="auto" w:fill="auto"/>
            <w:noWrap/>
            <w:vAlign w:val="center"/>
          </w:tcPr>
          <w:p w:rsidR="00D85712" w:rsidRDefault="002E1218" w:rsidP="00702417">
            <w:pPr>
              <w:jc w:val="center"/>
              <w:rPr>
                <w:rFonts w:eastAsia="Times New Roman"/>
                <w:color w:val="000000"/>
                <w:lang w:eastAsia="en-US"/>
              </w:rPr>
            </w:pPr>
            <w:r>
              <w:rPr>
                <w:rFonts w:eastAsia="Times New Roman"/>
                <w:color w:val="000000"/>
                <w:lang w:eastAsia="en-US"/>
              </w:rPr>
              <w:t>0.58</w:t>
            </w:r>
            <w:r w:rsidR="004E66CC">
              <w:rPr>
                <w:rFonts w:eastAsia="Times New Roman"/>
                <w:color w:val="000000"/>
                <w:vertAlign w:val="superscript"/>
                <w:lang w:eastAsia="en-US"/>
              </w:rPr>
              <w:t>D</w:t>
            </w:r>
          </w:p>
        </w:tc>
        <w:tc>
          <w:tcPr>
            <w:tcW w:w="460" w:type="pct"/>
            <w:tcBorders>
              <w:left w:val="nil"/>
              <w:right w:val="nil"/>
            </w:tcBorders>
            <w:vAlign w:val="center"/>
          </w:tcPr>
          <w:p w:rsidR="00D85712" w:rsidRDefault="002E1218" w:rsidP="00702417">
            <w:pPr>
              <w:jc w:val="center"/>
              <w:rPr>
                <w:rFonts w:eastAsia="Times New Roman"/>
                <w:color w:val="000000"/>
                <w:lang w:eastAsia="en-US"/>
              </w:rPr>
            </w:pPr>
            <w:r>
              <w:rPr>
                <w:rFonts w:eastAsia="Times New Roman"/>
                <w:color w:val="000000"/>
                <w:lang w:eastAsia="en-US"/>
              </w:rPr>
              <w:t>0.52</w:t>
            </w:r>
          </w:p>
        </w:tc>
      </w:tr>
      <w:tr w:rsidR="004E66CC" w:rsidRPr="002A201F" w:rsidTr="008264B6">
        <w:trPr>
          <w:trHeight w:val="20"/>
        </w:trPr>
        <w:tc>
          <w:tcPr>
            <w:tcW w:w="928" w:type="pct"/>
            <w:tcBorders>
              <w:left w:val="nil"/>
              <w:bottom w:val="single" w:sz="12" w:space="0" w:color="auto"/>
              <w:right w:val="nil"/>
            </w:tcBorders>
            <w:shd w:val="clear" w:color="auto" w:fill="auto"/>
            <w:noWrap/>
            <w:vAlign w:val="center"/>
          </w:tcPr>
          <w:p w:rsidR="004E66CC" w:rsidRDefault="00AB40A3" w:rsidP="00702417">
            <w:pPr>
              <w:jc w:val="center"/>
              <w:rPr>
                <w:rFonts w:eastAsia="Times New Roman"/>
                <w:color w:val="000000"/>
                <w:lang w:eastAsia="en-US"/>
              </w:rPr>
            </w:pPr>
            <w:r>
              <w:rPr>
                <w:rFonts w:eastAsia="Times New Roman"/>
                <w:color w:val="000000"/>
                <w:lang w:eastAsia="en-US"/>
              </w:rPr>
              <w:t>2014</w:t>
            </w:r>
            <w:r w:rsidR="001E09F7">
              <w:rPr>
                <w:rFonts w:eastAsia="Times New Roman"/>
                <w:color w:val="000000"/>
                <w:lang w:eastAsia="en-US"/>
              </w:rPr>
              <w:t>/</w:t>
            </w:r>
            <w:r w:rsidR="004E66CC">
              <w:rPr>
                <w:rFonts w:eastAsia="Times New Roman"/>
                <w:color w:val="000000"/>
                <w:lang w:eastAsia="en-US"/>
              </w:rPr>
              <w:t>1</w:t>
            </w:r>
            <w:r>
              <w:rPr>
                <w:rFonts w:eastAsia="Times New Roman"/>
                <w:color w:val="000000"/>
                <w:lang w:eastAsia="en-US"/>
              </w:rPr>
              <w:t>5</w:t>
            </w:r>
          </w:p>
        </w:tc>
        <w:tc>
          <w:tcPr>
            <w:tcW w:w="576" w:type="pct"/>
            <w:tcBorders>
              <w:left w:val="nil"/>
              <w:bottom w:val="single" w:sz="12" w:space="0" w:color="auto"/>
              <w:right w:val="nil"/>
            </w:tcBorders>
            <w:shd w:val="clear" w:color="auto" w:fill="auto"/>
            <w:noWrap/>
            <w:vAlign w:val="center"/>
          </w:tcPr>
          <w:p w:rsidR="004E66CC" w:rsidRDefault="00DD250B" w:rsidP="00702417">
            <w:pPr>
              <w:jc w:val="center"/>
              <w:rPr>
                <w:rFonts w:eastAsia="Times New Roman"/>
                <w:color w:val="000000"/>
                <w:lang w:eastAsia="en-US"/>
              </w:rPr>
            </w:pPr>
            <w:r>
              <w:rPr>
                <w:rFonts w:eastAsia="Times New Roman"/>
                <w:color w:val="000000"/>
                <w:lang w:eastAsia="en-US"/>
              </w:rPr>
              <w:t>2.11</w:t>
            </w:r>
            <w:r w:rsidR="003716BD">
              <w:rPr>
                <w:rFonts w:eastAsia="Times New Roman"/>
                <w:color w:val="000000"/>
                <w:vertAlign w:val="superscript"/>
                <w:lang w:eastAsia="en-US"/>
              </w:rPr>
              <w:t>E</w:t>
            </w:r>
          </w:p>
        </w:tc>
        <w:tc>
          <w:tcPr>
            <w:tcW w:w="687" w:type="pct"/>
            <w:tcBorders>
              <w:left w:val="nil"/>
              <w:bottom w:val="single" w:sz="12" w:space="0" w:color="auto"/>
              <w:right w:val="nil"/>
            </w:tcBorders>
            <w:shd w:val="clear" w:color="auto" w:fill="auto"/>
            <w:noWrap/>
            <w:vAlign w:val="center"/>
          </w:tcPr>
          <w:p w:rsidR="004E66CC" w:rsidRDefault="00DD250B" w:rsidP="00702417">
            <w:pPr>
              <w:jc w:val="center"/>
              <w:rPr>
                <w:rFonts w:eastAsia="Times New Roman"/>
                <w:color w:val="000000"/>
                <w:lang w:eastAsia="en-US"/>
              </w:rPr>
            </w:pPr>
            <w:r>
              <w:rPr>
                <w:rFonts w:eastAsia="Times New Roman"/>
                <w:color w:val="000000"/>
                <w:lang w:eastAsia="en-US"/>
              </w:rPr>
              <w:t>3.7</w:t>
            </w:r>
            <w:r w:rsidR="006C152C">
              <w:rPr>
                <w:rFonts w:eastAsia="Times New Roman"/>
                <w:color w:val="000000"/>
                <w:lang w:eastAsia="en-US"/>
              </w:rPr>
              <w:t>1</w:t>
            </w:r>
          </w:p>
        </w:tc>
        <w:tc>
          <w:tcPr>
            <w:tcW w:w="477" w:type="pct"/>
            <w:tcBorders>
              <w:left w:val="nil"/>
              <w:bottom w:val="single" w:sz="12" w:space="0" w:color="auto"/>
              <w:right w:val="nil"/>
            </w:tcBorders>
            <w:shd w:val="clear" w:color="auto" w:fill="auto"/>
            <w:noWrap/>
            <w:vAlign w:val="center"/>
          </w:tcPr>
          <w:p w:rsidR="004E66CC" w:rsidRDefault="00EC16E8" w:rsidP="00702417">
            <w:pPr>
              <w:jc w:val="center"/>
              <w:rPr>
                <w:rFonts w:eastAsia="Times New Roman"/>
                <w:color w:val="000000"/>
                <w:lang w:eastAsia="en-US"/>
              </w:rPr>
            </w:pPr>
            <w:r>
              <w:rPr>
                <w:rFonts w:eastAsia="Times New Roman"/>
                <w:color w:val="000000"/>
                <w:lang w:eastAsia="en-US"/>
              </w:rPr>
              <w:t>TBD</w:t>
            </w:r>
          </w:p>
        </w:tc>
        <w:tc>
          <w:tcPr>
            <w:tcW w:w="726" w:type="pct"/>
            <w:tcBorders>
              <w:left w:val="nil"/>
              <w:bottom w:val="single" w:sz="12" w:space="0" w:color="auto"/>
              <w:right w:val="nil"/>
            </w:tcBorders>
            <w:shd w:val="clear" w:color="auto" w:fill="auto"/>
            <w:noWrap/>
            <w:vAlign w:val="center"/>
          </w:tcPr>
          <w:p w:rsidR="004E66CC" w:rsidRDefault="00EC16E8" w:rsidP="00702417">
            <w:pPr>
              <w:jc w:val="center"/>
              <w:rPr>
                <w:rFonts w:eastAsia="Times New Roman"/>
                <w:color w:val="000000"/>
                <w:lang w:eastAsia="en-US"/>
              </w:rPr>
            </w:pPr>
            <w:r>
              <w:rPr>
                <w:rFonts w:eastAsia="Times New Roman"/>
                <w:color w:val="000000"/>
                <w:lang w:eastAsia="en-US"/>
              </w:rPr>
              <w:t>TBD</w:t>
            </w:r>
          </w:p>
        </w:tc>
        <w:tc>
          <w:tcPr>
            <w:tcW w:w="573" w:type="pct"/>
            <w:tcBorders>
              <w:left w:val="nil"/>
              <w:bottom w:val="single" w:sz="12" w:space="0" w:color="auto"/>
              <w:right w:val="nil"/>
            </w:tcBorders>
            <w:shd w:val="clear" w:color="auto" w:fill="auto"/>
            <w:noWrap/>
            <w:vAlign w:val="center"/>
          </w:tcPr>
          <w:p w:rsidR="004E66CC" w:rsidRDefault="00EC16E8" w:rsidP="00702417">
            <w:pPr>
              <w:jc w:val="center"/>
              <w:rPr>
                <w:rFonts w:eastAsia="Times New Roman"/>
                <w:color w:val="000000"/>
                <w:lang w:eastAsia="en-US"/>
              </w:rPr>
            </w:pPr>
            <w:r>
              <w:rPr>
                <w:rFonts w:eastAsia="Times New Roman"/>
                <w:color w:val="000000"/>
                <w:lang w:eastAsia="en-US"/>
              </w:rPr>
              <w:t>TBD</w:t>
            </w:r>
          </w:p>
        </w:tc>
        <w:tc>
          <w:tcPr>
            <w:tcW w:w="573" w:type="pct"/>
            <w:tcBorders>
              <w:left w:val="nil"/>
              <w:bottom w:val="single" w:sz="12" w:space="0" w:color="auto"/>
              <w:right w:val="nil"/>
            </w:tcBorders>
            <w:shd w:val="clear" w:color="auto" w:fill="auto"/>
            <w:noWrap/>
            <w:vAlign w:val="center"/>
          </w:tcPr>
          <w:p w:rsidR="004E66CC" w:rsidRDefault="00DD250B" w:rsidP="00702417">
            <w:pPr>
              <w:jc w:val="center"/>
              <w:rPr>
                <w:rFonts w:eastAsia="Times New Roman"/>
                <w:color w:val="000000"/>
                <w:lang w:eastAsia="en-US"/>
              </w:rPr>
            </w:pPr>
            <w:r>
              <w:rPr>
                <w:rFonts w:eastAsia="Times New Roman"/>
                <w:color w:val="000000"/>
                <w:lang w:eastAsia="en-US"/>
              </w:rPr>
              <w:t>0.46</w:t>
            </w:r>
            <w:r w:rsidR="003716BD">
              <w:rPr>
                <w:rFonts w:eastAsia="Times New Roman"/>
                <w:color w:val="000000"/>
                <w:vertAlign w:val="superscript"/>
                <w:lang w:eastAsia="en-US"/>
              </w:rPr>
              <w:t>E</w:t>
            </w:r>
          </w:p>
        </w:tc>
        <w:tc>
          <w:tcPr>
            <w:tcW w:w="460" w:type="pct"/>
            <w:tcBorders>
              <w:left w:val="nil"/>
              <w:bottom w:val="single" w:sz="12" w:space="0" w:color="auto"/>
              <w:right w:val="nil"/>
            </w:tcBorders>
            <w:vAlign w:val="center"/>
          </w:tcPr>
          <w:p w:rsidR="004E66CC" w:rsidRDefault="00DD250B" w:rsidP="00702417">
            <w:pPr>
              <w:jc w:val="center"/>
              <w:rPr>
                <w:rFonts w:eastAsia="Times New Roman"/>
                <w:color w:val="000000"/>
                <w:lang w:eastAsia="en-US"/>
              </w:rPr>
            </w:pPr>
            <w:r>
              <w:rPr>
                <w:rFonts w:eastAsia="Times New Roman"/>
                <w:color w:val="000000"/>
                <w:lang w:eastAsia="en-US"/>
              </w:rPr>
              <w:t>0.42</w:t>
            </w:r>
          </w:p>
        </w:tc>
      </w:tr>
    </w:tbl>
    <w:p w:rsidR="00FB6B54" w:rsidRDefault="00FB6B54" w:rsidP="008264B6">
      <w:pPr>
        <w:spacing w:before="120"/>
        <w:ind w:firstLine="720"/>
        <w:jc w:val="both"/>
        <w:rPr>
          <w:spacing w:val="-3"/>
        </w:rPr>
      </w:pPr>
    </w:p>
    <w:p w:rsidR="00702417" w:rsidRDefault="000B364D" w:rsidP="00CD658F">
      <w:pPr>
        <w:tabs>
          <w:tab w:val="left" w:pos="3600"/>
        </w:tabs>
        <w:jc w:val="both"/>
        <w:rPr>
          <w:i/>
          <w:spacing w:val="-3"/>
        </w:rPr>
      </w:pPr>
      <w:r w:rsidRPr="000B364D">
        <w:rPr>
          <w:i/>
          <w:spacing w:val="-3"/>
        </w:rPr>
        <w:t>St</w:t>
      </w:r>
      <w:r w:rsidR="00633BE9">
        <w:rPr>
          <w:i/>
          <w:spacing w:val="-3"/>
        </w:rPr>
        <w:t>atus and catch specifications (1000</w:t>
      </w:r>
      <w:r w:rsidRPr="000B364D">
        <w:rPr>
          <w:i/>
          <w:spacing w:val="-3"/>
        </w:rPr>
        <w:t>t)</w:t>
      </w:r>
    </w:p>
    <w:tbl>
      <w:tblPr>
        <w:tblW w:w="5000" w:type="pct"/>
        <w:tblLook w:val="04A0" w:firstRow="1" w:lastRow="0" w:firstColumn="1" w:lastColumn="0" w:noHBand="0" w:noVBand="1"/>
      </w:tblPr>
      <w:tblGrid>
        <w:gridCol w:w="1242"/>
        <w:gridCol w:w="1076"/>
        <w:gridCol w:w="1323"/>
        <w:gridCol w:w="927"/>
        <w:gridCol w:w="1406"/>
        <w:gridCol w:w="1777"/>
        <w:gridCol w:w="931"/>
        <w:gridCol w:w="894"/>
      </w:tblGrid>
      <w:tr w:rsidR="00E426E0" w:rsidRPr="002A201F" w:rsidTr="008264B6">
        <w:trPr>
          <w:trHeight w:val="20"/>
        </w:trPr>
        <w:tc>
          <w:tcPr>
            <w:tcW w:w="648" w:type="pct"/>
            <w:tcBorders>
              <w:top w:val="single" w:sz="12" w:space="0" w:color="auto"/>
              <w:left w:val="nil"/>
              <w:bottom w:val="single" w:sz="12" w:space="0" w:color="auto"/>
              <w:right w:val="nil"/>
            </w:tcBorders>
            <w:shd w:val="clear" w:color="auto" w:fill="auto"/>
            <w:vAlign w:val="center"/>
          </w:tcPr>
          <w:p w:rsidR="00E426E0" w:rsidRPr="002A201F" w:rsidRDefault="00E426E0" w:rsidP="008264B6">
            <w:pPr>
              <w:rPr>
                <w:rFonts w:eastAsia="Times New Roman"/>
                <w:b/>
                <w:bCs/>
                <w:color w:val="000000"/>
                <w:lang w:eastAsia="en-US"/>
              </w:rPr>
            </w:pPr>
            <w:r w:rsidRPr="002A201F">
              <w:rPr>
                <w:rFonts w:eastAsia="Times New Roman"/>
                <w:b/>
                <w:bCs/>
                <w:color w:val="000000"/>
                <w:lang w:eastAsia="en-US"/>
              </w:rPr>
              <w:lastRenderedPageBreak/>
              <w:t>Year</w:t>
            </w:r>
          </w:p>
        </w:tc>
        <w:tc>
          <w:tcPr>
            <w:tcW w:w="562" w:type="pct"/>
            <w:tcBorders>
              <w:top w:val="single" w:sz="12" w:space="0" w:color="auto"/>
              <w:left w:val="nil"/>
              <w:bottom w:val="single" w:sz="12" w:space="0" w:color="auto"/>
              <w:right w:val="nil"/>
            </w:tcBorders>
            <w:shd w:val="clear" w:color="auto" w:fill="auto"/>
            <w:vAlign w:val="center"/>
          </w:tcPr>
          <w:p w:rsidR="00E426E0" w:rsidRPr="002A201F" w:rsidRDefault="00E426E0" w:rsidP="00702417">
            <w:pPr>
              <w:jc w:val="center"/>
              <w:rPr>
                <w:rFonts w:eastAsia="Times New Roman"/>
                <w:b/>
                <w:bCs/>
                <w:color w:val="000000"/>
                <w:lang w:eastAsia="en-US"/>
              </w:rPr>
            </w:pPr>
            <w:r w:rsidRPr="002A201F">
              <w:rPr>
                <w:rFonts w:eastAsia="Times New Roman"/>
                <w:b/>
                <w:bCs/>
                <w:color w:val="000000"/>
                <w:lang w:eastAsia="en-US"/>
              </w:rPr>
              <w:t>MSST</w:t>
            </w:r>
          </w:p>
        </w:tc>
        <w:tc>
          <w:tcPr>
            <w:tcW w:w="691" w:type="pct"/>
            <w:tcBorders>
              <w:top w:val="single" w:sz="12" w:space="0" w:color="auto"/>
              <w:left w:val="nil"/>
              <w:bottom w:val="single" w:sz="12" w:space="0" w:color="auto"/>
              <w:right w:val="nil"/>
            </w:tcBorders>
            <w:shd w:val="clear" w:color="auto" w:fill="auto"/>
            <w:vAlign w:val="center"/>
          </w:tcPr>
          <w:p w:rsidR="00E426E0" w:rsidRDefault="00E426E0" w:rsidP="00702417">
            <w:pPr>
              <w:jc w:val="center"/>
              <w:rPr>
                <w:rFonts w:eastAsia="Times New Roman"/>
                <w:b/>
                <w:bCs/>
                <w:color w:val="000000"/>
                <w:lang w:eastAsia="en-US"/>
              </w:rPr>
            </w:pPr>
            <w:r w:rsidRPr="002A201F">
              <w:rPr>
                <w:rFonts w:eastAsia="Times New Roman"/>
                <w:b/>
                <w:bCs/>
                <w:color w:val="000000"/>
                <w:lang w:eastAsia="en-US"/>
              </w:rPr>
              <w:t>Biomass</w:t>
            </w:r>
          </w:p>
          <w:p w:rsidR="00E426E0" w:rsidRPr="002A201F" w:rsidRDefault="00E426E0" w:rsidP="00702417">
            <w:pPr>
              <w:jc w:val="center"/>
              <w:rPr>
                <w:rFonts w:eastAsia="Times New Roman"/>
                <w:b/>
                <w:bCs/>
                <w:color w:val="000000"/>
                <w:lang w:eastAsia="en-US"/>
              </w:rPr>
            </w:pPr>
            <w:r w:rsidRPr="002A201F">
              <w:rPr>
                <w:rFonts w:eastAsia="Times New Roman"/>
                <w:b/>
                <w:bCs/>
                <w:color w:val="000000"/>
                <w:lang w:eastAsia="en-US"/>
              </w:rPr>
              <w:t>(MMB)</w:t>
            </w:r>
          </w:p>
        </w:tc>
        <w:tc>
          <w:tcPr>
            <w:tcW w:w="484" w:type="pct"/>
            <w:tcBorders>
              <w:top w:val="single" w:sz="12" w:space="0" w:color="auto"/>
              <w:left w:val="nil"/>
              <w:bottom w:val="single" w:sz="12" w:space="0" w:color="auto"/>
              <w:right w:val="nil"/>
            </w:tcBorders>
            <w:shd w:val="clear" w:color="auto" w:fill="auto"/>
            <w:vAlign w:val="center"/>
          </w:tcPr>
          <w:p w:rsidR="00E426E0" w:rsidRPr="002A201F" w:rsidRDefault="00E426E0" w:rsidP="00702417">
            <w:pPr>
              <w:jc w:val="center"/>
              <w:rPr>
                <w:rFonts w:eastAsia="Times New Roman"/>
                <w:b/>
                <w:bCs/>
                <w:color w:val="000000"/>
                <w:lang w:eastAsia="en-US"/>
              </w:rPr>
            </w:pPr>
            <w:r w:rsidRPr="002A201F">
              <w:rPr>
                <w:rFonts w:eastAsia="Times New Roman"/>
                <w:b/>
                <w:bCs/>
                <w:color w:val="000000"/>
                <w:lang w:eastAsia="en-US"/>
              </w:rPr>
              <w:t>GHL</w:t>
            </w:r>
          </w:p>
        </w:tc>
        <w:tc>
          <w:tcPr>
            <w:tcW w:w="734" w:type="pct"/>
            <w:tcBorders>
              <w:top w:val="single" w:sz="12" w:space="0" w:color="auto"/>
              <w:left w:val="nil"/>
              <w:bottom w:val="single" w:sz="12" w:space="0" w:color="auto"/>
              <w:right w:val="nil"/>
            </w:tcBorders>
            <w:shd w:val="clear" w:color="auto" w:fill="auto"/>
            <w:vAlign w:val="center"/>
          </w:tcPr>
          <w:p w:rsidR="00E426E0" w:rsidRDefault="00E426E0" w:rsidP="00702417">
            <w:pPr>
              <w:jc w:val="center"/>
              <w:rPr>
                <w:rFonts w:eastAsia="Times New Roman"/>
                <w:b/>
                <w:bCs/>
                <w:color w:val="000000"/>
                <w:lang w:eastAsia="en-US"/>
              </w:rPr>
            </w:pPr>
            <w:r w:rsidRPr="002A201F">
              <w:rPr>
                <w:rFonts w:eastAsia="Times New Roman"/>
                <w:b/>
                <w:bCs/>
                <w:color w:val="000000"/>
                <w:lang w:eastAsia="en-US"/>
              </w:rPr>
              <w:t>Retained</w:t>
            </w:r>
          </w:p>
          <w:p w:rsidR="00E426E0" w:rsidRPr="002A201F" w:rsidRDefault="00E426E0" w:rsidP="00702417">
            <w:pPr>
              <w:jc w:val="center"/>
              <w:rPr>
                <w:rFonts w:eastAsia="Times New Roman"/>
                <w:b/>
                <w:bCs/>
                <w:color w:val="000000"/>
                <w:lang w:eastAsia="en-US"/>
              </w:rPr>
            </w:pPr>
            <w:r w:rsidRPr="002A201F">
              <w:rPr>
                <w:rFonts w:eastAsia="Times New Roman"/>
                <w:b/>
                <w:bCs/>
                <w:color w:val="000000"/>
                <w:lang w:eastAsia="en-US"/>
              </w:rPr>
              <w:t>Catch</w:t>
            </w:r>
          </w:p>
        </w:tc>
        <w:tc>
          <w:tcPr>
            <w:tcW w:w="928" w:type="pct"/>
            <w:tcBorders>
              <w:top w:val="single" w:sz="12" w:space="0" w:color="auto"/>
              <w:left w:val="nil"/>
              <w:bottom w:val="single" w:sz="12" w:space="0" w:color="auto"/>
              <w:right w:val="nil"/>
            </w:tcBorders>
            <w:shd w:val="clear" w:color="auto" w:fill="auto"/>
            <w:vAlign w:val="center"/>
          </w:tcPr>
          <w:p w:rsidR="00E426E0" w:rsidRPr="002A201F" w:rsidRDefault="00E426E0" w:rsidP="00702417">
            <w:pPr>
              <w:jc w:val="center"/>
              <w:rPr>
                <w:rFonts w:eastAsia="Times New Roman"/>
                <w:b/>
                <w:bCs/>
                <w:color w:val="000000"/>
                <w:lang w:eastAsia="en-US"/>
              </w:rPr>
            </w:pPr>
            <w:r w:rsidRPr="002A201F">
              <w:rPr>
                <w:rFonts w:eastAsia="Times New Roman"/>
                <w:b/>
                <w:bCs/>
                <w:color w:val="000000"/>
                <w:lang w:eastAsia="en-US"/>
              </w:rPr>
              <w:t>Total Catch</w:t>
            </w:r>
          </w:p>
        </w:tc>
        <w:tc>
          <w:tcPr>
            <w:tcW w:w="486" w:type="pct"/>
            <w:tcBorders>
              <w:top w:val="single" w:sz="12" w:space="0" w:color="auto"/>
              <w:left w:val="nil"/>
              <w:bottom w:val="single" w:sz="12" w:space="0" w:color="auto"/>
              <w:right w:val="nil"/>
            </w:tcBorders>
            <w:shd w:val="clear" w:color="auto" w:fill="auto"/>
            <w:vAlign w:val="center"/>
          </w:tcPr>
          <w:p w:rsidR="00E426E0" w:rsidRPr="002A201F" w:rsidRDefault="00E426E0" w:rsidP="00702417">
            <w:pPr>
              <w:jc w:val="center"/>
              <w:rPr>
                <w:rFonts w:eastAsia="Times New Roman"/>
                <w:b/>
                <w:bCs/>
                <w:color w:val="000000"/>
                <w:lang w:eastAsia="en-US"/>
              </w:rPr>
            </w:pPr>
            <w:r w:rsidRPr="002A201F">
              <w:rPr>
                <w:rFonts w:eastAsia="Times New Roman"/>
                <w:b/>
                <w:bCs/>
                <w:color w:val="000000"/>
                <w:lang w:eastAsia="en-US"/>
              </w:rPr>
              <w:t>OFL</w:t>
            </w:r>
          </w:p>
        </w:tc>
        <w:tc>
          <w:tcPr>
            <w:tcW w:w="467" w:type="pct"/>
            <w:tcBorders>
              <w:top w:val="single" w:sz="12" w:space="0" w:color="auto"/>
              <w:left w:val="nil"/>
              <w:bottom w:val="single" w:sz="12" w:space="0" w:color="auto"/>
              <w:right w:val="nil"/>
            </w:tcBorders>
            <w:vAlign w:val="center"/>
          </w:tcPr>
          <w:p w:rsidR="00E426E0" w:rsidRPr="002A201F" w:rsidRDefault="00E426E0" w:rsidP="00702417">
            <w:pPr>
              <w:jc w:val="center"/>
              <w:rPr>
                <w:rFonts w:eastAsia="Times New Roman"/>
                <w:b/>
                <w:bCs/>
                <w:color w:val="000000"/>
                <w:lang w:eastAsia="en-US"/>
              </w:rPr>
            </w:pPr>
            <w:r>
              <w:rPr>
                <w:rFonts w:eastAsia="Times New Roman"/>
                <w:b/>
                <w:bCs/>
                <w:color w:val="000000"/>
                <w:lang w:eastAsia="en-US"/>
              </w:rPr>
              <w:t>ABC</w:t>
            </w:r>
          </w:p>
        </w:tc>
      </w:tr>
      <w:tr w:rsidR="00E426E0" w:rsidRPr="002A201F" w:rsidTr="008264B6">
        <w:trPr>
          <w:trHeight w:val="20"/>
        </w:trPr>
        <w:tc>
          <w:tcPr>
            <w:tcW w:w="648" w:type="pct"/>
            <w:tcBorders>
              <w:top w:val="nil"/>
              <w:left w:val="nil"/>
              <w:bottom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sidRPr="002A201F">
              <w:rPr>
                <w:rFonts w:eastAsia="Times New Roman"/>
                <w:color w:val="000000"/>
                <w:lang w:eastAsia="en-US"/>
              </w:rPr>
              <w:t>2010</w:t>
            </w:r>
            <w:r>
              <w:rPr>
                <w:rFonts w:eastAsia="Times New Roman"/>
                <w:color w:val="000000"/>
                <w:lang w:eastAsia="en-US"/>
              </w:rPr>
              <w:t>/11</w:t>
            </w:r>
          </w:p>
        </w:tc>
        <w:tc>
          <w:tcPr>
            <w:tcW w:w="562" w:type="pct"/>
            <w:tcBorders>
              <w:top w:val="nil"/>
              <w:left w:val="nil"/>
              <w:bottom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0.71</w:t>
            </w:r>
            <w:r w:rsidR="004E66CC">
              <w:rPr>
                <w:rFonts w:eastAsia="Times New Roman"/>
                <w:color w:val="000000"/>
                <w:vertAlign w:val="superscript"/>
                <w:lang w:eastAsia="en-US"/>
              </w:rPr>
              <w:t>A</w:t>
            </w:r>
          </w:p>
        </w:tc>
        <w:tc>
          <w:tcPr>
            <w:tcW w:w="691" w:type="pct"/>
            <w:tcBorders>
              <w:top w:val="nil"/>
              <w:left w:val="nil"/>
              <w:bottom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2.47</w:t>
            </w:r>
          </w:p>
        </w:tc>
        <w:tc>
          <w:tcPr>
            <w:tcW w:w="484" w:type="pct"/>
            <w:tcBorders>
              <w:top w:val="nil"/>
              <w:left w:val="nil"/>
              <w:bottom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0.18</w:t>
            </w:r>
          </w:p>
        </w:tc>
        <w:tc>
          <w:tcPr>
            <w:tcW w:w="734" w:type="pct"/>
            <w:tcBorders>
              <w:top w:val="nil"/>
              <w:left w:val="nil"/>
              <w:bottom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0.19</w:t>
            </w:r>
          </w:p>
        </w:tc>
        <w:tc>
          <w:tcPr>
            <w:tcW w:w="928" w:type="pct"/>
            <w:tcBorders>
              <w:top w:val="nil"/>
              <w:left w:val="nil"/>
              <w:bottom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0.2</w:t>
            </w:r>
            <w:r w:rsidR="00D52366">
              <w:rPr>
                <w:rFonts w:eastAsia="Times New Roman"/>
                <w:color w:val="000000"/>
                <w:lang w:eastAsia="en-US"/>
              </w:rPr>
              <w:t>1</w:t>
            </w:r>
          </w:p>
        </w:tc>
        <w:tc>
          <w:tcPr>
            <w:tcW w:w="486" w:type="pct"/>
            <w:tcBorders>
              <w:top w:val="nil"/>
              <w:left w:val="nil"/>
              <w:bottom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0.33</w:t>
            </w:r>
            <w:r w:rsidR="004E66CC">
              <w:rPr>
                <w:rFonts w:eastAsia="Times New Roman"/>
                <w:color w:val="000000"/>
                <w:vertAlign w:val="superscript"/>
                <w:lang w:eastAsia="en-US"/>
              </w:rPr>
              <w:t>A</w:t>
            </w:r>
          </w:p>
        </w:tc>
        <w:tc>
          <w:tcPr>
            <w:tcW w:w="467" w:type="pct"/>
            <w:tcBorders>
              <w:top w:val="nil"/>
              <w:left w:val="nil"/>
              <w:bottom w:val="nil"/>
              <w:right w:val="nil"/>
            </w:tcBorders>
          </w:tcPr>
          <w:p w:rsidR="00E426E0" w:rsidRDefault="00E426E0" w:rsidP="00702417">
            <w:pPr>
              <w:jc w:val="center"/>
              <w:rPr>
                <w:rFonts w:eastAsia="Times New Roman"/>
                <w:color w:val="000000"/>
                <w:lang w:eastAsia="en-US"/>
              </w:rPr>
            </w:pPr>
          </w:p>
        </w:tc>
      </w:tr>
      <w:tr w:rsidR="00E426E0" w:rsidRPr="002A201F" w:rsidTr="008264B6">
        <w:trPr>
          <w:trHeight w:val="20"/>
        </w:trPr>
        <w:tc>
          <w:tcPr>
            <w:tcW w:w="648" w:type="pct"/>
            <w:tcBorders>
              <w:top w:val="nil"/>
              <w:left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2011/12</w:t>
            </w:r>
          </w:p>
        </w:tc>
        <w:tc>
          <w:tcPr>
            <w:tcW w:w="562" w:type="pct"/>
            <w:tcBorders>
              <w:top w:val="nil"/>
              <w:left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0.71</w:t>
            </w:r>
            <w:r w:rsidR="004E66CC">
              <w:rPr>
                <w:rFonts w:eastAsia="Times New Roman"/>
                <w:color w:val="000000"/>
                <w:vertAlign w:val="superscript"/>
                <w:lang w:eastAsia="en-US"/>
              </w:rPr>
              <w:t>B</w:t>
            </w:r>
          </w:p>
        </w:tc>
        <w:tc>
          <w:tcPr>
            <w:tcW w:w="691" w:type="pct"/>
            <w:tcBorders>
              <w:top w:val="nil"/>
              <w:left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2.13</w:t>
            </w:r>
          </w:p>
        </w:tc>
        <w:tc>
          <w:tcPr>
            <w:tcW w:w="484" w:type="pct"/>
            <w:tcBorders>
              <w:top w:val="nil"/>
              <w:left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0.16</w:t>
            </w:r>
          </w:p>
        </w:tc>
        <w:tc>
          <w:tcPr>
            <w:tcW w:w="734" w:type="pct"/>
            <w:tcBorders>
              <w:top w:val="nil"/>
              <w:left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0.18</w:t>
            </w:r>
          </w:p>
        </w:tc>
        <w:tc>
          <w:tcPr>
            <w:tcW w:w="928" w:type="pct"/>
            <w:tcBorders>
              <w:top w:val="nil"/>
              <w:left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0.20</w:t>
            </w:r>
          </w:p>
        </w:tc>
        <w:tc>
          <w:tcPr>
            <w:tcW w:w="486" w:type="pct"/>
            <w:tcBorders>
              <w:top w:val="nil"/>
              <w:left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0.30</w:t>
            </w:r>
            <w:r w:rsidR="004E66CC">
              <w:rPr>
                <w:rFonts w:eastAsia="Times New Roman"/>
                <w:color w:val="000000"/>
                <w:vertAlign w:val="superscript"/>
                <w:lang w:eastAsia="en-US"/>
              </w:rPr>
              <w:t>B</w:t>
            </w:r>
          </w:p>
        </w:tc>
        <w:tc>
          <w:tcPr>
            <w:tcW w:w="467" w:type="pct"/>
            <w:tcBorders>
              <w:top w:val="nil"/>
              <w:left w:val="nil"/>
              <w:right w:val="nil"/>
            </w:tcBorders>
          </w:tcPr>
          <w:p w:rsidR="00E426E0" w:rsidRPr="002A201F" w:rsidRDefault="00E426E0" w:rsidP="00702417">
            <w:pPr>
              <w:jc w:val="center"/>
              <w:rPr>
                <w:rFonts w:eastAsia="Times New Roman"/>
                <w:color w:val="000000"/>
                <w:lang w:eastAsia="en-US"/>
              </w:rPr>
            </w:pPr>
            <w:r>
              <w:rPr>
                <w:rFonts w:eastAsia="Times New Roman"/>
                <w:color w:val="000000"/>
                <w:lang w:eastAsia="en-US"/>
              </w:rPr>
              <w:t>0.27</w:t>
            </w:r>
          </w:p>
        </w:tc>
      </w:tr>
      <w:tr w:rsidR="00E426E0" w:rsidRPr="002A201F" w:rsidTr="008264B6">
        <w:trPr>
          <w:trHeight w:val="20"/>
        </w:trPr>
        <w:tc>
          <w:tcPr>
            <w:tcW w:w="648" w:type="pct"/>
            <w:tcBorders>
              <w:top w:val="nil"/>
              <w:left w:val="nil"/>
              <w:bottom w:val="nil"/>
              <w:right w:val="nil"/>
            </w:tcBorders>
            <w:shd w:val="clear" w:color="auto" w:fill="auto"/>
            <w:noWrap/>
            <w:vAlign w:val="bottom"/>
          </w:tcPr>
          <w:p w:rsidR="00E426E0" w:rsidRDefault="00E426E0" w:rsidP="00702417">
            <w:pPr>
              <w:jc w:val="center"/>
              <w:rPr>
                <w:rFonts w:eastAsia="Times New Roman"/>
                <w:color w:val="000000"/>
                <w:lang w:eastAsia="en-US"/>
              </w:rPr>
            </w:pPr>
            <w:r>
              <w:rPr>
                <w:rFonts w:eastAsia="Times New Roman"/>
                <w:color w:val="000000"/>
                <w:lang w:eastAsia="en-US"/>
              </w:rPr>
              <w:t>2012/13</w:t>
            </w:r>
          </w:p>
        </w:tc>
        <w:tc>
          <w:tcPr>
            <w:tcW w:w="562" w:type="pct"/>
            <w:tcBorders>
              <w:top w:val="nil"/>
              <w:left w:val="nil"/>
              <w:bottom w:val="nil"/>
              <w:right w:val="nil"/>
            </w:tcBorders>
            <w:shd w:val="clear" w:color="auto" w:fill="auto"/>
            <w:noWrap/>
            <w:vAlign w:val="bottom"/>
          </w:tcPr>
          <w:p w:rsidR="00E426E0" w:rsidRPr="002A201F" w:rsidRDefault="00E426E0" w:rsidP="00702417">
            <w:pPr>
              <w:jc w:val="center"/>
              <w:rPr>
                <w:rFonts w:eastAsia="Times New Roman"/>
                <w:color w:val="000000"/>
                <w:lang w:eastAsia="en-US"/>
              </w:rPr>
            </w:pPr>
            <w:r>
              <w:rPr>
                <w:rFonts w:eastAsia="Times New Roman"/>
                <w:color w:val="000000"/>
                <w:lang w:eastAsia="en-US"/>
              </w:rPr>
              <w:t>0.80</w:t>
            </w:r>
            <w:r w:rsidR="004E66CC">
              <w:rPr>
                <w:rFonts w:eastAsia="Times New Roman"/>
                <w:color w:val="000000"/>
                <w:vertAlign w:val="superscript"/>
                <w:lang w:eastAsia="en-US"/>
              </w:rPr>
              <w:t>C</w:t>
            </w:r>
          </w:p>
        </w:tc>
        <w:tc>
          <w:tcPr>
            <w:tcW w:w="691" w:type="pct"/>
            <w:tcBorders>
              <w:top w:val="nil"/>
              <w:left w:val="nil"/>
              <w:bottom w:val="nil"/>
              <w:right w:val="nil"/>
            </w:tcBorders>
            <w:shd w:val="clear" w:color="auto" w:fill="auto"/>
            <w:noWrap/>
            <w:vAlign w:val="bottom"/>
          </w:tcPr>
          <w:p w:rsidR="00E426E0" w:rsidRDefault="00E426E0" w:rsidP="00702417">
            <w:pPr>
              <w:jc w:val="center"/>
              <w:rPr>
                <w:rFonts w:eastAsia="Times New Roman"/>
                <w:color w:val="000000"/>
                <w:lang w:eastAsia="en-US"/>
              </w:rPr>
            </w:pPr>
            <w:r>
              <w:rPr>
                <w:rFonts w:eastAsia="Times New Roman"/>
                <w:color w:val="000000"/>
                <w:lang w:eastAsia="en-US"/>
              </w:rPr>
              <w:t>2.08</w:t>
            </w:r>
          </w:p>
        </w:tc>
        <w:tc>
          <w:tcPr>
            <w:tcW w:w="484" w:type="pct"/>
            <w:tcBorders>
              <w:top w:val="nil"/>
              <w:left w:val="nil"/>
              <w:bottom w:val="nil"/>
              <w:right w:val="nil"/>
            </w:tcBorders>
            <w:shd w:val="clear" w:color="auto" w:fill="auto"/>
            <w:noWrap/>
            <w:vAlign w:val="bottom"/>
          </w:tcPr>
          <w:p w:rsidR="00E426E0" w:rsidRDefault="00FB6B54" w:rsidP="00702417">
            <w:pPr>
              <w:jc w:val="center"/>
              <w:rPr>
                <w:rFonts w:eastAsia="Times New Roman"/>
                <w:color w:val="000000"/>
                <w:lang w:eastAsia="en-US"/>
              </w:rPr>
            </w:pPr>
            <w:r>
              <w:rPr>
                <w:rFonts w:eastAsia="Times New Roman"/>
                <w:color w:val="000000"/>
                <w:lang w:eastAsia="en-US"/>
              </w:rPr>
              <w:t>0.21</w:t>
            </w:r>
          </w:p>
        </w:tc>
        <w:tc>
          <w:tcPr>
            <w:tcW w:w="734" w:type="pct"/>
            <w:tcBorders>
              <w:top w:val="nil"/>
              <w:left w:val="nil"/>
              <w:bottom w:val="nil"/>
              <w:right w:val="nil"/>
            </w:tcBorders>
            <w:shd w:val="clear" w:color="auto" w:fill="auto"/>
            <w:noWrap/>
            <w:vAlign w:val="bottom"/>
          </w:tcPr>
          <w:p w:rsidR="00E426E0" w:rsidRDefault="00FB6B54" w:rsidP="00702417">
            <w:pPr>
              <w:jc w:val="center"/>
              <w:rPr>
                <w:rFonts w:eastAsia="Times New Roman"/>
                <w:color w:val="000000"/>
                <w:lang w:eastAsia="en-US"/>
              </w:rPr>
            </w:pPr>
            <w:r>
              <w:rPr>
                <w:rFonts w:eastAsia="Times New Roman"/>
                <w:color w:val="000000"/>
                <w:lang w:eastAsia="en-US"/>
              </w:rPr>
              <w:t>0.21</w:t>
            </w:r>
          </w:p>
        </w:tc>
        <w:tc>
          <w:tcPr>
            <w:tcW w:w="928" w:type="pct"/>
            <w:tcBorders>
              <w:top w:val="nil"/>
              <w:left w:val="nil"/>
              <w:bottom w:val="nil"/>
              <w:right w:val="nil"/>
            </w:tcBorders>
            <w:shd w:val="clear" w:color="auto" w:fill="auto"/>
            <w:noWrap/>
            <w:vAlign w:val="bottom"/>
          </w:tcPr>
          <w:p w:rsidR="00E426E0" w:rsidRDefault="00FB6B54" w:rsidP="00702417">
            <w:pPr>
              <w:jc w:val="center"/>
              <w:rPr>
                <w:rFonts w:eastAsia="Times New Roman"/>
                <w:color w:val="000000"/>
                <w:lang w:eastAsia="en-US"/>
              </w:rPr>
            </w:pPr>
            <w:r>
              <w:rPr>
                <w:rFonts w:eastAsia="Times New Roman"/>
                <w:color w:val="000000"/>
                <w:lang w:eastAsia="en-US"/>
              </w:rPr>
              <w:t>0.21</w:t>
            </w:r>
          </w:p>
        </w:tc>
        <w:tc>
          <w:tcPr>
            <w:tcW w:w="486" w:type="pct"/>
            <w:tcBorders>
              <w:top w:val="nil"/>
              <w:left w:val="nil"/>
              <w:bottom w:val="nil"/>
              <w:right w:val="nil"/>
            </w:tcBorders>
            <w:shd w:val="clear" w:color="auto" w:fill="auto"/>
            <w:noWrap/>
            <w:vAlign w:val="bottom"/>
          </w:tcPr>
          <w:p w:rsidR="00E426E0" w:rsidRDefault="00E426E0" w:rsidP="00702417">
            <w:pPr>
              <w:jc w:val="center"/>
              <w:rPr>
                <w:rFonts w:eastAsia="Times New Roman"/>
                <w:color w:val="000000"/>
                <w:lang w:eastAsia="en-US"/>
              </w:rPr>
            </w:pPr>
            <w:r>
              <w:rPr>
                <w:rFonts w:eastAsia="Times New Roman"/>
                <w:color w:val="000000"/>
                <w:lang w:eastAsia="en-US"/>
              </w:rPr>
              <w:t>0.24</w:t>
            </w:r>
            <w:r w:rsidR="004E66CC">
              <w:rPr>
                <w:rFonts w:eastAsia="Times New Roman"/>
                <w:color w:val="000000"/>
                <w:vertAlign w:val="superscript"/>
                <w:lang w:eastAsia="en-US"/>
              </w:rPr>
              <w:t>C</w:t>
            </w:r>
          </w:p>
        </w:tc>
        <w:tc>
          <w:tcPr>
            <w:tcW w:w="467" w:type="pct"/>
            <w:tcBorders>
              <w:top w:val="nil"/>
              <w:left w:val="nil"/>
              <w:bottom w:val="nil"/>
              <w:right w:val="nil"/>
            </w:tcBorders>
          </w:tcPr>
          <w:p w:rsidR="00E426E0" w:rsidRDefault="00E426E0" w:rsidP="00702417">
            <w:pPr>
              <w:jc w:val="center"/>
              <w:rPr>
                <w:rFonts w:eastAsia="Times New Roman"/>
                <w:color w:val="000000"/>
                <w:lang w:eastAsia="en-US"/>
              </w:rPr>
            </w:pPr>
            <w:r>
              <w:rPr>
                <w:rFonts w:eastAsia="Times New Roman"/>
                <w:color w:val="000000"/>
                <w:lang w:eastAsia="en-US"/>
              </w:rPr>
              <w:t>0.22</w:t>
            </w:r>
          </w:p>
        </w:tc>
      </w:tr>
      <w:tr w:rsidR="00E426E0" w:rsidRPr="002A201F" w:rsidTr="008264B6">
        <w:trPr>
          <w:trHeight w:val="20"/>
        </w:trPr>
        <w:tc>
          <w:tcPr>
            <w:tcW w:w="648" w:type="pct"/>
            <w:tcBorders>
              <w:top w:val="nil"/>
              <w:left w:val="nil"/>
              <w:bottom w:val="nil"/>
              <w:right w:val="nil"/>
            </w:tcBorders>
            <w:shd w:val="clear" w:color="auto" w:fill="auto"/>
            <w:noWrap/>
            <w:vAlign w:val="bottom"/>
          </w:tcPr>
          <w:p w:rsidR="00E426E0" w:rsidRDefault="00E426E0" w:rsidP="00702417">
            <w:pPr>
              <w:jc w:val="center"/>
              <w:rPr>
                <w:rFonts w:eastAsia="Times New Roman"/>
                <w:color w:val="000000"/>
                <w:lang w:eastAsia="en-US"/>
              </w:rPr>
            </w:pPr>
            <w:r>
              <w:rPr>
                <w:rFonts w:eastAsia="Times New Roman"/>
                <w:color w:val="000000"/>
                <w:lang w:eastAsia="en-US"/>
              </w:rPr>
              <w:t>2013</w:t>
            </w:r>
            <w:r w:rsidR="00AB40A3">
              <w:rPr>
                <w:rFonts w:eastAsia="Times New Roman"/>
                <w:color w:val="000000"/>
                <w:lang w:eastAsia="en-US"/>
              </w:rPr>
              <w:t>/14</w:t>
            </w:r>
          </w:p>
        </w:tc>
        <w:tc>
          <w:tcPr>
            <w:tcW w:w="562" w:type="pct"/>
            <w:tcBorders>
              <w:top w:val="nil"/>
              <w:left w:val="nil"/>
              <w:bottom w:val="nil"/>
              <w:right w:val="nil"/>
            </w:tcBorders>
            <w:shd w:val="clear" w:color="auto" w:fill="auto"/>
            <w:noWrap/>
            <w:vAlign w:val="bottom"/>
          </w:tcPr>
          <w:p w:rsidR="00E426E0" w:rsidRPr="002A201F" w:rsidRDefault="00DD250B" w:rsidP="00702417">
            <w:pPr>
              <w:jc w:val="center"/>
              <w:rPr>
                <w:rFonts w:eastAsia="Times New Roman"/>
                <w:color w:val="000000"/>
                <w:lang w:eastAsia="en-US"/>
              </w:rPr>
            </w:pPr>
            <w:r>
              <w:rPr>
                <w:rFonts w:eastAsia="Times New Roman"/>
                <w:color w:val="000000"/>
                <w:lang w:eastAsia="en-US"/>
              </w:rPr>
              <w:t>1.02</w:t>
            </w:r>
            <w:r w:rsidR="004E66CC">
              <w:rPr>
                <w:rFonts w:eastAsia="Times New Roman"/>
                <w:color w:val="000000"/>
                <w:vertAlign w:val="superscript"/>
                <w:lang w:eastAsia="en-US"/>
              </w:rPr>
              <w:t>D</w:t>
            </w:r>
          </w:p>
        </w:tc>
        <w:tc>
          <w:tcPr>
            <w:tcW w:w="691" w:type="pct"/>
            <w:tcBorders>
              <w:top w:val="nil"/>
              <w:left w:val="nil"/>
              <w:bottom w:val="nil"/>
              <w:right w:val="nil"/>
            </w:tcBorders>
            <w:shd w:val="clear" w:color="auto" w:fill="auto"/>
            <w:noWrap/>
            <w:vAlign w:val="bottom"/>
          </w:tcPr>
          <w:p w:rsidR="00E426E0" w:rsidRDefault="002E1218" w:rsidP="00702417">
            <w:pPr>
              <w:jc w:val="center"/>
              <w:rPr>
                <w:rFonts w:eastAsia="Times New Roman"/>
                <w:color w:val="000000"/>
                <w:lang w:eastAsia="en-US"/>
              </w:rPr>
            </w:pPr>
            <w:r>
              <w:rPr>
                <w:rFonts w:eastAsia="Times New Roman"/>
                <w:color w:val="000000"/>
                <w:lang w:eastAsia="en-US"/>
              </w:rPr>
              <w:t>2.16</w:t>
            </w:r>
          </w:p>
        </w:tc>
        <w:tc>
          <w:tcPr>
            <w:tcW w:w="484" w:type="pct"/>
            <w:tcBorders>
              <w:top w:val="nil"/>
              <w:left w:val="nil"/>
              <w:bottom w:val="nil"/>
              <w:right w:val="nil"/>
            </w:tcBorders>
            <w:shd w:val="clear" w:color="auto" w:fill="auto"/>
            <w:noWrap/>
            <w:vAlign w:val="bottom"/>
          </w:tcPr>
          <w:p w:rsidR="00E426E0" w:rsidRDefault="00A80997" w:rsidP="00702417">
            <w:pPr>
              <w:jc w:val="center"/>
              <w:rPr>
                <w:rFonts w:eastAsia="Times New Roman"/>
                <w:color w:val="000000"/>
                <w:lang w:eastAsia="en-US"/>
              </w:rPr>
            </w:pPr>
            <w:r>
              <w:rPr>
                <w:rFonts w:eastAsia="Times New Roman"/>
                <w:color w:val="000000"/>
                <w:lang w:eastAsia="en-US"/>
              </w:rPr>
              <w:t>0.23</w:t>
            </w:r>
          </w:p>
        </w:tc>
        <w:tc>
          <w:tcPr>
            <w:tcW w:w="734" w:type="pct"/>
            <w:tcBorders>
              <w:top w:val="nil"/>
              <w:left w:val="nil"/>
              <w:bottom w:val="nil"/>
              <w:right w:val="nil"/>
            </w:tcBorders>
            <w:shd w:val="clear" w:color="auto" w:fill="auto"/>
            <w:noWrap/>
            <w:vAlign w:val="bottom"/>
          </w:tcPr>
          <w:p w:rsidR="00E426E0" w:rsidRDefault="00A80997" w:rsidP="00702417">
            <w:pPr>
              <w:jc w:val="center"/>
              <w:rPr>
                <w:rFonts w:eastAsia="Times New Roman"/>
                <w:color w:val="000000"/>
                <w:lang w:eastAsia="en-US"/>
              </w:rPr>
            </w:pPr>
            <w:r>
              <w:rPr>
                <w:rFonts w:eastAsia="Times New Roman"/>
                <w:color w:val="000000"/>
                <w:lang w:eastAsia="en-US"/>
              </w:rPr>
              <w:t>0.16</w:t>
            </w:r>
          </w:p>
        </w:tc>
        <w:tc>
          <w:tcPr>
            <w:tcW w:w="928" w:type="pct"/>
            <w:tcBorders>
              <w:top w:val="nil"/>
              <w:left w:val="nil"/>
              <w:bottom w:val="nil"/>
              <w:right w:val="nil"/>
            </w:tcBorders>
            <w:shd w:val="clear" w:color="auto" w:fill="auto"/>
            <w:noWrap/>
            <w:vAlign w:val="bottom"/>
          </w:tcPr>
          <w:p w:rsidR="00E426E0" w:rsidRDefault="00A80997" w:rsidP="00702417">
            <w:pPr>
              <w:jc w:val="center"/>
              <w:rPr>
                <w:rFonts w:eastAsia="Times New Roman"/>
                <w:color w:val="000000"/>
                <w:lang w:eastAsia="en-US"/>
              </w:rPr>
            </w:pPr>
            <w:r>
              <w:rPr>
                <w:rFonts w:eastAsia="Times New Roman"/>
                <w:color w:val="000000"/>
                <w:lang w:eastAsia="en-US"/>
              </w:rPr>
              <w:t>0.16</w:t>
            </w:r>
          </w:p>
        </w:tc>
        <w:tc>
          <w:tcPr>
            <w:tcW w:w="486" w:type="pct"/>
            <w:tcBorders>
              <w:top w:val="nil"/>
              <w:left w:val="nil"/>
              <w:bottom w:val="nil"/>
              <w:right w:val="nil"/>
            </w:tcBorders>
            <w:shd w:val="clear" w:color="auto" w:fill="auto"/>
            <w:noWrap/>
            <w:vAlign w:val="bottom"/>
          </w:tcPr>
          <w:p w:rsidR="00E426E0" w:rsidRDefault="002E1218" w:rsidP="00702417">
            <w:pPr>
              <w:jc w:val="center"/>
              <w:rPr>
                <w:rFonts w:eastAsia="Times New Roman"/>
                <w:color w:val="000000"/>
                <w:lang w:eastAsia="en-US"/>
              </w:rPr>
            </w:pPr>
            <w:r>
              <w:rPr>
                <w:rFonts w:eastAsia="Times New Roman"/>
                <w:color w:val="000000"/>
                <w:lang w:eastAsia="en-US"/>
              </w:rPr>
              <w:t>0.26</w:t>
            </w:r>
            <w:r w:rsidR="004E66CC">
              <w:rPr>
                <w:rFonts w:eastAsia="Times New Roman"/>
                <w:color w:val="000000"/>
                <w:vertAlign w:val="superscript"/>
                <w:lang w:eastAsia="en-US"/>
              </w:rPr>
              <w:t>D</w:t>
            </w:r>
          </w:p>
        </w:tc>
        <w:tc>
          <w:tcPr>
            <w:tcW w:w="467" w:type="pct"/>
            <w:tcBorders>
              <w:top w:val="nil"/>
              <w:left w:val="nil"/>
              <w:bottom w:val="nil"/>
              <w:right w:val="nil"/>
            </w:tcBorders>
          </w:tcPr>
          <w:p w:rsidR="00E426E0" w:rsidRDefault="002E1218" w:rsidP="00702417">
            <w:pPr>
              <w:jc w:val="center"/>
              <w:rPr>
                <w:rFonts w:eastAsia="Times New Roman"/>
                <w:color w:val="000000"/>
                <w:lang w:eastAsia="en-US"/>
              </w:rPr>
            </w:pPr>
            <w:r>
              <w:rPr>
                <w:rFonts w:eastAsia="Times New Roman"/>
                <w:color w:val="000000"/>
                <w:lang w:eastAsia="en-US"/>
              </w:rPr>
              <w:t>0.24</w:t>
            </w:r>
          </w:p>
        </w:tc>
      </w:tr>
      <w:tr w:rsidR="004E66CC" w:rsidRPr="002A201F" w:rsidTr="008264B6">
        <w:trPr>
          <w:trHeight w:val="20"/>
        </w:trPr>
        <w:tc>
          <w:tcPr>
            <w:tcW w:w="648" w:type="pct"/>
            <w:tcBorders>
              <w:top w:val="nil"/>
              <w:left w:val="nil"/>
              <w:bottom w:val="single" w:sz="12" w:space="0" w:color="auto"/>
              <w:right w:val="nil"/>
            </w:tcBorders>
            <w:shd w:val="clear" w:color="auto" w:fill="auto"/>
            <w:noWrap/>
            <w:vAlign w:val="bottom"/>
          </w:tcPr>
          <w:p w:rsidR="004E66CC" w:rsidRDefault="00AB40A3" w:rsidP="00702417">
            <w:pPr>
              <w:jc w:val="center"/>
              <w:rPr>
                <w:rFonts w:eastAsia="Times New Roman"/>
                <w:color w:val="000000"/>
                <w:lang w:eastAsia="en-US"/>
              </w:rPr>
            </w:pPr>
            <w:r>
              <w:rPr>
                <w:rFonts w:eastAsia="Times New Roman"/>
                <w:color w:val="000000"/>
                <w:lang w:eastAsia="en-US"/>
              </w:rPr>
              <w:t>2014</w:t>
            </w:r>
            <w:r w:rsidR="004E66CC">
              <w:rPr>
                <w:rFonts w:eastAsia="Times New Roman"/>
                <w:color w:val="000000"/>
                <w:lang w:eastAsia="en-US"/>
              </w:rPr>
              <w:t>/1</w:t>
            </w:r>
            <w:r>
              <w:rPr>
                <w:rFonts w:eastAsia="Times New Roman"/>
                <w:color w:val="000000"/>
                <w:lang w:eastAsia="en-US"/>
              </w:rPr>
              <w:t>5</w:t>
            </w:r>
          </w:p>
        </w:tc>
        <w:tc>
          <w:tcPr>
            <w:tcW w:w="562" w:type="pct"/>
            <w:tcBorders>
              <w:top w:val="nil"/>
              <w:left w:val="nil"/>
              <w:bottom w:val="single" w:sz="12" w:space="0" w:color="auto"/>
              <w:right w:val="nil"/>
            </w:tcBorders>
            <w:shd w:val="clear" w:color="auto" w:fill="auto"/>
            <w:noWrap/>
            <w:vAlign w:val="bottom"/>
          </w:tcPr>
          <w:p w:rsidR="004E66CC" w:rsidRDefault="00DD250B" w:rsidP="00702417">
            <w:pPr>
              <w:jc w:val="center"/>
              <w:rPr>
                <w:rFonts w:eastAsia="Times New Roman"/>
                <w:color w:val="000000"/>
                <w:lang w:eastAsia="en-US"/>
              </w:rPr>
            </w:pPr>
            <w:r>
              <w:rPr>
                <w:rFonts w:eastAsia="Times New Roman"/>
                <w:color w:val="000000"/>
                <w:lang w:eastAsia="en-US"/>
              </w:rPr>
              <w:t>1.04</w:t>
            </w:r>
            <w:r w:rsidR="003716BD">
              <w:rPr>
                <w:rFonts w:eastAsia="Times New Roman"/>
                <w:color w:val="000000"/>
                <w:vertAlign w:val="superscript"/>
                <w:lang w:eastAsia="en-US"/>
              </w:rPr>
              <w:t>E</w:t>
            </w:r>
          </w:p>
        </w:tc>
        <w:tc>
          <w:tcPr>
            <w:tcW w:w="691" w:type="pct"/>
            <w:tcBorders>
              <w:top w:val="nil"/>
              <w:left w:val="nil"/>
              <w:bottom w:val="single" w:sz="12" w:space="0" w:color="auto"/>
              <w:right w:val="nil"/>
            </w:tcBorders>
            <w:shd w:val="clear" w:color="auto" w:fill="auto"/>
            <w:noWrap/>
            <w:vAlign w:val="bottom"/>
          </w:tcPr>
          <w:p w:rsidR="004E66CC" w:rsidRDefault="00DD250B" w:rsidP="00702417">
            <w:pPr>
              <w:jc w:val="center"/>
              <w:rPr>
                <w:rFonts w:eastAsia="Times New Roman"/>
                <w:color w:val="000000"/>
                <w:lang w:eastAsia="en-US"/>
              </w:rPr>
            </w:pPr>
            <w:r>
              <w:rPr>
                <w:rFonts w:eastAsia="Times New Roman"/>
                <w:color w:val="000000"/>
                <w:lang w:eastAsia="en-US"/>
              </w:rPr>
              <w:t>1.8</w:t>
            </w:r>
            <w:r w:rsidR="006C152C">
              <w:rPr>
                <w:rFonts w:eastAsia="Times New Roman"/>
                <w:color w:val="000000"/>
                <w:lang w:eastAsia="en-US"/>
              </w:rPr>
              <w:t>3</w:t>
            </w:r>
          </w:p>
        </w:tc>
        <w:tc>
          <w:tcPr>
            <w:tcW w:w="484" w:type="pct"/>
            <w:tcBorders>
              <w:top w:val="nil"/>
              <w:left w:val="nil"/>
              <w:bottom w:val="single" w:sz="12" w:space="0" w:color="auto"/>
              <w:right w:val="nil"/>
            </w:tcBorders>
            <w:shd w:val="clear" w:color="auto" w:fill="auto"/>
            <w:noWrap/>
            <w:vAlign w:val="bottom"/>
          </w:tcPr>
          <w:p w:rsidR="004E66CC" w:rsidRDefault="00A80997" w:rsidP="00702417">
            <w:pPr>
              <w:jc w:val="center"/>
              <w:rPr>
                <w:rFonts w:eastAsia="Times New Roman"/>
                <w:color w:val="000000"/>
                <w:lang w:eastAsia="en-US"/>
              </w:rPr>
            </w:pPr>
            <w:r>
              <w:rPr>
                <w:rFonts w:eastAsia="Times New Roman"/>
                <w:color w:val="000000"/>
                <w:lang w:eastAsia="en-US"/>
              </w:rPr>
              <w:t>TBD</w:t>
            </w:r>
          </w:p>
        </w:tc>
        <w:tc>
          <w:tcPr>
            <w:tcW w:w="734" w:type="pct"/>
            <w:tcBorders>
              <w:top w:val="nil"/>
              <w:left w:val="nil"/>
              <w:bottom w:val="single" w:sz="12" w:space="0" w:color="auto"/>
              <w:right w:val="nil"/>
            </w:tcBorders>
            <w:shd w:val="clear" w:color="auto" w:fill="auto"/>
            <w:noWrap/>
            <w:vAlign w:val="bottom"/>
          </w:tcPr>
          <w:p w:rsidR="004E66CC" w:rsidRDefault="00A80997" w:rsidP="00702417">
            <w:pPr>
              <w:jc w:val="center"/>
              <w:rPr>
                <w:rFonts w:eastAsia="Times New Roman"/>
                <w:color w:val="000000"/>
                <w:lang w:eastAsia="en-US"/>
              </w:rPr>
            </w:pPr>
            <w:r>
              <w:rPr>
                <w:rFonts w:eastAsia="Times New Roman"/>
                <w:color w:val="000000"/>
                <w:lang w:eastAsia="en-US"/>
              </w:rPr>
              <w:t>TBD</w:t>
            </w:r>
          </w:p>
        </w:tc>
        <w:tc>
          <w:tcPr>
            <w:tcW w:w="928" w:type="pct"/>
            <w:tcBorders>
              <w:top w:val="nil"/>
              <w:left w:val="nil"/>
              <w:bottom w:val="single" w:sz="12" w:space="0" w:color="auto"/>
              <w:right w:val="nil"/>
            </w:tcBorders>
            <w:shd w:val="clear" w:color="auto" w:fill="auto"/>
            <w:noWrap/>
            <w:vAlign w:val="bottom"/>
          </w:tcPr>
          <w:p w:rsidR="004E66CC" w:rsidRDefault="00A80997" w:rsidP="00702417">
            <w:pPr>
              <w:jc w:val="center"/>
              <w:rPr>
                <w:rFonts w:eastAsia="Times New Roman"/>
                <w:color w:val="000000"/>
                <w:lang w:eastAsia="en-US"/>
              </w:rPr>
            </w:pPr>
            <w:r>
              <w:rPr>
                <w:rFonts w:eastAsia="Times New Roman"/>
                <w:color w:val="000000"/>
                <w:lang w:eastAsia="en-US"/>
              </w:rPr>
              <w:t>TBD</w:t>
            </w:r>
          </w:p>
        </w:tc>
        <w:tc>
          <w:tcPr>
            <w:tcW w:w="486" w:type="pct"/>
            <w:tcBorders>
              <w:top w:val="nil"/>
              <w:left w:val="nil"/>
              <w:bottom w:val="single" w:sz="12" w:space="0" w:color="auto"/>
              <w:right w:val="nil"/>
            </w:tcBorders>
            <w:shd w:val="clear" w:color="auto" w:fill="auto"/>
            <w:noWrap/>
            <w:vAlign w:val="bottom"/>
          </w:tcPr>
          <w:p w:rsidR="004E66CC" w:rsidRDefault="003716BD" w:rsidP="00702417">
            <w:pPr>
              <w:jc w:val="center"/>
              <w:rPr>
                <w:rFonts w:eastAsia="Times New Roman"/>
                <w:color w:val="000000"/>
                <w:lang w:eastAsia="en-US"/>
              </w:rPr>
            </w:pPr>
            <w:r>
              <w:rPr>
                <w:rFonts w:eastAsia="Times New Roman"/>
                <w:color w:val="000000"/>
                <w:lang w:eastAsia="en-US"/>
              </w:rPr>
              <w:t>0.23</w:t>
            </w:r>
            <w:r>
              <w:rPr>
                <w:rFonts w:eastAsia="Times New Roman"/>
                <w:color w:val="000000"/>
                <w:vertAlign w:val="superscript"/>
                <w:lang w:eastAsia="en-US"/>
              </w:rPr>
              <w:t>E</w:t>
            </w:r>
          </w:p>
        </w:tc>
        <w:tc>
          <w:tcPr>
            <w:tcW w:w="467" w:type="pct"/>
            <w:tcBorders>
              <w:top w:val="nil"/>
              <w:left w:val="nil"/>
              <w:bottom w:val="single" w:sz="12" w:space="0" w:color="auto"/>
              <w:right w:val="nil"/>
            </w:tcBorders>
          </w:tcPr>
          <w:p w:rsidR="004E66CC" w:rsidRDefault="003716BD" w:rsidP="00702417">
            <w:pPr>
              <w:jc w:val="center"/>
              <w:rPr>
                <w:rFonts w:eastAsia="Times New Roman"/>
                <w:color w:val="000000"/>
                <w:lang w:eastAsia="en-US"/>
              </w:rPr>
            </w:pPr>
            <w:r>
              <w:rPr>
                <w:rFonts w:eastAsia="Times New Roman"/>
                <w:color w:val="000000"/>
                <w:lang w:eastAsia="en-US"/>
              </w:rPr>
              <w:t>0.21</w:t>
            </w:r>
          </w:p>
        </w:tc>
      </w:tr>
    </w:tbl>
    <w:p w:rsidR="00515F91" w:rsidRDefault="00515F91" w:rsidP="00515F91">
      <w:pPr>
        <w:jc w:val="both"/>
        <w:rPr>
          <w:spacing w:val="-3"/>
          <w:sz w:val="20"/>
          <w:szCs w:val="20"/>
        </w:rPr>
      </w:pPr>
      <w:r w:rsidRPr="0001356B">
        <w:rPr>
          <w:spacing w:val="-3"/>
          <w:sz w:val="20"/>
          <w:szCs w:val="20"/>
        </w:rPr>
        <w:t xml:space="preserve">Notes: </w:t>
      </w:r>
    </w:p>
    <w:p w:rsidR="00515F91" w:rsidRPr="0001356B" w:rsidRDefault="005917AF" w:rsidP="00515F91">
      <w:pPr>
        <w:jc w:val="both"/>
        <w:rPr>
          <w:spacing w:val="-3"/>
          <w:sz w:val="20"/>
          <w:szCs w:val="20"/>
        </w:rPr>
      </w:pPr>
      <w:r>
        <w:rPr>
          <w:spacing w:val="-3"/>
          <w:sz w:val="20"/>
          <w:szCs w:val="20"/>
        </w:rPr>
        <w:t>MSST was calculated as B</w:t>
      </w:r>
      <w:r w:rsidRPr="005917AF">
        <w:rPr>
          <w:spacing w:val="-3"/>
          <w:sz w:val="20"/>
          <w:szCs w:val="20"/>
          <w:vertAlign w:val="subscript"/>
        </w:rPr>
        <w:t>MSY</w:t>
      </w:r>
      <w:r>
        <w:rPr>
          <w:spacing w:val="-3"/>
          <w:sz w:val="20"/>
          <w:szCs w:val="20"/>
        </w:rPr>
        <w:t>/2</w:t>
      </w:r>
    </w:p>
    <w:p w:rsidR="00515F91" w:rsidRPr="0001356B" w:rsidRDefault="00282332" w:rsidP="00515F91">
      <w:pPr>
        <w:jc w:val="both"/>
        <w:rPr>
          <w:spacing w:val="-3"/>
          <w:sz w:val="20"/>
          <w:szCs w:val="20"/>
        </w:rPr>
      </w:pPr>
      <w:r>
        <w:rPr>
          <w:spacing w:val="-3"/>
          <w:sz w:val="20"/>
          <w:szCs w:val="20"/>
        </w:rPr>
        <w:t>A</w:t>
      </w:r>
      <w:r w:rsidR="00515F91" w:rsidRPr="0001356B">
        <w:rPr>
          <w:spacing w:val="-3"/>
          <w:sz w:val="20"/>
          <w:szCs w:val="20"/>
        </w:rPr>
        <w:t>-Calculated from the assessment reviewed b</w:t>
      </w:r>
      <w:r w:rsidR="004E66CC">
        <w:rPr>
          <w:spacing w:val="-3"/>
          <w:sz w:val="20"/>
          <w:szCs w:val="20"/>
        </w:rPr>
        <w:t>y the Crab Plan Team in May 2010</w:t>
      </w:r>
    </w:p>
    <w:p w:rsidR="00515F91" w:rsidRDefault="00282332" w:rsidP="00515F91">
      <w:pPr>
        <w:jc w:val="both"/>
        <w:rPr>
          <w:spacing w:val="-3"/>
          <w:sz w:val="20"/>
          <w:szCs w:val="20"/>
        </w:rPr>
      </w:pPr>
      <w:r>
        <w:rPr>
          <w:spacing w:val="-3"/>
          <w:sz w:val="20"/>
          <w:szCs w:val="20"/>
        </w:rPr>
        <w:t>B</w:t>
      </w:r>
      <w:r w:rsidR="00515F91" w:rsidRPr="0001356B">
        <w:rPr>
          <w:spacing w:val="-3"/>
          <w:sz w:val="20"/>
          <w:szCs w:val="20"/>
        </w:rPr>
        <w:t>-Calculated from the assessment reviewed b</w:t>
      </w:r>
      <w:r w:rsidR="004E66CC">
        <w:rPr>
          <w:spacing w:val="-3"/>
          <w:sz w:val="20"/>
          <w:szCs w:val="20"/>
        </w:rPr>
        <w:t>y the Crab Plan Team in May 2011</w:t>
      </w:r>
    </w:p>
    <w:p w:rsidR="00515F91" w:rsidRDefault="00282332" w:rsidP="00515F91">
      <w:pPr>
        <w:jc w:val="both"/>
        <w:rPr>
          <w:spacing w:val="-3"/>
          <w:sz w:val="20"/>
          <w:szCs w:val="20"/>
        </w:rPr>
      </w:pPr>
      <w:r>
        <w:rPr>
          <w:spacing w:val="-3"/>
          <w:sz w:val="20"/>
          <w:szCs w:val="20"/>
        </w:rPr>
        <w:t>C</w:t>
      </w:r>
      <w:r w:rsidR="00515F91" w:rsidRPr="0001356B">
        <w:rPr>
          <w:spacing w:val="-3"/>
          <w:sz w:val="20"/>
          <w:szCs w:val="20"/>
        </w:rPr>
        <w:t>-Calculated from the assessment reviewed b</w:t>
      </w:r>
      <w:r w:rsidR="004E66CC">
        <w:rPr>
          <w:spacing w:val="-3"/>
          <w:sz w:val="20"/>
          <w:szCs w:val="20"/>
        </w:rPr>
        <w:t>y the Crab Plan Team in May 2012</w:t>
      </w:r>
    </w:p>
    <w:p w:rsidR="003F48E0" w:rsidRDefault="00282332" w:rsidP="003F48E0">
      <w:pPr>
        <w:jc w:val="both"/>
        <w:rPr>
          <w:spacing w:val="-3"/>
          <w:sz w:val="20"/>
          <w:szCs w:val="20"/>
        </w:rPr>
      </w:pPr>
      <w:r>
        <w:rPr>
          <w:spacing w:val="-3"/>
          <w:sz w:val="20"/>
          <w:szCs w:val="20"/>
        </w:rPr>
        <w:t>D</w:t>
      </w:r>
      <w:r w:rsidR="003F48E0" w:rsidRPr="0001356B">
        <w:rPr>
          <w:spacing w:val="-3"/>
          <w:sz w:val="20"/>
          <w:szCs w:val="20"/>
        </w:rPr>
        <w:t>-Calculated from the assessment reviewed b</w:t>
      </w:r>
      <w:r w:rsidR="004E66CC">
        <w:rPr>
          <w:spacing w:val="-3"/>
          <w:sz w:val="20"/>
          <w:szCs w:val="20"/>
        </w:rPr>
        <w:t>y the Crab Plan Team in May 2013</w:t>
      </w:r>
    </w:p>
    <w:p w:rsidR="00282332" w:rsidRDefault="00282332" w:rsidP="00282332">
      <w:pPr>
        <w:jc w:val="both"/>
        <w:rPr>
          <w:spacing w:val="-3"/>
          <w:sz w:val="20"/>
          <w:szCs w:val="20"/>
        </w:rPr>
      </w:pPr>
      <w:r>
        <w:rPr>
          <w:spacing w:val="-3"/>
          <w:sz w:val="20"/>
          <w:szCs w:val="20"/>
        </w:rPr>
        <w:t>E</w:t>
      </w:r>
      <w:r w:rsidRPr="0001356B">
        <w:rPr>
          <w:spacing w:val="-3"/>
          <w:sz w:val="20"/>
          <w:szCs w:val="20"/>
        </w:rPr>
        <w:t>-Calculated from the assessment reviewed b</w:t>
      </w:r>
      <w:r w:rsidR="003716BD">
        <w:rPr>
          <w:spacing w:val="-3"/>
          <w:sz w:val="20"/>
          <w:szCs w:val="20"/>
        </w:rPr>
        <w:t>y the Crab Plan Team in May 2014</w:t>
      </w:r>
    </w:p>
    <w:p w:rsidR="00A80997" w:rsidRDefault="00A80997" w:rsidP="00282332">
      <w:pPr>
        <w:jc w:val="both"/>
        <w:rPr>
          <w:spacing w:val="-3"/>
          <w:sz w:val="20"/>
          <w:szCs w:val="20"/>
        </w:rPr>
      </w:pPr>
      <w:r>
        <w:rPr>
          <w:spacing w:val="-3"/>
          <w:sz w:val="20"/>
          <w:szCs w:val="20"/>
        </w:rPr>
        <w:t xml:space="preserve">Conversion to Metric ton: 1 Metric ton = 2.024 × 1000 </w:t>
      </w:r>
      <w:proofErr w:type="spellStart"/>
      <w:r>
        <w:rPr>
          <w:spacing w:val="-3"/>
          <w:sz w:val="20"/>
          <w:szCs w:val="20"/>
        </w:rPr>
        <w:t>lb</w:t>
      </w:r>
      <w:proofErr w:type="spellEnd"/>
      <w:r>
        <w:rPr>
          <w:spacing w:val="-3"/>
          <w:sz w:val="20"/>
          <w:szCs w:val="20"/>
        </w:rPr>
        <w:t xml:space="preserve"> </w:t>
      </w:r>
    </w:p>
    <w:p w:rsidR="00A123BF" w:rsidRPr="0001356B" w:rsidRDefault="00A123BF" w:rsidP="00515F91">
      <w:pPr>
        <w:jc w:val="both"/>
        <w:rPr>
          <w:spacing w:val="-3"/>
          <w:sz w:val="20"/>
          <w:szCs w:val="20"/>
        </w:rPr>
      </w:pPr>
    </w:p>
    <w:p w:rsidR="000E4B45" w:rsidRPr="00A123BF" w:rsidRDefault="00A123BF" w:rsidP="0071095B">
      <w:pPr>
        <w:jc w:val="both"/>
        <w:rPr>
          <w:spacing w:val="-3"/>
        </w:rPr>
      </w:pPr>
      <w:r w:rsidRPr="000E4B45">
        <w:rPr>
          <w:i/>
          <w:spacing w:val="-3"/>
        </w:rPr>
        <w:t>Biomass in millions of pounds</w:t>
      </w:r>
      <w:r w:rsidRPr="000E4B45">
        <w:rPr>
          <w:vanish/>
          <w:spacing w:val="-3"/>
        </w:rPr>
        <w:cr/>
      </w:r>
    </w:p>
    <w:tbl>
      <w:tblPr>
        <w:tblW w:w="5000" w:type="pct"/>
        <w:tblLook w:val="04A0" w:firstRow="1" w:lastRow="0" w:firstColumn="1" w:lastColumn="0" w:noHBand="0" w:noVBand="1"/>
      </w:tblPr>
      <w:tblGrid>
        <w:gridCol w:w="1083"/>
        <w:gridCol w:w="708"/>
        <w:gridCol w:w="791"/>
        <w:gridCol w:w="1140"/>
        <w:gridCol w:w="1069"/>
        <w:gridCol w:w="747"/>
        <w:gridCol w:w="1383"/>
        <w:gridCol w:w="688"/>
        <w:gridCol w:w="1180"/>
        <w:gridCol w:w="787"/>
      </w:tblGrid>
      <w:tr w:rsidR="00E426E0" w:rsidRPr="001F2312" w:rsidTr="008264B6">
        <w:trPr>
          <w:trHeight w:val="890"/>
        </w:trPr>
        <w:tc>
          <w:tcPr>
            <w:tcW w:w="566" w:type="pct"/>
            <w:tcBorders>
              <w:top w:val="single" w:sz="4" w:space="0" w:color="auto"/>
              <w:left w:val="nil"/>
              <w:bottom w:val="single" w:sz="4" w:space="0" w:color="auto"/>
              <w:right w:val="nil"/>
            </w:tcBorders>
            <w:shd w:val="clear" w:color="auto" w:fill="auto"/>
            <w:vAlign w:val="center"/>
          </w:tcPr>
          <w:p w:rsidR="00CD658F" w:rsidRPr="001F2312" w:rsidRDefault="00CD658F" w:rsidP="00702417">
            <w:pPr>
              <w:jc w:val="center"/>
              <w:rPr>
                <w:b/>
                <w:bCs/>
              </w:rPr>
            </w:pPr>
            <w:r w:rsidRPr="001F2312">
              <w:rPr>
                <w:b/>
                <w:bCs/>
              </w:rPr>
              <w:t>Year</w:t>
            </w:r>
          </w:p>
        </w:tc>
        <w:tc>
          <w:tcPr>
            <w:tcW w:w="370" w:type="pct"/>
            <w:tcBorders>
              <w:top w:val="single" w:sz="4" w:space="0" w:color="auto"/>
              <w:left w:val="nil"/>
              <w:bottom w:val="single" w:sz="4" w:space="0" w:color="auto"/>
              <w:right w:val="nil"/>
            </w:tcBorders>
            <w:shd w:val="clear" w:color="auto" w:fill="auto"/>
            <w:vAlign w:val="center"/>
          </w:tcPr>
          <w:p w:rsidR="00CD658F" w:rsidRPr="001F2312" w:rsidRDefault="00CD658F" w:rsidP="00702417">
            <w:pPr>
              <w:jc w:val="center"/>
              <w:rPr>
                <w:b/>
                <w:bCs/>
              </w:rPr>
            </w:pPr>
            <w:r>
              <w:rPr>
                <w:b/>
                <w:bCs/>
              </w:rPr>
              <w:t>Tier</w:t>
            </w:r>
          </w:p>
        </w:tc>
        <w:tc>
          <w:tcPr>
            <w:tcW w:w="413" w:type="pct"/>
            <w:tcBorders>
              <w:top w:val="single" w:sz="4" w:space="0" w:color="auto"/>
              <w:left w:val="nil"/>
              <w:bottom w:val="single" w:sz="4" w:space="0" w:color="auto"/>
              <w:right w:val="nil"/>
            </w:tcBorders>
            <w:shd w:val="clear" w:color="auto" w:fill="auto"/>
            <w:vAlign w:val="center"/>
          </w:tcPr>
          <w:p w:rsidR="00CD658F" w:rsidRPr="001F2312" w:rsidRDefault="00CD658F" w:rsidP="00702417">
            <w:pPr>
              <w:jc w:val="center"/>
              <w:rPr>
                <w:b/>
                <w:bCs/>
              </w:rPr>
            </w:pPr>
            <w:r w:rsidRPr="001F2312">
              <w:rPr>
                <w:b/>
                <w:bCs/>
              </w:rPr>
              <w:t>B</w:t>
            </w:r>
            <w:r w:rsidRPr="001F2312">
              <w:rPr>
                <w:b/>
                <w:bCs/>
                <w:vertAlign w:val="subscript"/>
              </w:rPr>
              <w:t>MSY</w:t>
            </w:r>
          </w:p>
        </w:tc>
        <w:tc>
          <w:tcPr>
            <w:tcW w:w="595" w:type="pct"/>
            <w:tcBorders>
              <w:top w:val="single" w:sz="4" w:space="0" w:color="auto"/>
              <w:left w:val="nil"/>
              <w:bottom w:val="single" w:sz="4" w:space="0" w:color="auto"/>
              <w:right w:val="nil"/>
            </w:tcBorders>
            <w:shd w:val="clear" w:color="auto" w:fill="auto"/>
            <w:vAlign w:val="center"/>
          </w:tcPr>
          <w:p w:rsidR="00CD658F" w:rsidRPr="001F2312" w:rsidRDefault="00CD658F" w:rsidP="00702417">
            <w:pPr>
              <w:jc w:val="center"/>
              <w:rPr>
                <w:b/>
                <w:bCs/>
              </w:rPr>
            </w:pPr>
            <w:r>
              <w:rPr>
                <w:b/>
                <w:bCs/>
              </w:rPr>
              <w:t>Current MMB</w:t>
            </w:r>
          </w:p>
        </w:tc>
        <w:tc>
          <w:tcPr>
            <w:tcW w:w="558" w:type="pct"/>
            <w:tcBorders>
              <w:top w:val="single" w:sz="4" w:space="0" w:color="auto"/>
              <w:left w:val="nil"/>
              <w:bottom w:val="single" w:sz="4" w:space="0" w:color="auto"/>
              <w:right w:val="nil"/>
            </w:tcBorders>
            <w:shd w:val="clear" w:color="auto" w:fill="auto"/>
            <w:vAlign w:val="center"/>
          </w:tcPr>
          <w:p w:rsidR="00CD658F" w:rsidRPr="001F2312" w:rsidRDefault="00CD658F" w:rsidP="00702417">
            <w:pPr>
              <w:jc w:val="center"/>
              <w:rPr>
                <w:b/>
                <w:bCs/>
              </w:rPr>
            </w:pPr>
            <w:r>
              <w:rPr>
                <w:b/>
                <w:bCs/>
              </w:rPr>
              <w:t>B/B</w:t>
            </w:r>
            <w:r w:rsidRPr="001F2312">
              <w:rPr>
                <w:b/>
                <w:bCs/>
                <w:vertAlign w:val="subscript"/>
              </w:rPr>
              <w:t>MSY</w:t>
            </w:r>
            <w:r>
              <w:rPr>
                <w:b/>
                <w:bCs/>
              </w:rPr>
              <w:t xml:space="preserve"> (MMB)</w:t>
            </w:r>
          </w:p>
        </w:tc>
        <w:tc>
          <w:tcPr>
            <w:tcW w:w="390" w:type="pct"/>
            <w:tcBorders>
              <w:top w:val="single" w:sz="4" w:space="0" w:color="auto"/>
              <w:left w:val="nil"/>
              <w:bottom w:val="single" w:sz="4" w:space="0" w:color="auto"/>
              <w:right w:val="nil"/>
            </w:tcBorders>
            <w:vAlign w:val="center"/>
          </w:tcPr>
          <w:p w:rsidR="00CD658F" w:rsidRPr="001F2312" w:rsidRDefault="00CD658F" w:rsidP="00702417">
            <w:pPr>
              <w:jc w:val="center"/>
              <w:rPr>
                <w:b/>
                <w:bCs/>
              </w:rPr>
            </w:pPr>
            <w:r>
              <w:rPr>
                <w:b/>
                <w:bCs/>
              </w:rPr>
              <w:t>F</w:t>
            </w:r>
            <w:r w:rsidRPr="001F2312">
              <w:rPr>
                <w:b/>
                <w:bCs/>
                <w:vertAlign w:val="subscript"/>
              </w:rPr>
              <w:t>OFL</w:t>
            </w:r>
          </w:p>
        </w:tc>
        <w:tc>
          <w:tcPr>
            <w:tcW w:w="722" w:type="pct"/>
            <w:tcBorders>
              <w:top w:val="single" w:sz="4" w:space="0" w:color="auto"/>
              <w:left w:val="nil"/>
              <w:bottom w:val="single" w:sz="4" w:space="0" w:color="auto"/>
              <w:right w:val="nil"/>
            </w:tcBorders>
            <w:shd w:val="clear" w:color="auto" w:fill="auto"/>
            <w:vAlign w:val="center"/>
          </w:tcPr>
          <w:p w:rsidR="00CD658F" w:rsidRDefault="00CD658F" w:rsidP="00702417">
            <w:pPr>
              <w:jc w:val="center"/>
              <w:rPr>
                <w:b/>
                <w:bCs/>
              </w:rPr>
            </w:pPr>
            <w:r>
              <w:rPr>
                <w:b/>
                <w:bCs/>
              </w:rPr>
              <w:t>Years to define</w:t>
            </w:r>
          </w:p>
          <w:p w:rsidR="00CD658F" w:rsidRPr="001F2312" w:rsidRDefault="00CD658F" w:rsidP="00702417">
            <w:pPr>
              <w:jc w:val="center"/>
              <w:rPr>
                <w:b/>
                <w:bCs/>
              </w:rPr>
            </w:pPr>
            <w:r>
              <w:rPr>
                <w:b/>
                <w:bCs/>
              </w:rPr>
              <w:t>B</w:t>
            </w:r>
            <w:r w:rsidRPr="001F2312">
              <w:rPr>
                <w:b/>
                <w:bCs/>
                <w:vertAlign w:val="subscript"/>
              </w:rPr>
              <w:t>MSY</w:t>
            </w:r>
          </w:p>
        </w:tc>
        <w:tc>
          <w:tcPr>
            <w:tcW w:w="359" w:type="pct"/>
            <w:tcBorders>
              <w:top w:val="single" w:sz="4" w:space="0" w:color="auto"/>
              <w:left w:val="nil"/>
              <w:bottom w:val="single" w:sz="4" w:space="0" w:color="auto"/>
              <w:right w:val="nil"/>
            </w:tcBorders>
            <w:shd w:val="clear" w:color="auto" w:fill="auto"/>
            <w:vAlign w:val="center"/>
          </w:tcPr>
          <w:p w:rsidR="00CD658F" w:rsidRPr="001F2312" w:rsidRDefault="00CD658F" w:rsidP="00702417">
            <w:pPr>
              <w:ind w:left="9"/>
              <w:jc w:val="center"/>
              <w:rPr>
                <w:b/>
                <w:bCs/>
              </w:rPr>
            </w:pPr>
            <w:r>
              <w:rPr>
                <w:b/>
                <w:bCs/>
              </w:rPr>
              <w:t xml:space="preserve"> M</w:t>
            </w:r>
          </w:p>
        </w:tc>
        <w:tc>
          <w:tcPr>
            <w:tcW w:w="616" w:type="pct"/>
            <w:tcBorders>
              <w:top w:val="single" w:sz="4" w:space="0" w:color="auto"/>
              <w:left w:val="nil"/>
              <w:bottom w:val="single" w:sz="4" w:space="0" w:color="auto"/>
              <w:right w:val="nil"/>
            </w:tcBorders>
            <w:vAlign w:val="center"/>
          </w:tcPr>
          <w:p w:rsidR="00CD658F" w:rsidRDefault="00786989" w:rsidP="00702417">
            <w:pPr>
              <w:ind w:left="9"/>
              <w:jc w:val="center"/>
              <w:rPr>
                <w:b/>
                <w:bCs/>
              </w:rPr>
            </w:pPr>
            <w:r>
              <w:rPr>
                <w:b/>
                <w:bCs/>
              </w:rPr>
              <w:t>1-Buffer</w:t>
            </w:r>
          </w:p>
        </w:tc>
        <w:tc>
          <w:tcPr>
            <w:tcW w:w="413" w:type="pct"/>
            <w:tcBorders>
              <w:top w:val="single" w:sz="4" w:space="0" w:color="auto"/>
              <w:left w:val="nil"/>
              <w:bottom w:val="single" w:sz="4" w:space="0" w:color="auto"/>
              <w:right w:val="nil"/>
            </w:tcBorders>
            <w:vAlign w:val="center"/>
          </w:tcPr>
          <w:p w:rsidR="00CD658F" w:rsidRDefault="00CD658F" w:rsidP="00702417">
            <w:pPr>
              <w:ind w:left="9"/>
              <w:jc w:val="center"/>
              <w:rPr>
                <w:b/>
                <w:bCs/>
              </w:rPr>
            </w:pPr>
            <w:r>
              <w:rPr>
                <w:b/>
                <w:bCs/>
              </w:rPr>
              <w:t>ABC</w:t>
            </w:r>
          </w:p>
        </w:tc>
      </w:tr>
      <w:tr w:rsidR="00E426E0" w:rsidRPr="001F2312" w:rsidTr="008264B6">
        <w:trPr>
          <w:trHeight w:val="20"/>
        </w:trPr>
        <w:tc>
          <w:tcPr>
            <w:tcW w:w="566" w:type="pct"/>
            <w:tcBorders>
              <w:top w:val="nil"/>
              <w:left w:val="nil"/>
              <w:bottom w:val="nil"/>
              <w:right w:val="nil"/>
            </w:tcBorders>
            <w:shd w:val="clear" w:color="auto" w:fill="auto"/>
            <w:noWrap/>
            <w:vAlign w:val="center"/>
          </w:tcPr>
          <w:p w:rsidR="00593FF9" w:rsidRPr="001F2312" w:rsidRDefault="00593FF9" w:rsidP="00702417">
            <w:pPr>
              <w:jc w:val="center"/>
            </w:pPr>
            <w:r w:rsidRPr="001F2312">
              <w:t>2010</w:t>
            </w:r>
            <w:r>
              <w:t>/11</w:t>
            </w:r>
          </w:p>
        </w:tc>
        <w:tc>
          <w:tcPr>
            <w:tcW w:w="370" w:type="pct"/>
            <w:tcBorders>
              <w:top w:val="nil"/>
              <w:left w:val="nil"/>
              <w:bottom w:val="nil"/>
              <w:right w:val="nil"/>
            </w:tcBorders>
            <w:shd w:val="clear" w:color="auto" w:fill="auto"/>
            <w:noWrap/>
            <w:vAlign w:val="center"/>
          </w:tcPr>
          <w:p w:rsidR="00593FF9" w:rsidRPr="001F2312" w:rsidRDefault="00593FF9" w:rsidP="00702417">
            <w:pPr>
              <w:jc w:val="center"/>
            </w:pPr>
            <w:r>
              <w:t>4a</w:t>
            </w:r>
          </w:p>
        </w:tc>
        <w:tc>
          <w:tcPr>
            <w:tcW w:w="413" w:type="pct"/>
            <w:tcBorders>
              <w:top w:val="nil"/>
              <w:left w:val="nil"/>
              <w:bottom w:val="nil"/>
              <w:right w:val="nil"/>
            </w:tcBorders>
            <w:shd w:val="clear" w:color="auto" w:fill="auto"/>
            <w:noWrap/>
            <w:vAlign w:val="center"/>
          </w:tcPr>
          <w:p w:rsidR="00593FF9" w:rsidRPr="00A54B93" w:rsidRDefault="00593FF9" w:rsidP="00702417">
            <w:pPr>
              <w:jc w:val="center"/>
              <w:rPr>
                <w:vertAlign w:val="superscript"/>
              </w:rPr>
            </w:pPr>
            <w:r>
              <w:t>3.12</w:t>
            </w:r>
          </w:p>
        </w:tc>
        <w:tc>
          <w:tcPr>
            <w:tcW w:w="595" w:type="pct"/>
            <w:tcBorders>
              <w:top w:val="nil"/>
              <w:left w:val="nil"/>
              <w:bottom w:val="nil"/>
              <w:right w:val="nil"/>
            </w:tcBorders>
            <w:shd w:val="clear" w:color="auto" w:fill="auto"/>
            <w:noWrap/>
            <w:vAlign w:val="center"/>
          </w:tcPr>
          <w:p w:rsidR="00593FF9" w:rsidRPr="001F2312" w:rsidRDefault="00593FF9" w:rsidP="00702417">
            <w:pPr>
              <w:jc w:val="center"/>
            </w:pPr>
            <w:r w:rsidRPr="001F2312">
              <w:t>5.44</w:t>
            </w:r>
          </w:p>
        </w:tc>
        <w:tc>
          <w:tcPr>
            <w:tcW w:w="558" w:type="pct"/>
            <w:tcBorders>
              <w:top w:val="nil"/>
              <w:left w:val="nil"/>
              <w:bottom w:val="nil"/>
              <w:right w:val="nil"/>
            </w:tcBorders>
            <w:shd w:val="clear" w:color="auto" w:fill="auto"/>
            <w:noWrap/>
            <w:vAlign w:val="center"/>
          </w:tcPr>
          <w:p w:rsidR="00593FF9" w:rsidRPr="001F2312" w:rsidRDefault="00593FF9" w:rsidP="00702417">
            <w:pPr>
              <w:jc w:val="center"/>
            </w:pPr>
            <w:r>
              <w:t>1.7</w:t>
            </w:r>
          </w:p>
        </w:tc>
        <w:tc>
          <w:tcPr>
            <w:tcW w:w="390" w:type="pct"/>
            <w:tcBorders>
              <w:top w:val="nil"/>
              <w:left w:val="nil"/>
              <w:bottom w:val="nil"/>
              <w:right w:val="nil"/>
            </w:tcBorders>
            <w:vAlign w:val="center"/>
          </w:tcPr>
          <w:p w:rsidR="00593FF9" w:rsidRPr="001F2312" w:rsidRDefault="00593FF9" w:rsidP="00702417">
            <w:pPr>
              <w:jc w:val="center"/>
            </w:pPr>
            <w:r>
              <w:t>0.18</w:t>
            </w:r>
          </w:p>
        </w:tc>
        <w:tc>
          <w:tcPr>
            <w:tcW w:w="722" w:type="pct"/>
            <w:tcBorders>
              <w:top w:val="nil"/>
              <w:left w:val="nil"/>
              <w:bottom w:val="nil"/>
              <w:right w:val="nil"/>
            </w:tcBorders>
            <w:shd w:val="clear" w:color="auto" w:fill="auto"/>
            <w:noWrap/>
            <w:vAlign w:val="center"/>
          </w:tcPr>
          <w:p w:rsidR="00593FF9" w:rsidRPr="001F2312" w:rsidRDefault="00593FF9" w:rsidP="00702417">
            <w:pPr>
              <w:jc w:val="center"/>
            </w:pPr>
            <w:r>
              <w:t>1983-2010</w:t>
            </w:r>
          </w:p>
        </w:tc>
        <w:tc>
          <w:tcPr>
            <w:tcW w:w="359" w:type="pct"/>
            <w:tcBorders>
              <w:top w:val="nil"/>
              <w:left w:val="nil"/>
              <w:bottom w:val="nil"/>
              <w:right w:val="nil"/>
            </w:tcBorders>
            <w:shd w:val="clear" w:color="auto" w:fill="auto"/>
            <w:noWrap/>
            <w:vAlign w:val="center"/>
          </w:tcPr>
          <w:p w:rsidR="00593FF9" w:rsidRPr="001F2312" w:rsidRDefault="00593FF9" w:rsidP="00702417">
            <w:pPr>
              <w:jc w:val="center"/>
            </w:pPr>
            <w:r w:rsidRPr="001F2312">
              <w:t>0.</w:t>
            </w:r>
            <w:r>
              <w:t>18</w:t>
            </w:r>
          </w:p>
        </w:tc>
        <w:tc>
          <w:tcPr>
            <w:tcW w:w="616" w:type="pct"/>
            <w:tcBorders>
              <w:top w:val="nil"/>
              <w:left w:val="nil"/>
              <w:bottom w:val="nil"/>
              <w:right w:val="nil"/>
            </w:tcBorders>
          </w:tcPr>
          <w:p w:rsidR="00593FF9" w:rsidRPr="001F2312" w:rsidRDefault="00593FF9" w:rsidP="00702417">
            <w:pPr>
              <w:jc w:val="center"/>
            </w:pPr>
          </w:p>
        </w:tc>
        <w:tc>
          <w:tcPr>
            <w:tcW w:w="413" w:type="pct"/>
            <w:tcBorders>
              <w:top w:val="nil"/>
              <w:left w:val="nil"/>
              <w:bottom w:val="nil"/>
              <w:right w:val="nil"/>
            </w:tcBorders>
          </w:tcPr>
          <w:p w:rsidR="00593FF9" w:rsidRPr="001F2312" w:rsidRDefault="00593FF9" w:rsidP="00702417">
            <w:pPr>
              <w:jc w:val="center"/>
            </w:pPr>
          </w:p>
        </w:tc>
      </w:tr>
      <w:tr w:rsidR="00E426E0" w:rsidRPr="001F2312" w:rsidTr="008264B6">
        <w:trPr>
          <w:trHeight w:val="20"/>
        </w:trPr>
        <w:tc>
          <w:tcPr>
            <w:tcW w:w="566" w:type="pct"/>
            <w:tcBorders>
              <w:top w:val="nil"/>
              <w:left w:val="nil"/>
              <w:bottom w:val="nil"/>
              <w:right w:val="nil"/>
            </w:tcBorders>
            <w:shd w:val="clear" w:color="auto" w:fill="auto"/>
            <w:noWrap/>
            <w:vAlign w:val="center"/>
          </w:tcPr>
          <w:p w:rsidR="00593FF9" w:rsidRPr="001F2312" w:rsidRDefault="00593FF9" w:rsidP="00702417">
            <w:pPr>
              <w:jc w:val="center"/>
            </w:pPr>
            <w:r>
              <w:t>2011/12</w:t>
            </w:r>
          </w:p>
        </w:tc>
        <w:tc>
          <w:tcPr>
            <w:tcW w:w="370" w:type="pct"/>
            <w:tcBorders>
              <w:top w:val="nil"/>
              <w:left w:val="nil"/>
              <w:bottom w:val="nil"/>
              <w:right w:val="nil"/>
            </w:tcBorders>
            <w:shd w:val="clear" w:color="auto" w:fill="auto"/>
            <w:noWrap/>
            <w:vAlign w:val="center"/>
          </w:tcPr>
          <w:p w:rsidR="00593FF9" w:rsidRPr="001F2312" w:rsidRDefault="00593FF9" w:rsidP="00702417">
            <w:pPr>
              <w:jc w:val="center"/>
            </w:pPr>
            <w:r>
              <w:t>4a</w:t>
            </w:r>
          </w:p>
        </w:tc>
        <w:tc>
          <w:tcPr>
            <w:tcW w:w="413" w:type="pct"/>
            <w:tcBorders>
              <w:top w:val="nil"/>
              <w:left w:val="nil"/>
              <w:bottom w:val="nil"/>
              <w:right w:val="nil"/>
            </w:tcBorders>
            <w:shd w:val="clear" w:color="auto" w:fill="auto"/>
            <w:noWrap/>
            <w:vAlign w:val="center"/>
          </w:tcPr>
          <w:p w:rsidR="00593FF9" w:rsidRPr="003F4C80" w:rsidRDefault="00593FF9" w:rsidP="00702417">
            <w:pPr>
              <w:jc w:val="center"/>
            </w:pPr>
            <w:r w:rsidRPr="003F4C80">
              <w:t>2.97</w:t>
            </w:r>
          </w:p>
        </w:tc>
        <w:tc>
          <w:tcPr>
            <w:tcW w:w="595" w:type="pct"/>
            <w:tcBorders>
              <w:top w:val="nil"/>
              <w:left w:val="nil"/>
              <w:bottom w:val="nil"/>
              <w:right w:val="nil"/>
            </w:tcBorders>
            <w:shd w:val="clear" w:color="auto" w:fill="auto"/>
            <w:noWrap/>
            <w:vAlign w:val="center"/>
          </w:tcPr>
          <w:p w:rsidR="00593FF9" w:rsidRPr="001F2312" w:rsidRDefault="00593FF9" w:rsidP="00702417">
            <w:pPr>
              <w:jc w:val="center"/>
            </w:pPr>
            <w:r>
              <w:t>4.70</w:t>
            </w:r>
          </w:p>
        </w:tc>
        <w:tc>
          <w:tcPr>
            <w:tcW w:w="558" w:type="pct"/>
            <w:tcBorders>
              <w:top w:val="nil"/>
              <w:left w:val="nil"/>
              <w:bottom w:val="nil"/>
              <w:right w:val="nil"/>
            </w:tcBorders>
            <w:shd w:val="clear" w:color="auto" w:fill="auto"/>
            <w:noWrap/>
            <w:vAlign w:val="center"/>
          </w:tcPr>
          <w:p w:rsidR="00593FF9" w:rsidRPr="001F2312" w:rsidRDefault="00593FF9" w:rsidP="00702417">
            <w:pPr>
              <w:jc w:val="center"/>
            </w:pPr>
            <w:r>
              <w:t>1.6</w:t>
            </w:r>
          </w:p>
        </w:tc>
        <w:tc>
          <w:tcPr>
            <w:tcW w:w="390" w:type="pct"/>
            <w:tcBorders>
              <w:top w:val="nil"/>
              <w:left w:val="nil"/>
              <w:bottom w:val="nil"/>
              <w:right w:val="nil"/>
            </w:tcBorders>
            <w:vAlign w:val="center"/>
          </w:tcPr>
          <w:p w:rsidR="00593FF9" w:rsidRPr="001F2312" w:rsidRDefault="00593FF9" w:rsidP="00702417">
            <w:pPr>
              <w:jc w:val="center"/>
            </w:pPr>
            <w:r>
              <w:t>0.18</w:t>
            </w:r>
          </w:p>
        </w:tc>
        <w:tc>
          <w:tcPr>
            <w:tcW w:w="722" w:type="pct"/>
            <w:tcBorders>
              <w:top w:val="nil"/>
              <w:left w:val="nil"/>
              <w:bottom w:val="nil"/>
              <w:right w:val="nil"/>
            </w:tcBorders>
            <w:shd w:val="clear" w:color="auto" w:fill="auto"/>
            <w:noWrap/>
            <w:vAlign w:val="center"/>
          </w:tcPr>
          <w:p w:rsidR="00593FF9" w:rsidRPr="001F2312" w:rsidRDefault="00593FF9" w:rsidP="00702417">
            <w:pPr>
              <w:jc w:val="center"/>
            </w:pPr>
            <w:r>
              <w:t>1983-2011</w:t>
            </w:r>
          </w:p>
        </w:tc>
        <w:tc>
          <w:tcPr>
            <w:tcW w:w="359" w:type="pct"/>
            <w:tcBorders>
              <w:top w:val="nil"/>
              <w:left w:val="nil"/>
              <w:bottom w:val="nil"/>
              <w:right w:val="nil"/>
            </w:tcBorders>
            <w:shd w:val="clear" w:color="auto" w:fill="auto"/>
            <w:noWrap/>
            <w:vAlign w:val="center"/>
          </w:tcPr>
          <w:p w:rsidR="00593FF9" w:rsidRPr="001F2312" w:rsidRDefault="00593FF9" w:rsidP="00702417">
            <w:pPr>
              <w:jc w:val="center"/>
            </w:pPr>
            <w:r w:rsidRPr="001F2312">
              <w:t>0.</w:t>
            </w:r>
            <w:r>
              <w:t>18</w:t>
            </w:r>
          </w:p>
        </w:tc>
        <w:tc>
          <w:tcPr>
            <w:tcW w:w="616" w:type="pct"/>
            <w:tcBorders>
              <w:top w:val="nil"/>
              <w:left w:val="nil"/>
              <w:bottom w:val="nil"/>
              <w:right w:val="nil"/>
            </w:tcBorders>
            <w:vAlign w:val="center"/>
          </w:tcPr>
          <w:p w:rsidR="00593FF9" w:rsidRPr="001F2312" w:rsidRDefault="00593FF9" w:rsidP="00702417">
            <w:pPr>
              <w:jc w:val="center"/>
            </w:pPr>
            <w:r>
              <w:t>0.9</w:t>
            </w:r>
          </w:p>
        </w:tc>
        <w:tc>
          <w:tcPr>
            <w:tcW w:w="413" w:type="pct"/>
            <w:tcBorders>
              <w:top w:val="nil"/>
              <w:left w:val="nil"/>
              <w:bottom w:val="nil"/>
              <w:right w:val="nil"/>
            </w:tcBorders>
            <w:vAlign w:val="center"/>
          </w:tcPr>
          <w:p w:rsidR="00593FF9" w:rsidRDefault="00593FF9" w:rsidP="00702417">
            <w:pPr>
              <w:jc w:val="center"/>
            </w:pPr>
            <w:r>
              <w:t>0.59</w:t>
            </w:r>
          </w:p>
        </w:tc>
      </w:tr>
      <w:tr w:rsidR="00E426E0" w:rsidRPr="001F2312" w:rsidTr="008264B6">
        <w:trPr>
          <w:trHeight w:val="20"/>
        </w:trPr>
        <w:tc>
          <w:tcPr>
            <w:tcW w:w="566" w:type="pct"/>
            <w:tcBorders>
              <w:top w:val="nil"/>
              <w:left w:val="nil"/>
              <w:bottom w:val="nil"/>
              <w:right w:val="nil"/>
            </w:tcBorders>
            <w:shd w:val="clear" w:color="auto" w:fill="auto"/>
            <w:noWrap/>
            <w:vAlign w:val="center"/>
          </w:tcPr>
          <w:p w:rsidR="00593FF9" w:rsidRDefault="00593FF9" w:rsidP="00702417">
            <w:pPr>
              <w:jc w:val="center"/>
            </w:pPr>
            <w:r>
              <w:t>2012/13</w:t>
            </w:r>
          </w:p>
        </w:tc>
        <w:tc>
          <w:tcPr>
            <w:tcW w:w="370" w:type="pct"/>
            <w:tcBorders>
              <w:top w:val="nil"/>
              <w:left w:val="nil"/>
              <w:bottom w:val="nil"/>
              <w:right w:val="nil"/>
            </w:tcBorders>
            <w:shd w:val="clear" w:color="auto" w:fill="auto"/>
            <w:noWrap/>
            <w:vAlign w:val="center"/>
          </w:tcPr>
          <w:p w:rsidR="00593FF9" w:rsidRDefault="00593FF9" w:rsidP="00702417">
            <w:pPr>
              <w:jc w:val="center"/>
            </w:pPr>
            <w:r>
              <w:t>4a</w:t>
            </w:r>
          </w:p>
        </w:tc>
        <w:tc>
          <w:tcPr>
            <w:tcW w:w="413" w:type="pct"/>
            <w:tcBorders>
              <w:top w:val="nil"/>
              <w:left w:val="nil"/>
              <w:bottom w:val="nil"/>
              <w:right w:val="nil"/>
            </w:tcBorders>
            <w:shd w:val="clear" w:color="auto" w:fill="auto"/>
            <w:noWrap/>
            <w:vAlign w:val="center"/>
          </w:tcPr>
          <w:p w:rsidR="00593FF9" w:rsidRPr="003F4C80" w:rsidRDefault="00593FF9" w:rsidP="00702417">
            <w:pPr>
              <w:jc w:val="center"/>
            </w:pPr>
            <w:r>
              <w:t>3.51</w:t>
            </w:r>
          </w:p>
        </w:tc>
        <w:tc>
          <w:tcPr>
            <w:tcW w:w="595" w:type="pct"/>
            <w:tcBorders>
              <w:top w:val="nil"/>
              <w:left w:val="nil"/>
              <w:bottom w:val="nil"/>
              <w:right w:val="nil"/>
            </w:tcBorders>
            <w:shd w:val="clear" w:color="auto" w:fill="auto"/>
            <w:noWrap/>
            <w:vAlign w:val="center"/>
          </w:tcPr>
          <w:p w:rsidR="00593FF9" w:rsidRDefault="00593FF9" w:rsidP="00702417">
            <w:pPr>
              <w:jc w:val="center"/>
            </w:pPr>
            <w:r>
              <w:t>4.25</w:t>
            </w:r>
          </w:p>
        </w:tc>
        <w:tc>
          <w:tcPr>
            <w:tcW w:w="558" w:type="pct"/>
            <w:tcBorders>
              <w:top w:val="nil"/>
              <w:left w:val="nil"/>
              <w:bottom w:val="nil"/>
              <w:right w:val="nil"/>
            </w:tcBorders>
            <w:shd w:val="clear" w:color="auto" w:fill="auto"/>
            <w:noWrap/>
            <w:vAlign w:val="center"/>
          </w:tcPr>
          <w:p w:rsidR="00593FF9" w:rsidRDefault="00593FF9" w:rsidP="00702417">
            <w:pPr>
              <w:jc w:val="center"/>
            </w:pPr>
            <w:r>
              <w:t>1.2</w:t>
            </w:r>
          </w:p>
        </w:tc>
        <w:tc>
          <w:tcPr>
            <w:tcW w:w="390" w:type="pct"/>
            <w:tcBorders>
              <w:top w:val="nil"/>
              <w:left w:val="nil"/>
              <w:bottom w:val="nil"/>
              <w:right w:val="nil"/>
            </w:tcBorders>
            <w:vAlign w:val="center"/>
          </w:tcPr>
          <w:p w:rsidR="00593FF9" w:rsidRDefault="00593FF9" w:rsidP="00702417">
            <w:pPr>
              <w:jc w:val="center"/>
            </w:pPr>
            <w:r>
              <w:t>0.18</w:t>
            </w:r>
          </w:p>
        </w:tc>
        <w:tc>
          <w:tcPr>
            <w:tcW w:w="722" w:type="pct"/>
            <w:tcBorders>
              <w:top w:val="nil"/>
              <w:left w:val="nil"/>
              <w:bottom w:val="nil"/>
              <w:right w:val="nil"/>
            </w:tcBorders>
            <w:shd w:val="clear" w:color="auto" w:fill="auto"/>
            <w:noWrap/>
            <w:vAlign w:val="center"/>
          </w:tcPr>
          <w:p w:rsidR="00593FF9" w:rsidRDefault="00593FF9" w:rsidP="00702417">
            <w:pPr>
              <w:jc w:val="center"/>
            </w:pPr>
            <w:r>
              <w:t>1980-2012</w:t>
            </w:r>
          </w:p>
        </w:tc>
        <w:tc>
          <w:tcPr>
            <w:tcW w:w="359" w:type="pct"/>
            <w:tcBorders>
              <w:top w:val="nil"/>
              <w:left w:val="nil"/>
              <w:bottom w:val="nil"/>
              <w:right w:val="nil"/>
            </w:tcBorders>
            <w:shd w:val="clear" w:color="auto" w:fill="auto"/>
            <w:noWrap/>
            <w:vAlign w:val="center"/>
          </w:tcPr>
          <w:p w:rsidR="00593FF9" w:rsidRPr="001F2312" w:rsidRDefault="00593FF9" w:rsidP="00702417">
            <w:pPr>
              <w:jc w:val="center"/>
            </w:pPr>
            <w:r>
              <w:t>0.18</w:t>
            </w:r>
          </w:p>
        </w:tc>
        <w:tc>
          <w:tcPr>
            <w:tcW w:w="616" w:type="pct"/>
            <w:tcBorders>
              <w:top w:val="nil"/>
              <w:left w:val="nil"/>
              <w:bottom w:val="nil"/>
              <w:right w:val="nil"/>
            </w:tcBorders>
            <w:vAlign w:val="center"/>
          </w:tcPr>
          <w:p w:rsidR="00593FF9" w:rsidRDefault="00593FF9" w:rsidP="00702417">
            <w:pPr>
              <w:jc w:val="center"/>
            </w:pPr>
            <w:r>
              <w:t>0.9</w:t>
            </w:r>
          </w:p>
        </w:tc>
        <w:tc>
          <w:tcPr>
            <w:tcW w:w="413" w:type="pct"/>
            <w:tcBorders>
              <w:top w:val="nil"/>
              <w:left w:val="nil"/>
              <w:bottom w:val="nil"/>
              <w:right w:val="nil"/>
            </w:tcBorders>
            <w:vAlign w:val="center"/>
          </w:tcPr>
          <w:p w:rsidR="00593FF9" w:rsidRDefault="00593FF9" w:rsidP="00702417">
            <w:pPr>
              <w:jc w:val="center"/>
            </w:pPr>
            <w:r>
              <w:t>0.48</w:t>
            </w:r>
          </w:p>
        </w:tc>
      </w:tr>
      <w:tr w:rsidR="00E426E0" w:rsidRPr="001F2312" w:rsidTr="008264B6">
        <w:trPr>
          <w:trHeight w:val="20"/>
        </w:trPr>
        <w:tc>
          <w:tcPr>
            <w:tcW w:w="566" w:type="pct"/>
            <w:tcBorders>
              <w:top w:val="nil"/>
              <w:left w:val="nil"/>
              <w:bottom w:val="nil"/>
              <w:right w:val="nil"/>
            </w:tcBorders>
            <w:shd w:val="clear" w:color="auto" w:fill="auto"/>
            <w:noWrap/>
            <w:vAlign w:val="center"/>
          </w:tcPr>
          <w:p w:rsidR="00593FF9" w:rsidRDefault="00593FF9" w:rsidP="00702417">
            <w:pPr>
              <w:jc w:val="center"/>
            </w:pPr>
            <w:r>
              <w:t>2013</w:t>
            </w:r>
            <w:r w:rsidR="00AB40A3">
              <w:t>/14</w:t>
            </w:r>
          </w:p>
        </w:tc>
        <w:tc>
          <w:tcPr>
            <w:tcW w:w="370" w:type="pct"/>
            <w:tcBorders>
              <w:top w:val="nil"/>
              <w:left w:val="nil"/>
              <w:bottom w:val="nil"/>
              <w:right w:val="nil"/>
            </w:tcBorders>
            <w:shd w:val="clear" w:color="auto" w:fill="auto"/>
            <w:noWrap/>
            <w:vAlign w:val="center"/>
          </w:tcPr>
          <w:p w:rsidR="00593FF9" w:rsidRDefault="00593FF9" w:rsidP="00702417">
            <w:pPr>
              <w:jc w:val="center"/>
            </w:pPr>
            <w:r>
              <w:t>4a</w:t>
            </w:r>
          </w:p>
        </w:tc>
        <w:tc>
          <w:tcPr>
            <w:tcW w:w="413" w:type="pct"/>
            <w:tcBorders>
              <w:top w:val="nil"/>
              <w:left w:val="nil"/>
              <w:bottom w:val="nil"/>
              <w:right w:val="nil"/>
            </w:tcBorders>
            <w:shd w:val="clear" w:color="auto" w:fill="auto"/>
            <w:noWrap/>
            <w:vAlign w:val="center"/>
          </w:tcPr>
          <w:p w:rsidR="00593FF9" w:rsidRPr="003F4C80" w:rsidRDefault="002E1218" w:rsidP="00702417">
            <w:pPr>
              <w:jc w:val="center"/>
            </w:pPr>
            <w:r>
              <w:t>4.1</w:t>
            </w:r>
            <w:r w:rsidR="002B01EE">
              <w:t>2</w:t>
            </w:r>
          </w:p>
        </w:tc>
        <w:tc>
          <w:tcPr>
            <w:tcW w:w="595" w:type="pct"/>
            <w:tcBorders>
              <w:top w:val="nil"/>
              <w:left w:val="nil"/>
              <w:bottom w:val="nil"/>
              <w:right w:val="nil"/>
            </w:tcBorders>
            <w:shd w:val="clear" w:color="auto" w:fill="auto"/>
            <w:noWrap/>
            <w:vAlign w:val="center"/>
          </w:tcPr>
          <w:p w:rsidR="00593FF9" w:rsidRDefault="002E1218" w:rsidP="00702417">
            <w:pPr>
              <w:jc w:val="center"/>
            </w:pPr>
            <w:r>
              <w:t>5.00</w:t>
            </w:r>
          </w:p>
        </w:tc>
        <w:tc>
          <w:tcPr>
            <w:tcW w:w="558" w:type="pct"/>
            <w:tcBorders>
              <w:top w:val="nil"/>
              <w:left w:val="nil"/>
              <w:bottom w:val="nil"/>
              <w:right w:val="nil"/>
            </w:tcBorders>
            <w:shd w:val="clear" w:color="auto" w:fill="auto"/>
            <w:noWrap/>
            <w:vAlign w:val="center"/>
          </w:tcPr>
          <w:p w:rsidR="00593FF9" w:rsidRDefault="002E1218" w:rsidP="00702417">
            <w:pPr>
              <w:jc w:val="center"/>
            </w:pPr>
            <w:r>
              <w:t>1.2</w:t>
            </w:r>
          </w:p>
        </w:tc>
        <w:tc>
          <w:tcPr>
            <w:tcW w:w="390" w:type="pct"/>
            <w:tcBorders>
              <w:top w:val="nil"/>
              <w:left w:val="nil"/>
              <w:bottom w:val="nil"/>
              <w:right w:val="nil"/>
            </w:tcBorders>
            <w:vAlign w:val="center"/>
          </w:tcPr>
          <w:p w:rsidR="00593FF9" w:rsidRDefault="002E1218" w:rsidP="00702417">
            <w:pPr>
              <w:jc w:val="center"/>
            </w:pPr>
            <w:r>
              <w:t>0.18</w:t>
            </w:r>
          </w:p>
        </w:tc>
        <w:tc>
          <w:tcPr>
            <w:tcW w:w="722" w:type="pct"/>
            <w:tcBorders>
              <w:top w:val="nil"/>
              <w:left w:val="nil"/>
              <w:bottom w:val="nil"/>
              <w:right w:val="nil"/>
            </w:tcBorders>
            <w:shd w:val="clear" w:color="auto" w:fill="auto"/>
            <w:noWrap/>
            <w:vAlign w:val="center"/>
          </w:tcPr>
          <w:p w:rsidR="00593FF9" w:rsidRDefault="00D85712" w:rsidP="00702417">
            <w:pPr>
              <w:jc w:val="center"/>
            </w:pPr>
            <w:r>
              <w:t>1980-2013</w:t>
            </w:r>
          </w:p>
        </w:tc>
        <w:tc>
          <w:tcPr>
            <w:tcW w:w="359" w:type="pct"/>
            <w:tcBorders>
              <w:top w:val="nil"/>
              <w:left w:val="nil"/>
              <w:bottom w:val="nil"/>
              <w:right w:val="nil"/>
            </w:tcBorders>
            <w:shd w:val="clear" w:color="auto" w:fill="auto"/>
            <w:noWrap/>
            <w:vAlign w:val="center"/>
          </w:tcPr>
          <w:p w:rsidR="00593FF9" w:rsidRPr="001F2312" w:rsidRDefault="002E1218" w:rsidP="00702417">
            <w:pPr>
              <w:jc w:val="center"/>
            </w:pPr>
            <w:r>
              <w:t>0.18</w:t>
            </w:r>
          </w:p>
        </w:tc>
        <w:tc>
          <w:tcPr>
            <w:tcW w:w="616" w:type="pct"/>
            <w:tcBorders>
              <w:top w:val="nil"/>
              <w:left w:val="nil"/>
              <w:bottom w:val="nil"/>
              <w:right w:val="nil"/>
            </w:tcBorders>
            <w:vAlign w:val="center"/>
          </w:tcPr>
          <w:p w:rsidR="00593FF9" w:rsidRDefault="00282332" w:rsidP="00702417">
            <w:pPr>
              <w:jc w:val="center"/>
            </w:pPr>
            <w:r>
              <w:t>0.9</w:t>
            </w:r>
          </w:p>
        </w:tc>
        <w:tc>
          <w:tcPr>
            <w:tcW w:w="413" w:type="pct"/>
            <w:tcBorders>
              <w:top w:val="nil"/>
              <w:left w:val="nil"/>
              <w:bottom w:val="nil"/>
              <w:right w:val="nil"/>
            </w:tcBorders>
            <w:vAlign w:val="center"/>
          </w:tcPr>
          <w:p w:rsidR="00593FF9" w:rsidRDefault="002E1218" w:rsidP="00702417">
            <w:pPr>
              <w:jc w:val="center"/>
            </w:pPr>
            <w:r>
              <w:t>0.52</w:t>
            </w:r>
          </w:p>
        </w:tc>
      </w:tr>
      <w:tr w:rsidR="00772FFE" w:rsidRPr="001F2312" w:rsidTr="008264B6">
        <w:trPr>
          <w:trHeight w:val="20"/>
        </w:trPr>
        <w:tc>
          <w:tcPr>
            <w:tcW w:w="566" w:type="pct"/>
            <w:tcBorders>
              <w:top w:val="nil"/>
              <w:left w:val="nil"/>
              <w:bottom w:val="single" w:sz="4" w:space="0" w:color="auto"/>
              <w:right w:val="nil"/>
            </w:tcBorders>
            <w:shd w:val="clear" w:color="auto" w:fill="auto"/>
            <w:noWrap/>
            <w:vAlign w:val="center"/>
          </w:tcPr>
          <w:p w:rsidR="00772FFE" w:rsidRDefault="00772FFE" w:rsidP="00702417">
            <w:pPr>
              <w:jc w:val="center"/>
            </w:pPr>
            <w:r>
              <w:t>2014/15</w:t>
            </w:r>
          </w:p>
        </w:tc>
        <w:tc>
          <w:tcPr>
            <w:tcW w:w="370" w:type="pct"/>
            <w:tcBorders>
              <w:top w:val="nil"/>
              <w:left w:val="nil"/>
              <w:bottom w:val="single" w:sz="4" w:space="0" w:color="auto"/>
              <w:right w:val="nil"/>
            </w:tcBorders>
            <w:shd w:val="clear" w:color="auto" w:fill="auto"/>
            <w:noWrap/>
            <w:vAlign w:val="center"/>
          </w:tcPr>
          <w:p w:rsidR="00772FFE" w:rsidRDefault="00772FFE" w:rsidP="00702417">
            <w:pPr>
              <w:jc w:val="center"/>
            </w:pPr>
            <w:r>
              <w:t>4b</w:t>
            </w:r>
          </w:p>
        </w:tc>
        <w:tc>
          <w:tcPr>
            <w:tcW w:w="413" w:type="pct"/>
            <w:tcBorders>
              <w:top w:val="nil"/>
              <w:left w:val="nil"/>
              <w:bottom w:val="single" w:sz="4" w:space="0" w:color="auto"/>
              <w:right w:val="nil"/>
            </w:tcBorders>
            <w:shd w:val="clear" w:color="auto" w:fill="auto"/>
            <w:noWrap/>
            <w:vAlign w:val="center"/>
          </w:tcPr>
          <w:p w:rsidR="00772FFE" w:rsidRDefault="003716BD" w:rsidP="00702417">
            <w:pPr>
              <w:jc w:val="center"/>
            </w:pPr>
            <w:r>
              <w:t>4.</w:t>
            </w:r>
            <w:r w:rsidR="006C152C">
              <w:t>19</w:t>
            </w:r>
          </w:p>
        </w:tc>
        <w:tc>
          <w:tcPr>
            <w:tcW w:w="595" w:type="pct"/>
            <w:tcBorders>
              <w:top w:val="nil"/>
              <w:left w:val="nil"/>
              <w:bottom w:val="single" w:sz="4" w:space="0" w:color="auto"/>
              <w:right w:val="nil"/>
            </w:tcBorders>
            <w:shd w:val="clear" w:color="auto" w:fill="auto"/>
            <w:noWrap/>
            <w:vAlign w:val="center"/>
          </w:tcPr>
          <w:p w:rsidR="00772FFE" w:rsidRDefault="003716BD" w:rsidP="00702417">
            <w:pPr>
              <w:jc w:val="center"/>
            </w:pPr>
            <w:r>
              <w:t>3.7</w:t>
            </w:r>
            <w:r w:rsidR="006C152C">
              <w:t>1</w:t>
            </w:r>
          </w:p>
        </w:tc>
        <w:tc>
          <w:tcPr>
            <w:tcW w:w="558" w:type="pct"/>
            <w:tcBorders>
              <w:top w:val="nil"/>
              <w:left w:val="nil"/>
              <w:bottom w:val="single" w:sz="4" w:space="0" w:color="auto"/>
              <w:right w:val="nil"/>
            </w:tcBorders>
            <w:shd w:val="clear" w:color="auto" w:fill="auto"/>
            <w:noWrap/>
            <w:vAlign w:val="center"/>
          </w:tcPr>
          <w:p w:rsidR="00772FFE" w:rsidRDefault="003716BD" w:rsidP="00702417">
            <w:pPr>
              <w:jc w:val="center"/>
            </w:pPr>
            <w:r>
              <w:t>0.9</w:t>
            </w:r>
          </w:p>
        </w:tc>
        <w:tc>
          <w:tcPr>
            <w:tcW w:w="390" w:type="pct"/>
            <w:tcBorders>
              <w:top w:val="nil"/>
              <w:left w:val="nil"/>
              <w:bottom w:val="single" w:sz="4" w:space="0" w:color="auto"/>
              <w:right w:val="nil"/>
            </w:tcBorders>
            <w:vAlign w:val="center"/>
          </w:tcPr>
          <w:p w:rsidR="00772FFE" w:rsidRDefault="003716BD" w:rsidP="00702417">
            <w:pPr>
              <w:jc w:val="center"/>
            </w:pPr>
            <w:r>
              <w:t>0.16</w:t>
            </w:r>
          </w:p>
        </w:tc>
        <w:tc>
          <w:tcPr>
            <w:tcW w:w="722" w:type="pct"/>
            <w:tcBorders>
              <w:top w:val="nil"/>
              <w:left w:val="nil"/>
              <w:bottom w:val="single" w:sz="4" w:space="0" w:color="auto"/>
              <w:right w:val="nil"/>
            </w:tcBorders>
            <w:shd w:val="clear" w:color="auto" w:fill="auto"/>
            <w:noWrap/>
            <w:vAlign w:val="center"/>
          </w:tcPr>
          <w:p w:rsidR="00772FFE" w:rsidRDefault="00772FFE" w:rsidP="00702417">
            <w:pPr>
              <w:jc w:val="center"/>
            </w:pPr>
            <w:r>
              <w:t>1980-2014</w:t>
            </w:r>
          </w:p>
        </w:tc>
        <w:tc>
          <w:tcPr>
            <w:tcW w:w="359" w:type="pct"/>
            <w:tcBorders>
              <w:top w:val="nil"/>
              <w:left w:val="nil"/>
              <w:bottom w:val="single" w:sz="4" w:space="0" w:color="auto"/>
              <w:right w:val="nil"/>
            </w:tcBorders>
            <w:shd w:val="clear" w:color="auto" w:fill="auto"/>
            <w:noWrap/>
            <w:vAlign w:val="center"/>
          </w:tcPr>
          <w:p w:rsidR="00772FFE" w:rsidRPr="001F2312" w:rsidRDefault="00772FFE" w:rsidP="009972BB">
            <w:pPr>
              <w:jc w:val="center"/>
            </w:pPr>
            <w:r>
              <w:t>0.18</w:t>
            </w:r>
          </w:p>
        </w:tc>
        <w:tc>
          <w:tcPr>
            <w:tcW w:w="616" w:type="pct"/>
            <w:tcBorders>
              <w:top w:val="nil"/>
              <w:left w:val="nil"/>
              <w:bottom w:val="single" w:sz="4" w:space="0" w:color="auto"/>
              <w:right w:val="nil"/>
            </w:tcBorders>
            <w:vAlign w:val="center"/>
          </w:tcPr>
          <w:p w:rsidR="00772FFE" w:rsidRDefault="00772FFE" w:rsidP="009972BB">
            <w:pPr>
              <w:jc w:val="center"/>
            </w:pPr>
            <w:r>
              <w:t>0.9</w:t>
            </w:r>
          </w:p>
        </w:tc>
        <w:tc>
          <w:tcPr>
            <w:tcW w:w="413" w:type="pct"/>
            <w:tcBorders>
              <w:top w:val="nil"/>
              <w:left w:val="nil"/>
              <w:bottom w:val="single" w:sz="4" w:space="0" w:color="auto"/>
              <w:right w:val="nil"/>
            </w:tcBorders>
            <w:vAlign w:val="center"/>
          </w:tcPr>
          <w:p w:rsidR="003716BD" w:rsidRDefault="003716BD" w:rsidP="003716BD">
            <w:pPr>
              <w:jc w:val="center"/>
            </w:pPr>
            <w:r>
              <w:t>0.42</w:t>
            </w:r>
          </w:p>
        </w:tc>
      </w:tr>
    </w:tbl>
    <w:p w:rsidR="00ED2E4A" w:rsidRDefault="00ED2E4A" w:rsidP="00DB7A86">
      <w:pPr>
        <w:jc w:val="both"/>
        <w:rPr>
          <w:vertAlign w:val="superscript"/>
        </w:rPr>
      </w:pPr>
    </w:p>
    <w:p w:rsidR="009E75F6" w:rsidRPr="009E75F6" w:rsidRDefault="00633BE9" w:rsidP="000E4B45">
      <w:pPr>
        <w:jc w:val="both"/>
        <w:rPr>
          <w:i/>
          <w:spacing w:val="-3"/>
        </w:rPr>
      </w:pPr>
      <w:r>
        <w:rPr>
          <w:i/>
          <w:spacing w:val="-3"/>
        </w:rPr>
        <w:t>Biomass in 1000</w:t>
      </w:r>
      <w:r w:rsidR="009E75F6" w:rsidRPr="009E75F6">
        <w:rPr>
          <w:i/>
          <w:spacing w:val="-3"/>
        </w:rPr>
        <w:t>t</w:t>
      </w:r>
    </w:p>
    <w:tbl>
      <w:tblPr>
        <w:tblW w:w="5000" w:type="pct"/>
        <w:tblLook w:val="04A0" w:firstRow="1" w:lastRow="0" w:firstColumn="1" w:lastColumn="0" w:noHBand="0" w:noVBand="1"/>
      </w:tblPr>
      <w:tblGrid>
        <w:gridCol w:w="1083"/>
        <w:gridCol w:w="708"/>
        <w:gridCol w:w="791"/>
        <w:gridCol w:w="1140"/>
        <w:gridCol w:w="1069"/>
        <w:gridCol w:w="747"/>
        <w:gridCol w:w="1383"/>
        <w:gridCol w:w="688"/>
        <w:gridCol w:w="1180"/>
        <w:gridCol w:w="787"/>
      </w:tblGrid>
      <w:tr w:rsidR="004422B8" w:rsidRPr="001F2312" w:rsidTr="008264B6">
        <w:trPr>
          <w:trHeight w:val="20"/>
        </w:trPr>
        <w:tc>
          <w:tcPr>
            <w:tcW w:w="566" w:type="pct"/>
            <w:tcBorders>
              <w:top w:val="single" w:sz="4" w:space="0" w:color="auto"/>
              <w:left w:val="nil"/>
              <w:bottom w:val="single" w:sz="4" w:space="0" w:color="auto"/>
              <w:right w:val="nil"/>
            </w:tcBorders>
            <w:shd w:val="clear" w:color="auto" w:fill="auto"/>
            <w:vAlign w:val="center"/>
          </w:tcPr>
          <w:p w:rsidR="000E4B45" w:rsidRPr="001F2312" w:rsidRDefault="000E4B45" w:rsidP="00702417">
            <w:pPr>
              <w:jc w:val="center"/>
              <w:rPr>
                <w:b/>
                <w:bCs/>
              </w:rPr>
            </w:pPr>
            <w:r w:rsidRPr="001F2312">
              <w:rPr>
                <w:b/>
                <w:bCs/>
              </w:rPr>
              <w:t>Year</w:t>
            </w:r>
          </w:p>
        </w:tc>
        <w:tc>
          <w:tcPr>
            <w:tcW w:w="370" w:type="pct"/>
            <w:tcBorders>
              <w:top w:val="single" w:sz="4" w:space="0" w:color="auto"/>
              <w:left w:val="nil"/>
              <w:bottom w:val="single" w:sz="4" w:space="0" w:color="auto"/>
              <w:right w:val="nil"/>
            </w:tcBorders>
            <w:shd w:val="clear" w:color="auto" w:fill="auto"/>
            <w:vAlign w:val="center"/>
          </w:tcPr>
          <w:p w:rsidR="000E4B45" w:rsidRPr="001F2312" w:rsidRDefault="000E4B45" w:rsidP="00702417">
            <w:pPr>
              <w:jc w:val="center"/>
              <w:rPr>
                <w:b/>
                <w:bCs/>
              </w:rPr>
            </w:pPr>
            <w:r>
              <w:rPr>
                <w:b/>
                <w:bCs/>
              </w:rPr>
              <w:t>Tier</w:t>
            </w:r>
          </w:p>
        </w:tc>
        <w:tc>
          <w:tcPr>
            <w:tcW w:w="413" w:type="pct"/>
            <w:tcBorders>
              <w:top w:val="single" w:sz="4" w:space="0" w:color="auto"/>
              <w:left w:val="nil"/>
              <w:bottom w:val="single" w:sz="4" w:space="0" w:color="auto"/>
              <w:right w:val="nil"/>
            </w:tcBorders>
            <w:shd w:val="clear" w:color="auto" w:fill="auto"/>
            <w:vAlign w:val="center"/>
          </w:tcPr>
          <w:p w:rsidR="000E4B45" w:rsidRPr="001F2312" w:rsidRDefault="000E4B45" w:rsidP="00702417">
            <w:pPr>
              <w:jc w:val="center"/>
              <w:rPr>
                <w:b/>
                <w:bCs/>
              </w:rPr>
            </w:pPr>
            <w:r w:rsidRPr="001F2312">
              <w:rPr>
                <w:b/>
                <w:bCs/>
              </w:rPr>
              <w:t>B</w:t>
            </w:r>
            <w:r w:rsidRPr="001F2312">
              <w:rPr>
                <w:b/>
                <w:bCs/>
                <w:vertAlign w:val="subscript"/>
              </w:rPr>
              <w:t>MSY</w:t>
            </w:r>
          </w:p>
        </w:tc>
        <w:tc>
          <w:tcPr>
            <w:tcW w:w="595" w:type="pct"/>
            <w:tcBorders>
              <w:top w:val="single" w:sz="4" w:space="0" w:color="auto"/>
              <w:left w:val="nil"/>
              <w:bottom w:val="single" w:sz="4" w:space="0" w:color="auto"/>
              <w:right w:val="nil"/>
            </w:tcBorders>
            <w:shd w:val="clear" w:color="auto" w:fill="auto"/>
            <w:vAlign w:val="center"/>
          </w:tcPr>
          <w:p w:rsidR="000E4B45" w:rsidRPr="001F2312" w:rsidRDefault="000E4B45" w:rsidP="00702417">
            <w:pPr>
              <w:jc w:val="center"/>
              <w:rPr>
                <w:b/>
                <w:bCs/>
              </w:rPr>
            </w:pPr>
            <w:r>
              <w:rPr>
                <w:b/>
                <w:bCs/>
              </w:rPr>
              <w:t>Current MMB</w:t>
            </w:r>
          </w:p>
        </w:tc>
        <w:tc>
          <w:tcPr>
            <w:tcW w:w="558" w:type="pct"/>
            <w:tcBorders>
              <w:top w:val="single" w:sz="4" w:space="0" w:color="auto"/>
              <w:left w:val="nil"/>
              <w:bottom w:val="single" w:sz="4" w:space="0" w:color="auto"/>
              <w:right w:val="nil"/>
            </w:tcBorders>
            <w:shd w:val="clear" w:color="auto" w:fill="auto"/>
            <w:vAlign w:val="center"/>
          </w:tcPr>
          <w:p w:rsidR="000E4B45" w:rsidRPr="001F2312" w:rsidRDefault="000E4B45" w:rsidP="00702417">
            <w:pPr>
              <w:jc w:val="center"/>
              <w:rPr>
                <w:b/>
                <w:bCs/>
              </w:rPr>
            </w:pPr>
            <w:r>
              <w:rPr>
                <w:b/>
                <w:bCs/>
              </w:rPr>
              <w:t>B/B</w:t>
            </w:r>
            <w:r w:rsidRPr="001F2312">
              <w:rPr>
                <w:b/>
                <w:bCs/>
                <w:vertAlign w:val="subscript"/>
              </w:rPr>
              <w:t>MSY</w:t>
            </w:r>
            <w:r>
              <w:rPr>
                <w:b/>
                <w:bCs/>
              </w:rPr>
              <w:t xml:space="preserve"> (MMB)</w:t>
            </w:r>
          </w:p>
        </w:tc>
        <w:tc>
          <w:tcPr>
            <w:tcW w:w="390" w:type="pct"/>
            <w:tcBorders>
              <w:top w:val="single" w:sz="4" w:space="0" w:color="auto"/>
              <w:left w:val="nil"/>
              <w:bottom w:val="single" w:sz="4" w:space="0" w:color="auto"/>
              <w:right w:val="nil"/>
            </w:tcBorders>
            <w:vAlign w:val="center"/>
          </w:tcPr>
          <w:p w:rsidR="000E4B45" w:rsidRPr="001F2312" w:rsidRDefault="000E4B45" w:rsidP="00702417">
            <w:pPr>
              <w:jc w:val="center"/>
              <w:rPr>
                <w:b/>
                <w:bCs/>
              </w:rPr>
            </w:pPr>
            <w:r>
              <w:rPr>
                <w:b/>
                <w:bCs/>
              </w:rPr>
              <w:t>F</w:t>
            </w:r>
            <w:r w:rsidRPr="001F2312">
              <w:rPr>
                <w:b/>
                <w:bCs/>
                <w:vertAlign w:val="subscript"/>
              </w:rPr>
              <w:t>OFL</w:t>
            </w:r>
          </w:p>
        </w:tc>
        <w:tc>
          <w:tcPr>
            <w:tcW w:w="722" w:type="pct"/>
            <w:tcBorders>
              <w:top w:val="single" w:sz="4" w:space="0" w:color="auto"/>
              <w:left w:val="nil"/>
              <w:bottom w:val="single" w:sz="4" w:space="0" w:color="auto"/>
              <w:right w:val="nil"/>
            </w:tcBorders>
            <w:shd w:val="clear" w:color="auto" w:fill="auto"/>
            <w:vAlign w:val="center"/>
          </w:tcPr>
          <w:p w:rsidR="000E4B45" w:rsidRDefault="000E4B45" w:rsidP="00702417">
            <w:pPr>
              <w:jc w:val="center"/>
              <w:rPr>
                <w:b/>
                <w:bCs/>
              </w:rPr>
            </w:pPr>
            <w:r>
              <w:rPr>
                <w:b/>
                <w:bCs/>
              </w:rPr>
              <w:t>Years to define</w:t>
            </w:r>
          </w:p>
          <w:p w:rsidR="000E4B45" w:rsidRPr="001F2312" w:rsidRDefault="000E4B45" w:rsidP="00702417">
            <w:pPr>
              <w:jc w:val="center"/>
              <w:rPr>
                <w:b/>
                <w:bCs/>
              </w:rPr>
            </w:pPr>
            <w:r>
              <w:rPr>
                <w:b/>
                <w:bCs/>
              </w:rPr>
              <w:t>B</w:t>
            </w:r>
            <w:r w:rsidRPr="001F2312">
              <w:rPr>
                <w:b/>
                <w:bCs/>
                <w:vertAlign w:val="subscript"/>
              </w:rPr>
              <w:t>MSY</w:t>
            </w:r>
          </w:p>
        </w:tc>
        <w:tc>
          <w:tcPr>
            <w:tcW w:w="359" w:type="pct"/>
            <w:tcBorders>
              <w:top w:val="single" w:sz="4" w:space="0" w:color="auto"/>
              <w:left w:val="nil"/>
              <w:bottom w:val="single" w:sz="4" w:space="0" w:color="auto"/>
              <w:right w:val="nil"/>
            </w:tcBorders>
            <w:shd w:val="clear" w:color="auto" w:fill="auto"/>
            <w:vAlign w:val="center"/>
          </w:tcPr>
          <w:p w:rsidR="000E4B45" w:rsidRPr="001F2312" w:rsidRDefault="00E426E0" w:rsidP="00702417">
            <w:pPr>
              <w:ind w:left="9"/>
              <w:jc w:val="center"/>
              <w:rPr>
                <w:b/>
                <w:bCs/>
              </w:rPr>
            </w:pPr>
            <w:r>
              <w:rPr>
                <w:b/>
                <w:bCs/>
              </w:rPr>
              <w:t xml:space="preserve"> </w:t>
            </w:r>
            <w:r w:rsidR="000E4B45">
              <w:rPr>
                <w:b/>
                <w:bCs/>
              </w:rPr>
              <w:t>M</w:t>
            </w:r>
          </w:p>
        </w:tc>
        <w:tc>
          <w:tcPr>
            <w:tcW w:w="616" w:type="pct"/>
            <w:tcBorders>
              <w:top w:val="single" w:sz="4" w:space="0" w:color="auto"/>
              <w:left w:val="nil"/>
              <w:bottom w:val="single" w:sz="4" w:space="0" w:color="auto"/>
              <w:right w:val="nil"/>
            </w:tcBorders>
            <w:vAlign w:val="center"/>
          </w:tcPr>
          <w:p w:rsidR="000E4B45" w:rsidRDefault="00342C9D" w:rsidP="00702417">
            <w:pPr>
              <w:ind w:left="9"/>
              <w:jc w:val="center"/>
              <w:rPr>
                <w:b/>
                <w:bCs/>
              </w:rPr>
            </w:pPr>
            <w:r>
              <w:rPr>
                <w:b/>
                <w:bCs/>
              </w:rPr>
              <w:t>1-Buffer</w:t>
            </w:r>
          </w:p>
        </w:tc>
        <w:tc>
          <w:tcPr>
            <w:tcW w:w="413" w:type="pct"/>
            <w:tcBorders>
              <w:top w:val="single" w:sz="4" w:space="0" w:color="auto"/>
              <w:left w:val="nil"/>
              <w:bottom w:val="single" w:sz="4" w:space="0" w:color="auto"/>
              <w:right w:val="nil"/>
            </w:tcBorders>
            <w:vAlign w:val="center"/>
          </w:tcPr>
          <w:p w:rsidR="000E4B45" w:rsidRDefault="000E4B45" w:rsidP="00702417">
            <w:pPr>
              <w:ind w:left="9"/>
              <w:jc w:val="center"/>
              <w:rPr>
                <w:b/>
                <w:bCs/>
              </w:rPr>
            </w:pPr>
            <w:r>
              <w:rPr>
                <w:b/>
                <w:bCs/>
              </w:rPr>
              <w:t>ABC</w:t>
            </w:r>
          </w:p>
        </w:tc>
      </w:tr>
      <w:tr w:rsidR="004422B8" w:rsidRPr="001F2312" w:rsidTr="008264B6">
        <w:trPr>
          <w:trHeight w:val="20"/>
        </w:trPr>
        <w:tc>
          <w:tcPr>
            <w:tcW w:w="566" w:type="pct"/>
            <w:tcBorders>
              <w:top w:val="nil"/>
              <w:left w:val="nil"/>
              <w:bottom w:val="nil"/>
              <w:right w:val="nil"/>
            </w:tcBorders>
            <w:shd w:val="clear" w:color="auto" w:fill="auto"/>
            <w:noWrap/>
            <w:vAlign w:val="center"/>
          </w:tcPr>
          <w:p w:rsidR="00593FF9" w:rsidRPr="001F2312" w:rsidRDefault="00593FF9" w:rsidP="00702417">
            <w:pPr>
              <w:jc w:val="center"/>
            </w:pPr>
            <w:r w:rsidRPr="001F2312">
              <w:t>2010</w:t>
            </w:r>
            <w:r>
              <w:t>/11</w:t>
            </w:r>
          </w:p>
        </w:tc>
        <w:tc>
          <w:tcPr>
            <w:tcW w:w="370" w:type="pct"/>
            <w:tcBorders>
              <w:top w:val="nil"/>
              <w:left w:val="nil"/>
              <w:bottom w:val="nil"/>
              <w:right w:val="nil"/>
            </w:tcBorders>
            <w:shd w:val="clear" w:color="auto" w:fill="auto"/>
            <w:noWrap/>
            <w:vAlign w:val="center"/>
          </w:tcPr>
          <w:p w:rsidR="00593FF9" w:rsidRPr="001F2312" w:rsidRDefault="00593FF9" w:rsidP="00702417">
            <w:pPr>
              <w:jc w:val="center"/>
            </w:pPr>
            <w:r>
              <w:t>4a</w:t>
            </w:r>
          </w:p>
        </w:tc>
        <w:tc>
          <w:tcPr>
            <w:tcW w:w="413" w:type="pct"/>
            <w:tcBorders>
              <w:top w:val="nil"/>
              <w:left w:val="nil"/>
              <w:bottom w:val="nil"/>
              <w:right w:val="nil"/>
            </w:tcBorders>
            <w:shd w:val="clear" w:color="auto" w:fill="auto"/>
            <w:noWrap/>
            <w:vAlign w:val="center"/>
          </w:tcPr>
          <w:p w:rsidR="00593FF9" w:rsidRPr="00A54B93" w:rsidRDefault="00593FF9" w:rsidP="00702417">
            <w:pPr>
              <w:jc w:val="center"/>
              <w:rPr>
                <w:vertAlign w:val="superscript"/>
              </w:rPr>
            </w:pPr>
            <w:r>
              <w:t>1.42</w:t>
            </w:r>
          </w:p>
        </w:tc>
        <w:tc>
          <w:tcPr>
            <w:tcW w:w="595" w:type="pct"/>
            <w:tcBorders>
              <w:top w:val="nil"/>
              <w:left w:val="nil"/>
              <w:bottom w:val="nil"/>
              <w:right w:val="nil"/>
            </w:tcBorders>
            <w:shd w:val="clear" w:color="auto" w:fill="auto"/>
            <w:noWrap/>
            <w:vAlign w:val="center"/>
          </w:tcPr>
          <w:p w:rsidR="00593FF9" w:rsidRPr="001F2312" w:rsidRDefault="00593FF9" w:rsidP="00702417">
            <w:pPr>
              <w:jc w:val="center"/>
            </w:pPr>
            <w:r>
              <w:t>2.47</w:t>
            </w:r>
          </w:p>
        </w:tc>
        <w:tc>
          <w:tcPr>
            <w:tcW w:w="558" w:type="pct"/>
            <w:tcBorders>
              <w:top w:val="nil"/>
              <w:left w:val="nil"/>
              <w:bottom w:val="nil"/>
              <w:right w:val="nil"/>
            </w:tcBorders>
            <w:shd w:val="clear" w:color="auto" w:fill="auto"/>
            <w:noWrap/>
            <w:vAlign w:val="center"/>
          </w:tcPr>
          <w:p w:rsidR="00593FF9" w:rsidRPr="001F2312" w:rsidRDefault="00593FF9" w:rsidP="00702417">
            <w:pPr>
              <w:jc w:val="center"/>
            </w:pPr>
            <w:r>
              <w:t>1.7</w:t>
            </w:r>
          </w:p>
        </w:tc>
        <w:tc>
          <w:tcPr>
            <w:tcW w:w="390" w:type="pct"/>
            <w:tcBorders>
              <w:top w:val="nil"/>
              <w:left w:val="nil"/>
              <w:bottom w:val="nil"/>
              <w:right w:val="nil"/>
            </w:tcBorders>
            <w:vAlign w:val="center"/>
          </w:tcPr>
          <w:p w:rsidR="00593FF9" w:rsidRPr="001F2312" w:rsidRDefault="00593FF9" w:rsidP="00702417">
            <w:pPr>
              <w:jc w:val="center"/>
            </w:pPr>
            <w:r>
              <w:t>0.18</w:t>
            </w:r>
          </w:p>
        </w:tc>
        <w:tc>
          <w:tcPr>
            <w:tcW w:w="722" w:type="pct"/>
            <w:tcBorders>
              <w:top w:val="nil"/>
              <w:left w:val="nil"/>
              <w:bottom w:val="nil"/>
              <w:right w:val="nil"/>
            </w:tcBorders>
            <w:shd w:val="clear" w:color="auto" w:fill="auto"/>
            <w:noWrap/>
            <w:vAlign w:val="center"/>
          </w:tcPr>
          <w:p w:rsidR="00593FF9" w:rsidRPr="001F2312" w:rsidRDefault="00593FF9" w:rsidP="00702417">
            <w:pPr>
              <w:jc w:val="center"/>
            </w:pPr>
            <w:r>
              <w:t>1983-2010</w:t>
            </w:r>
          </w:p>
        </w:tc>
        <w:tc>
          <w:tcPr>
            <w:tcW w:w="359" w:type="pct"/>
            <w:tcBorders>
              <w:top w:val="nil"/>
              <w:left w:val="nil"/>
              <w:bottom w:val="nil"/>
              <w:right w:val="nil"/>
            </w:tcBorders>
            <w:shd w:val="clear" w:color="auto" w:fill="auto"/>
            <w:noWrap/>
            <w:vAlign w:val="center"/>
          </w:tcPr>
          <w:p w:rsidR="00593FF9" w:rsidRPr="001F2312" w:rsidRDefault="00593FF9" w:rsidP="00702417">
            <w:pPr>
              <w:jc w:val="center"/>
            </w:pPr>
            <w:r w:rsidRPr="001F2312">
              <w:t>0.</w:t>
            </w:r>
            <w:r>
              <w:t>18</w:t>
            </w:r>
          </w:p>
        </w:tc>
        <w:tc>
          <w:tcPr>
            <w:tcW w:w="616" w:type="pct"/>
            <w:tcBorders>
              <w:top w:val="nil"/>
              <w:left w:val="nil"/>
              <w:bottom w:val="nil"/>
              <w:right w:val="nil"/>
            </w:tcBorders>
          </w:tcPr>
          <w:p w:rsidR="00593FF9" w:rsidRPr="001F2312" w:rsidRDefault="00593FF9" w:rsidP="00702417">
            <w:pPr>
              <w:jc w:val="center"/>
            </w:pPr>
          </w:p>
        </w:tc>
        <w:tc>
          <w:tcPr>
            <w:tcW w:w="413" w:type="pct"/>
            <w:tcBorders>
              <w:top w:val="nil"/>
              <w:left w:val="nil"/>
              <w:bottom w:val="nil"/>
              <w:right w:val="nil"/>
            </w:tcBorders>
          </w:tcPr>
          <w:p w:rsidR="00593FF9" w:rsidRPr="001F2312" w:rsidRDefault="00593FF9" w:rsidP="00702417">
            <w:pPr>
              <w:jc w:val="center"/>
            </w:pPr>
          </w:p>
        </w:tc>
      </w:tr>
      <w:tr w:rsidR="004422B8" w:rsidRPr="001F2312" w:rsidTr="008264B6">
        <w:trPr>
          <w:trHeight w:val="20"/>
        </w:trPr>
        <w:tc>
          <w:tcPr>
            <w:tcW w:w="566" w:type="pct"/>
            <w:tcBorders>
              <w:top w:val="nil"/>
              <w:left w:val="nil"/>
              <w:bottom w:val="nil"/>
              <w:right w:val="nil"/>
            </w:tcBorders>
            <w:shd w:val="clear" w:color="auto" w:fill="auto"/>
            <w:noWrap/>
            <w:vAlign w:val="center"/>
          </w:tcPr>
          <w:p w:rsidR="00593FF9" w:rsidRPr="001F2312" w:rsidRDefault="00593FF9" w:rsidP="00702417">
            <w:pPr>
              <w:jc w:val="center"/>
            </w:pPr>
            <w:r>
              <w:t>2011/12</w:t>
            </w:r>
          </w:p>
        </w:tc>
        <w:tc>
          <w:tcPr>
            <w:tcW w:w="370" w:type="pct"/>
            <w:tcBorders>
              <w:top w:val="nil"/>
              <w:left w:val="nil"/>
              <w:bottom w:val="nil"/>
              <w:right w:val="nil"/>
            </w:tcBorders>
            <w:shd w:val="clear" w:color="auto" w:fill="auto"/>
            <w:noWrap/>
            <w:vAlign w:val="center"/>
          </w:tcPr>
          <w:p w:rsidR="00593FF9" w:rsidRPr="001F2312" w:rsidRDefault="00593FF9" w:rsidP="00702417">
            <w:pPr>
              <w:jc w:val="center"/>
            </w:pPr>
            <w:r>
              <w:t>4a</w:t>
            </w:r>
          </w:p>
        </w:tc>
        <w:tc>
          <w:tcPr>
            <w:tcW w:w="413" w:type="pct"/>
            <w:tcBorders>
              <w:top w:val="nil"/>
              <w:left w:val="nil"/>
              <w:bottom w:val="nil"/>
              <w:right w:val="nil"/>
            </w:tcBorders>
            <w:shd w:val="clear" w:color="auto" w:fill="auto"/>
            <w:noWrap/>
            <w:vAlign w:val="center"/>
          </w:tcPr>
          <w:p w:rsidR="00593FF9" w:rsidRPr="00332594" w:rsidRDefault="00593FF9" w:rsidP="00702417">
            <w:pPr>
              <w:jc w:val="center"/>
            </w:pPr>
            <w:r w:rsidRPr="00332594">
              <w:t>1.35</w:t>
            </w:r>
          </w:p>
        </w:tc>
        <w:tc>
          <w:tcPr>
            <w:tcW w:w="595" w:type="pct"/>
            <w:tcBorders>
              <w:top w:val="nil"/>
              <w:left w:val="nil"/>
              <w:bottom w:val="nil"/>
              <w:right w:val="nil"/>
            </w:tcBorders>
            <w:shd w:val="clear" w:color="auto" w:fill="auto"/>
            <w:noWrap/>
            <w:vAlign w:val="center"/>
          </w:tcPr>
          <w:p w:rsidR="00593FF9" w:rsidRPr="001F2312" w:rsidRDefault="00593FF9" w:rsidP="00702417">
            <w:pPr>
              <w:jc w:val="center"/>
            </w:pPr>
            <w:r>
              <w:t>2.18</w:t>
            </w:r>
          </w:p>
        </w:tc>
        <w:tc>
          <w:tcPr>
            <w:tcW w:w="558" w:type="pct"/>
            <w:tcBorders>
              <w:top w:val="nil"/>
              <w:left w:val="nil"/>
              <w:bottom w:val="nil"/>
              <w:right w:val="nil"/>
            </w:tcBorders>
            <w:shd w:val="clear" w:color="auto" w:fill="auto"/>
            <w:noWrap/>
            <w:vAlign w:val="center"/>
          </w:tcPr>
          <w:p w:rsidR="00593FF9" w:rsidRPr="001F2312" w:rsidRDefault="00593FF9" w:rsidP="00702417">
            <w:pPr>
              <w:jc w:val="center"/>
            </w:pPr>
            <w:r>
              <w:t>1.6</w:t>
            </w:r>
          </w:p>
        </w:tc>
        <w:tc>
          <w:tcPr>
            <w:tcW w:w="390" w:type="pct"/>
            <w:tcBorders>
              <w:top w:val="nil"/>
              <w:left w:val="nil"/>
              <w:bottom w:val="nil"/>
              <w:right w:val="nil"/>
            </w:tcBorders>
            <w:vAlign w:val="center"/>
          </w:tcPr>
          <w:p w:rsidR="00593FF9" w:rsidRPr="001F2312" w:rsidRDefault="00593FF9" w:rsidP="00702417">
            <w:pPr>
              <w:jc w:val="center"/>
            </w:pPr>
            <w:r>
              <w:t>0.18</w:t>
            </w:r>
          </w:p>
        </w:tc>
        <w:tc>
          <w:tcPr>
            <w:tcW w:w="722" w:type="pct"/>
            <w:tcBorders>
              <w:top w:val="nil"/>
              <w:left w:val="nil"/>
              <w:bottom w:val="nil"/>
              <w:right w:val="nil"/>
            </w:tcBorders>
            <w:shd w:val="clear" w:color="auto" w:fill="auto"/>
            <w:noWrap/>
            <w:vAlign w:val="center"/>
          </w:tcPr>
          <w:p w:rsidR="00593FF9" w:rsidRPr="001F2312" w:rsidRDefault="00593FF9" w:rsidP="00702417">
            <w:pPr>
              <w:jc w:val="center"/>
            </w:pPr>
            <w:r>
              <w:t>1983-2011</w:t>
            </w:r>
          </w:p>
        </w:tc>
        <w:tc>
          <w:tcPr>
            <w:tcW w:w="359" w:type="pct"/>
            <w:tcBorders>
              <w:top w:val="nil"/>
              <w:left w:val="nil"/>
              <w:bottom w:val="nil"/>
              <w:right w:val="nil"/>
            </w:tcBorders>
            <w:shd w:val="clear" w:color="auto" w:fill="auto"/>
            <w:noWrap/>
            <w:vAlign w:val="center"/>
          </w:tcPr>
          <w:p w:rsidR="00593FF9" w:rsidRPr="001F2312" w:rsidRDefault="00593FF9" w:rsidP="00702417">
            <w:pPr>
              <w:jc w:val="center"/>
            </w:pPr>
            <w:r w:rsidRPr="001F2312">
              <w:t>0.</w:t>
            </w:r>
            <w:r>
              <w:t>18</w:t>
            </w:r>
          </w:p>
        </w:tc>
        <w:tc>
          <w:tcPr>
            <w:tcW w:w="616" w:type="pct"/>
            <w:tcBorders>
              <w:top w:val="nil"/>
              <w:left w:val="nil"/>
              <w:bottom w:val="nil"/>
              <w:right w:val="nil"/>
            </w:tcBorders>
            <w:vAlign w:val="center"/>
          </w:tcPr>
          <w:p w:rsidR="00593FF9" w:rsidRPr="001F2312" w:rsidRDefault="00593FF9" w:rsidP="00702417">
            <w:pPr>
              <w:jc w:val="center"/>
            </w:pPr>
            <w:r>
              <w:t>0.9</w:t>
            </w:r>
          </w:p>
        </w:tc>
        <w:tc>
          <w:tcPr>
            <w:tcW w:w="413" w:type="pct"/>
            <w:tcBorders>
              <w:top w:val="nil"/>
              <w:left w:val="nil"/>
              <w:bottom w:val="nil"/>
              <w:right w:val="nil"/>
            </w:tcBorders>
            <w:vAlign w:val="center"/>
          </w:tcPr>
          <w:p w:rsidR="00593FF9" w:rsidRDefault="00593FF9" w:rsidP="00702417">
            <w:pPr>
              <w:jc w:val="center"/>
            </w:pPr>
            <w:r>
              <w:t>0.27</w:t>
            </w:r>
          </w:p>
        </w:tc>
      </w:tr>
      <w:tr w:rsidR="004422B8" w:rsidRPr="001F2312" w:rsidTr="008264B6">
        <w:trPr>
          <w:trHeight w:val="20"/>
        </w:trPr>
        <w:tc>
          <w:tcPr>
            <w:tcW w:w="566" w:type="pct"/>
            <w:tcBorders>
              <w:top w:val="nil"/>
              <w:left w:val="nil"/>
              <w:bottom w:val="nil"/>
              <w:right w:val="nil"/>
            </w:tcBorders>
            <w:shd w:val="clear" w:color="auto" w:fill="auto"/>
            <w:noWrap/>
            <w:vAlign w:val="center"/>
          </w:tcPr>
          <w:p w:rsidR="00593FF9" w:rsidRDefault="00593FF9" w:rsidP="00702417">
            <w:pPr>
              <w:jc w:val="center"/>
            </w:pPr>
            <w:r>
              <w:t>2012/13</w:t>
            </w:r>
          </w:p>
        </w:tc>
        <w:tc>
          <w:tcPr>
            <w:tcW w:w="370" w:type="pct"/>
            <w:tcBorders>
              <w:top w:val="nil"/>
              <w:left w:val="nil"/>
              <w:bottom w:val="nil"/>
              <w:right w:val="nil"/>
            </w:tcBorders>
            <w:shd w:val="clear" w:color="auto" w:fill="auto"/>
            <w:noWrap/>
            <w:vAlign w:val="center"/>
          </w:tcPr>
          <w:p w:rsidR="00593FF9" w:rsidRDefault="00593FF9" w:rsidP="00702417">
            <w:pPr>
              <w:jc w:val="center"/>
            </w:pPr>
            <w:r>
              <w:t>4a</w:t>
            </w:r>
          </w:p>
        </w:tc>
        <w:tc>
          <w:tcPr>
            <w:tcW w:w="413" w:type="pct"/>
            <w:tcBorders>
              <w:top w:val="nil"/>
              <w:left w:val="nil"/>
              <w:bottom w:val="nil"/>
              <w:right w:val="nil"/>
            </w:tcBorders>
            <w:shd w:val="clear" w:color="auto" w:fill="auto"/>
            <w:noWrap/>
            <w:vAlign w:val="center"/>
          </w:tcPr>
          <w:p w:rsidR="00593FF9" w:rsidRPr="00332594" w:rsidRDefault="00593FF9" w:rsidP="00702417">
            <w:pPr>
              <w:jc w:val="center"/>
            </w:pPr>
            <w:r>
              <w:t>1.59</w:t>
            </w:r>
          </w:p>
        </w:tc>
        <w:tc>
          <w:tcPr>
            <w:tcW w:w="595" w:type="pct"/>
            <w:tcBorders>
              <w:top w:val="nil"/>
              <w:left w:val="nil"/>
              <w:bottom w:val="nil"/>
              <w:right w:val="nil"/>
            </w:tcBorders>
            <w:shd w:val="clear" w:color="auto" w:fill="auto"/>
            <w:noWrap/>
            <w:vAlign w:val="center"/>
          </w:tcPr>
          <w:p w:rsidR="00593FF9" w:rsidRDefault="00593FF9" w:rsidP="00702417">
            <w:pPr>
              <w:jc w:val="center"/>
            </w:pPr>
            <w:r>
              <w:t>1.93</w:t>
            </w:r>
          </w:p>
        </w:tc>
        <w:tc>
          <w:tcPr>
            <w:tcW w:w="558" w:type="pct"/>
            <w:tcBorders>
              <w:top w:val="nil"/>
              <w:left w:val="nil"/>
              <w:bottom w:val="nil"/>
              <w:right w:val="nil"/>
            </w:tcBorders>
            <w:shd w:val="clear" w:color="auto" w:fill="auto"/>
            <w:noWrap/>
            <w:vAlign w:val="center"/>
          </w:tcPr>
          <w:p w:rsidR="00593FF9" w:rsidRDefault="00593FF9" w:rsidP="00702417">
            <w:pPr>
              <w:jc w:val="center"/>
            </w:pPr>
            <w:r>
              <w:t>1.2</w:t>
            </w:r>
          </w:p>
        </w:tc>
        <w:tc>
          <w:tcPr>
            <w:tcW w:w="390" w:type="pct"/>
            <w:tcBorders>
              <w:top w:val="nil"/>
              <w:left w:val="nil"/>
              <w:bottom w:val="nil"/>
              <w:right w:val="nil"/>
            </w:tcBorders>
            <w:vAlign w:val="center"/>
          </w:tcPr>
          <w:p w:rsidR="00593FF9" w:rsidRDefault="00593FF9" w:rsidP="00702417">
            <w:pPr>
              <w:jc w:val="center"/>
            </w:pPr>
            <w:r>
              <w:t>0.18</w:t>
            </w:r>
          </w:p>
        </w:tc>
        <w:tc>
          <w:tcPr>
            <w:tcW w:w="722" w:type="pct"/>
            <w:tcBorders>
              <w:top w:val="nil"/>
              <w:left w:val="nil"/>
              <w:bottom w:val="nil"/>
              <w:right w:val="nil"/>
            </w:tcBorders>
            <w:shd w:val="clear" w:color="auto" w:fill="auto"/>
            <w:noWrap/>
            <w:vAlign w:val="center"/>
          </w:tcPr>
          <w:p w:rsidR="00593FF9" w:rsidRDefault="00593FF9" w:rsidP="00702417">
            <w:pPr>
              <w:jc w:val="center"/>
            </w:pPr>
            <w:r>
              <w:t>1980-2012</w:t>
            </w:r>
          </w:p>
        </w:tc>
        <w:tc>
          <w:tcPr>
            <w:tcW w:w="359" w:type="pct"/>
            <w:tcBorders>
              <w:top w:val="nil"/>
              <w:left w:val="nil"/>
              <w:bottom w:val="nil"/>
              <w:right w:val="nil"/>
            </w:tcBorders>
            <w:shd w:val="clear" w:color="auto" w:fill="auto"/>
            <w:noWrap/>
            <w:vAlign w:val="center"/>
          </w:tcPr>
          <w:p w:rsidR="00593FF9" w:rsidRPr="001F2312" w:rsidRDefault="00593FF9" w:rsidP="00702417">
            <w:pPr>
              <w:jc w:val="center"/>
            </w:pPr>
            <w:r>
              <w:t>0.18</w:t>
            </w:r>
          </w:p>
        </w:tc>
        <w:tc>
          <w:tcPr>
            <w:tcW w:w="616" w:type="pct"/>
            <w:tcBorders>
              <w:top w:val="nil"/>
              <w:left w:val="nil"/>
              <w:bottom w:val="nil"/>
              <w:right w:val="nil"/>
            </w:tcBorders>
            <w:vAlign w:val="center"/>
          </w:tcPr>
          <w:p w:rsidR="00593FF9" w:rsidRDefault="00593FF9" w:rsidP="00702417">
            <w:pPr>
              <w:jc w:val="center"/>
            </w:pPr>
            <w:r>
              <w:t>0.9</w:t>
            </w:r>
          </w:p>
        </w:tc>
        <w:tc>
          <w:tcPr>
            <w:tcW w:w="413" w:type="pct"/>
            <w:tcBorders>
              <w:top w:val="nil"/>
              <w:left w:val="nil"/>
              <w:bottom w:val="nil"/>
              <w:right w:val="nil"/>
            </w:tcBorders>
            <w:vAlign w:val="center"/>
          </w:tcPr>
          <w:p w:rsidR="00593FF9" w:rsidRDefault="00593FF9" w:rsidP="00702417">
            <w:pPr>
              <w:jc w:val="center"/>
            </w:pPr>
            <w:r>
              <w:t>0.22</w:t>
            </w:r>
          </w:p>
        </w:tc>
      </w:tr>
      <w:tr w:rsidR="004422B8" w:rsidRPr="001F2312" w:rsidTr="008264B6">
        <w:trPr>
          <w:trHeight w:val="20"/>
        </w:trPr>
        <w:tc>
          <w:tcPr>
            <w:tcW w:w="566" w:type="pct"/>
            <w:tcBorders>
              <w:top w:val="nil"/>
              <w:left w:val="nil"/>
              <w:bottom w:val="nil"/>
              <w:right w:val="nil"/>
            </w:tcBorders>
            <w:shd w:val="clear" w:color="auto" w:fill="auto"/>
            <w:noWrap/>
            <w:vAlign w:val="center"/>
          </w:tcPr>
          <w:p w:rsidR="00593FF9" w:rsidRDefault="00593FF9" w:rsidP="00702417">
            <w:pPr>
              <w:jc w:val="center"/>
            </w:pPr>
            <w:r>
              <w:t>2013</w:t>
            </w:r>
            <w:r w:rsidR="00AB40A3">
              <w:t>/14</w:t>
            </w:r>
          </w:p>
        </w:tc>
        <w:tc>
          <w:tcPr>
            <w:tcW w:w="370" w:type="pct"/>
            <w:tcBorders>
              <w:top w:val="nil"/>
              <w:left w:val="nil"/>
              <w:bottom w:val="nil"/>
              <w:right w:val="nil"/>
            </w:tcBorders>
            <w:shd w:val="clear" w:color="auto" w:fill="auto"/>
            <w:noWrap/>
            <w:vAlign w:val="center"/>
          </w:tcPr>
          <w:p w:rsidR="00593FF9" w:rsidRDefault="00593FF9" w:rsidP="00702417">
            <w:pPr>
              <w:jc w:val="center"/>
            </w:pPr>
            <w:r>
              <w:t>4a</w:t>
            </w:r>
          </w:p>
        </w:tc>
        <w:tc>
          <w:tcPr>
            <w:tcW w:w="413" w:type="pct"/>
            <w:tcBorders>
              <w:top w:val="nil"/>
              <w:left w:val="nil"/>
              <w:bottom w:val="nil"/>
              <w:right w:val="nil"/>
            </w:tcBorders>
            <w:shd w:val="clear" w:color="auto" w:fill="auto"/>
            <w:noWrap/>
            <w:vAlign w:val="center"/>
          </w:tcPr>
          <w:p w:rsidR="00593FF9" w:rsidRPr="00332594" w:rsidRDefault="002E1218" w:rsidP="00702417">
            <w:pPr>
              <w:jc w:val="center"/>
            </w:pPr>
            <w:r>
              <w:t>1.86</w:t>
            </w:r>
          </w:p>
        </w:tc>
        <w:tc>
          <w:tcPr>
            <w:tcW w:w="595" w:type="pct"/>
            <w:tcBorders>
              <w:top w:val="nil"/>
              <w:left w:val="nil"/>
              <w:bottom w:val="nil"/>
              <w:right w:val="nil"/>
            </w:tcBorders>
            <w:shd w:val="clear" w:color="auto" w:fill="auto"/>
            <w:noWrap/>
            <w:vAlign w:val="center"/>
          </w:tcPr>
          <w:p w:rsidR="00593FF9" w:rsidRDefault="002E1218" w:rsidP="00702417">
            <w:pPr>
              <w:jc w:val="center"/>
            </w:pPr>
            <w:r>
              <w:t>2.27</w:t>
            </w:r>
          </w:p>
        </w:tc>
        <w:tc>
          <w:tcPr>
            <w:tcW w:w="558" w:type="pct"/>
            <w:tcBorders>
              <w:top w:val="nil"/>
              <w:left w:val="nil"/>
              <w:bottom w:val="nil"/>
              <w:right w:val="nil"/>
            </w:tcBorders>
            <w:shd w:val="clear" w:color="auto" w:fill="auto"/>
            <w:noWrap/>
            <w:vAlign w:val="center"/>
          </w:tcPr>
          <w:p w:rsidR="00593FF9" w:rsidRDefault="002E1218" w:rsidP="00702417">
            <w:pPr>
              <w:jc w:val="center"/>
            </w:pPr>
            <w:r>
              <w:t>1.2</w:t>
            </w:r>
          </w:p>
        </w:tc>
        <w:tc>
          <w:tcPr>
            <w:tcW w:w="390" w:type="pct"/>
            <w:tcBorders>
              <w:top w:val="nil"/>
              <w:left w:val="nil"/>
              <w:bottom w:val="nil"/>
              <w:right w:val="nil"/>
            </w:tcBorders>
            <w:vAlign w:val="center"/>
          </w:tcPr>
          <w:p w:rsidR="00593FF9" w:rsidRDefault="002E1218" w:rsidP="00702417">
            <w:pPr>
              <w:jc w:val="center"/>
            </w:pPr>
            <w:r>
              <w:t>0.18</w:t>
            </w:r>
          </w:p>
        </w:tc>
        <w:tc>
          <w:tcPr>
            <w:tcW w:w="722" w:type="pct"/>
            <w:tcBorders>
              <w:top w:val="nil"/>
              <w:left w:val="nil"/>
              <w:bottom w:val="nil"/>
              <w:right w:val="nil"/>
            </w:tcBorders>
            <w:shd w:val="clear" w:color="auto" w:fill="auto"/>
            <w:noWrap/>
            <w:vAlign w:val="center"/>
          </w:tcPr>
          <w:p w:rsidR="00593FF9" w:rsidRDefault="002E1218" w:rsidP="00702417">
            <w:pPr>
              <w:jc w:val="center"/>
            </w:pPr>
            <w:r>
              <w:t>1980-2013</w:t>
            </w:r>
          </w:p>
        </w:tc>
        <w:tc>
          <w:tcPr>
            <w:tcW w:w="359" w:type="pct"/>
            <w:tcBorders>
              <w:top w:val="nil"/>
              <w:left w:val="nil"/>
              <w:bottom w:val="nil"/>
              <w:right w:val="nil"/>
            </w:tcBorders>
            <w:shd w:val="clear" w:color="auto" w:fill="auto"/>
            <w:noWrap/>
            <w:vAlign w:val="center"/>
          </w:tcPr>
          <w:p w:rsidR="00593FF9" w:rsidRPr="001F2312" w:rsidRDefault="002E1218" w:rsidP="00702417">
            <w:pPr>
              <w:jc w:val="center"/>
            </w:pPr>
            <w:r>
              <w:t>0.18</w:t>
            </w:r>
          </w:p>
        </w:tc>
        <w:tc>
          <w:tcPr>
            <w:tcW w:w="616" w:type="pct"/>
            <w:tcBorders>
              <w:top w:val="nil"/>
              <w:left w:val="nil"/>
              <w:bottom w:val="nil"/>
              <w:right w:val="nil"/>
            </w:tcBorders>
            <w:vAlign w:val="center"/>
          </w:tcPr>
          <w:p w:rsidR="00593FF9" w:rsidRDefault="00282332" w:rsidP="00702417">
            <w:pPr>
              <w:jc w:val="center"/>
            </w:pPr>
            <w:r>
              <w:t>0.9</w:t>
            </w:r>
          </w:p>
        </w:tc>
        <w:tc>
          <w:tcPr>
            <w:tcW w:w="413" w:type="pct"/>
            <w:tcBorders>
              <w:top w:val="nil"/>
              <w:left w:val="nil"/>
              <w:bottom w:val="nil"/>
              <w:right w:val="nil"/>
            </w:tcBorders>
            <w:vAlign w:val="center"/>
          </w:tcPr>
          <w:p w:rsidR="00593FF9" w:rsidRDefault="002E1218" w:rsidP="00702417">
            <w:pPr>
              <w:jc w:val="center"/>
            </w:pPr>
            <w:r>
              <w:t>0.24</w:t>
            </w:r>
          </w:p>
        </w:tc>
      </w:tr>
      <w:tr w:rsidR="004422B8" w:rsidRPr="001F2312" w:rsidTr="008264B6">
        <w:trPr>
          <w:trHeight w:val="20"/>
        </w:trPr>
        <w:tc>
          <w:tcPr>
            <w:tcW w:w="566" w:type="pct"/>
            <w:tcBorders>
              <w:top w:val="nil"/>
              <w:left w:val="nil"/>
              <w:bottom w:val="single" w:sz="4" w:space="0" w:color="auto"/>
              <w:right w:val="nil"/>
            </w:tcBorders>
            <w:shd w:val="clear" w:color="auto" w:fill="auto"/>
            <w:noWrap/>
            <w:vAlign w:val="center"/>
          </w:tcPr>
          <w:p w:rsidR="004E66CC" w:rsidRDefault="00AB40A3" w:rsidP="00702417">
            <w:pPr>
              <w:jc w:val="center"/>
            </w:pPr>
            <w:r>
              <w:t>2014</w:t>
            </w:r>
            <w:r w:rsidR="004E66CC">
              <w:t>/1</w:t>
            </w:r>
            <w:r>
              <w:t>5</w:t>
            </w:r>
          </w:p>
        </w:tc>
        <w:tc>
          <w:tcPr>
            <w:tcW w:w="370" w:type="pct"/>
            <w:tcBorders>
              <w:top w:val="nil"/>
              <w:left w:val="nil"/>
              <w:bottom w:val="single" w:sz="4" w:space="0" w:color="auto"/>
              <w:right w:val="nil"/>
            </w:tcBorders>
            <w:shd w:val="clear" w:color="auto" w:fill="auto"/>
            <w:noWrap/>
            <w:vAlign w:val="center"/>
          </w:tcPr>
          <w:p w:rsidR="004E66CC" w:rsidRDefault="004E66CC" w:rsidP="00702417">
            <w:pPr>
              <w:jc w:val="center"/>
            </w:pPr>
            <w:r>
              <w:t>4</w:t>
            </w:r>
            <w:r w:rsidR="00AB40A3">
              <w:t>b</w:t>
            </w:r>
          </w:p>
        </w:tc>
        <w:tc>
          <w:tcPr>
            <w:tcW w:w="413" w:type="pct"/>
            <w:tcBorders>
              <w:top w:val="nil"/>
              <w:left w:val="nil"/>
              <w:bottom w:val="single" w:sz="4" w:space="0" w:color="auto"/>
              <w:right w:val="nil"/>
            </w:tcBorders>
            <w:shd w:val="clear" w:color="auto" w:fill="auto"/>
            <w:noWrap/>
            <w:vAlign w:val="center"/>
          </w:tcPr>
          <w:p w:rsidR="004E66CC" w:rsidRDefault="003716BD" w:rsidP="00702417">
            <w:pPr>
              <w:jc w:val="center"/>
            </w:pPr>
            <w:r>
              <w:t>2.0</w:t>
            </w:r>
            <w:r w:rsidR="006C152C">
              <w:t>7</w:t>
            </w:r>
          </w:p>
        </w:tc>
        <w:tc>
          <w:tcPr>
            <w:tcW w:w="595" w:type="pct"/>
            <w:tcBorders>
              <w:top w:val="nil"/>
              <w:left w:val="nil"/>
              <w:bottom w:val="single" w:sz="4" w:space="0" w:color="auto"/>
              <w:right w:val="nil"/>
            </w:tcBorders>
            <w:shd w:val="clear" w:color="auto" w:fill="auto"/>
            <w:noWrap/>
            <w:vAlign w:val="center"/>
          </w:tcPr>
          <w:p w:rsidR="004E66CC" w:rsidRDefault="003716BD" w:rsidP="00702417">
            <w:pPr>
              <w:jc w:val="center"/>
            </w:pPr>
            <w:r>
              <w:t>1.8</w:t>
            </w:r>
            <w:r w:rsidR="006C152C">
              <w:t>3</w:t>
            </w:r>
          </w:p>
        </w:tc>
        <w:tc>
          <w:tcPr>
            <w:tcW w:w="558" w:type="pct"/>
            <w:tcBorders>
              <w:top w:val="nil"/>
              <w:left w:val="nil"/>
              <w:bottom w:val="single" w:sz="4" w:space="0" w:color="auto"/>
              <w:right w:val="nil"/>
            </w:tcBorders>
            <w:shd w:val="clear" w:color="auto" w:fill="auto"/>
            <w:noWrap/>
            <w:vAlign w:val="center"/>
          </w:tcPr>
          <w:p w:rsidR="004E66CC" w:rsidRDefault="003716BD" w:rsidP="00702417">
            <w:pPr>
              <w:jc w:val="center"/>
            </w:pPr>
            <w:r>
              <w:t>0.9</w:t>
            </w:r>
          </w:p>
        </w:tc>
        <w:tc>
          <w:tcPr>
            <w:tcW w:w="390" w:type="pct"/>
            <w:tcBorders>
              <w:top w:val="nil"/>
              <w:left w:val="nil"/>
              <w:bottom w:val="single" w:sz="4" w:space="0" w:color="auto"/>
              <w:right w:val="nil"/>
            </w:tcBorders>
            <w:vAlign w:val="center"/>
          </w:tcPr>
          <w:p w:rsidR="004E66CC" w:rsidRDefault="00EC16E8" w:rsidP="00702417">
            <w:pPr>
              <w:jc w:val="center"/>
            </w:pPr>
            <w:r>
              <w:t>0.1</w:t>
            </w:r>
            <w:r w:rsidR="003716BD">
              <w:t>6</w:t>
            </w:r>
          </w:p>
        </w:tc>
        <w:tc>
          <w:tcPr>
            <w:tcW w:w="722" w:type="pct"/>
            <w:tcBorders>
              <w:top w:val="nil"/>
              <w:left w:val="nil"/>
              <w:bottom w:val="single" w:sz="4" w:space="0" w:color="auto"/>
              <w:right w:val="nil"/>
            </w:tcBorders>
            <w:shd w:val="clear" w:color="auto" w:fill="auto"/>
            <w:noWrap/>
            <w:vAlign w:val="center"/>
          </w:tcPr>
          <w:p w:rsidR="004E66CC" w:rsidRDefault="00EC16E8" w:rsidP="00702417">
            <w:pPr>
              <w:jc w:val="center"/>
            </w:pPr>
            <w:r>
              <w:t>1980-2014</w:t>
            </w:r>
          </w:p>
        </w:tc>
        <w:tc>
          <w:tcPr>
            <w:tcW w:w="359" w:type="pct"/>
            <w:tcBorders>
              <w:top w:val="nil"/>
              <w:left w:val="nil"/>
              <w:bottom w:val="single" w:sz="4" w:space="0" w:color="auto"/>
              <w:right w:val="nil"/>
            </w:tcBorders>
            <w:shd w:val="clear" w:color="auto" w:fill="auto"/>
            <w:noWrap/>
            <w:vAlign w:val="center"/>
          </w:tcPr>
          <w:p w:rsidR="004E66CC" w:rsidRDefault="00EC16E8" w:rsidP="00702417">
            <w:pPr>
              <w:jc w:val="center"/>
            </w:pPr>
            <w:r>
              <w:t>0.18</w:t>
            </w:r>
          </w:p>
        </w:tc>
        <w:tc>
          <w:tcPr>
            <w:tcW w:w="616" w:type="pct"/>
            <w:tcBorders>
              <w:top w:val="nil"/>
              <w:left w:val="nil"/>
              <w:bottom w:val="single" w:sz="4" w:space="0" w:color="auto"/>
              <w:right w:val="nil"/>
            </w:tcBorders>
            <w:vAlign w:val="center"/>
          </w:tcPr>
          <w:p w:rsidR="004E66CC" w:rsidRDefault="00EC16E8" w:rsidP="00702417">
            <w:pPr>
              <w:jc w:val="center"/>
            </w:pPr>
            <w:r>
              <w:t>0.9</w:t>
            </w:r>
          </w:p>
        </w:tc>
        <w:tc>
          <w:tcPr>
            <w:tcW w:w="413" w:type="pct"/>
            <w:tcBorders>
              <w:top w:val="nil"/>
              <w:left w:val="nil"/>
              <w:bottom w:val="single" w:sz="4" w:space="0" w:color="auto"/>
              <w:right w:val="nil"/>
            </w:tcBorders>
            <w:vAlign w:val="center"/>
          </w:tcPr>
          <w:p w:rsidR="004E66CC" w:rsidRDefault="003716BD" w:rsidP="00702417">
            <w:pPr>
              <w:jc w:val="center"/>
            </w:pPr>
            <w:r>
              <w:t>0.21</w:t>
            </w:r>
          </w:p>
        </w:tc>
      </w:tr>
    </w:tbl>
    <w:p w:rsidR="004C66A0" w:rsidRDefault="004C66A0" w:rsidP="004C66A0">
      <w:pPr>
        <w:ind w:left="720"/>
        <w:jc w:val="both"/>
        <w:rPr>
          <w:sz w:val="20"/>
          <w:szCs w:val="20"/>
        </w:rPr>
      </w:pPr>
    </w:p>
    <w:p w:rsidR="004C66A0" w:rsidRDefault="004C66A0" w:rsidP="001A3DDF">
      <w:pPr>
        <w:ind w:left="720"/>
        <w:jc w:val="both"/>
        <w:rPr>
          <w:sz w:val="20"/>
          <w:szCs w:val="20"/>
        </w:rPr>
      </w:pPr>
    </w:p>
    <w:p w:rsidR="0071095B" w:rsidRDefault="0071095B">
      <w:pPr>
        <w:rPr>
          <w:vertAlign w:val="superscript"/>
        </w:rPr>
      </w:pPr>
      <w:r>
        <w:rPr>
          <w:vertAlign w:val="superscript"/>
        </w:rPr>
        <w:br w:type="page"/>
      </w:r>
    </w:p>
    <w:p w:rsidR="004C66A0" w:rsidRDefault="004C66A0" w:rsidP="001A3DDF">
      <w:pPr>
        <w:ind w:left="720"/>
        <w:jc w:val="both"/>
        <w:rPr>
          <w:vertAlign w:val="superscript"/>
        </w:rPr>
      </w:pPr>
      <w:r>
        <w:rPr>
          <w:vertAlign w:val="superscript"/>
        </w:rPr>
        <w:lastRenderedPageBreak/>
        <w:tab/>
      </w:r>
      <w:r>
        <w:rPr>
          <w:vertAlign w:val="superscript"/>
        </w:rPr>
        <w:tab/>
      </w:r>
    </w:p>
    <w:p w:rsidR="00240BAE" w:rsidRDefault="004C66A0" w:rsidP="004422B8">
      <w:pPr>
        <w:pStyle w:val="ListParagraph"/>
        <w:numPr>
          <w:ilvl w:val="0"/>
          <w:numId w:val="17"/>
        </w:numPr>
        <w:jc w:val="both"/>
      </w:pPr>
      <w:r>
        <w:t>Probability Density Function of the OFL</w:t>
      </w:r>
    </w:p>
    <w:p w:rsidR="004422B8" w:rsidRPr="004422B8" w:rsidRDefault="004422B8" w:rsidP="004422B8">
      <w:pPr>
        <w:pStyle w:val="ListParagraph"/>
        <w:jc w:val="both"/>
      </w:pPr>
      <w:r w:rsidRPr="004422B8">
        <w:rPr>
          <w:noProof/>
        </w:rPr>
        <w:drawing>
          <wp:inline distT="0" distB="0" distL="0" distR="0" wp14:anchorId="192486AB" wp14:editId="2162F442">
            <wp:extent cx="4563745" cy="358584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3745" cy="3585845"/>
                    </a:xfrm>
                    <a:prstGeom prst="rect">
                      <a:avLst/>
                    </a:prstGeom>
                    <a:noFill/>
                    <a:ln>
                      <a:noFill/>
                    </a:ln>
                  </pic:spPr>
                </pic:pic>
              </a:graphicData>
            </a:graphic>
          </wp:inline>
        </w:drawing>
      </w:r>
    </w:p>
    <w:p w:rsidR="007053CA" w:rsidRDefault="00240BAE" w:rsidP="008264B6">
      <w:pPr>
        <w:jc w:val="both"/>
      </w:pPr>
      <w:proofErr w:type="gramStart"/>
      <w:r w:rsidRPr="00E93C88">
        <w:t xml:space="preserve">OFL </w:t>
      </w:r>
      <w:r w:rsidR="000905EE">
        <w:t>profile</w:t>
      </w:r>
      <w:r w:rsidR="00581F43">
        <w:t>.</w:t>
      </w:r>
      <w:proofErr w:type="gramEnd"/>
      <w:r w:rsidR="000905EE">
        <w:t xml:space="preserve"> Model estimated CV </w:t>
      </w:r>
      <w:r w:rsidR="007D2A25">
        <w:t xml:space="preserve">0.3 and </w:t>
      </w:r>
      <w:proofErr w:type="spellStart"/>
      <w:r w:rsidR="007D2A25">
        <w:t>mcmc</w:t>
      </w:r>
      <w:proofErr w:type="spellEnd"/>
      <w:r w:rsidR="007D2A25">
        <w:t xml:space="preserve"> estimates.</w:t>
      </w:r>
      <w:r w:rsidR="000905EE">
        <w:t xml:space="preserve"> </w:t>
      </w:r>
    </w:p>
    <w:p w:rsidR="004C66A0" w:rsidRPr="00A54B93" w:rsidRDefault="004C66A0" w:rsidP="007053CA">
      <w:pPr>
        <w:jc w:val="both"/>
      </w:pPr>
    </w:p>
    <w:p w:rsidR="007053CA" w:rsidRDefault="00A95C00" w:rsidP="00A95C00">
      <w:pPr>
        <w:pStyle w:val="ListParagraph"/>
        <w:numPr>
          <w:ilvl w:val="0"/>
          <w:numId w:val="17"/>
        </w:numPr>
        <w:jc w:val="both"/>
      </w:pPr>
      <w:r>
        <w:t>The basis for the ABC recommendation</w:t>
      </w:r>
    </w:p>
    <w:p w:rsidR="00AD58A3" w:rsidRDefault="00AD58A3" w:rsidP="00A95C00">
      <w:pPr>
        <w:jc w:val="both"/>
      </w:pPr>
    </w:p>
    <w:p w:rsidR="003C564A" w:rsidRDefault="00A551FD" w:rsidP="00342C9D">
      <w:pPr>
        <w:jc w:val="both"/>
      </w:pPr>
      <w:r>
        <w:t xml:space="preserve">For Tier 4 stocks, </w:t>
      </w:r>
      <w:r w:rsidR="003C564A">
        <w:t xml:space="preserve">the </w:t>
      </w:r>
      <w:r>
        <w:t xml:space="preserve">default </w:t>
      </w:r>
      <w:r w:rsidR="003C564A">
        <w:t xml:space="preserve">maximum </w:t>
      </w:r>
      <w:r w:rsidR="003E5B69">
        <w:t>ABC P*=49</w:t>
      </w:r>
      <w:r w:rsidR="00067B86">
        <w:t>%</w:t>
      </w:r>
      <w:r w:rsidR="003E5B69">
        <w:t xml:space="preserve"> that is </w:t>
      </w:r>
      <w:r>
        <w:t>essentially identical to the OFL</w:t>
      </w:r>
      <w:r w:rsidR="00581F43">
        <w:t xml:space="preserve">. </w:t>
      </w:r>
      <w:r w:rsidR="0094465D">
        <w:t xml:space="preserve"> </w:t>
      </w:r>
      <w:r w:rsidR="00760213">
        <w:t>A</w:t>
      </w:r>
      <w:r w:rsidR="0094465D">
        <w:t>ccount</w:t>
      </w:r>
      <w:r w:rsidR="00760213">
        <w:t>ing</w:t>
      </w:r>
      <w:r w:rsidR="0094465D">
        <w:t xml:space="preserve"> for uncertaintie</w:t>
      </w:r>
      <w:r w:rsidR="00760213">
        <w:t xml:space="preserve">s in assessment and model results, the </w:t>
      </w:r>
      <w:r w:rsidR="00067B86">
        <w:t>SSC</w:t>
      </w:r>
      <w:r w:rsidR="00760213">
        <w:t xml:space="preserve"> chose to use 90% OFL </w:t>
      </w:r>
      <w:r w:rsidR="003C564A">
        <w:t xml:space="preserve">(10% Buffer) </w:t>
      </w:r>
      <w:r w:rsidR="00760213">
        <w:t>for the Norton Sound red king crab stock</w:t>
      </w:r>
      <w:r w:rsidR="00633BE9">
        <w:t xml:space="preserve"> in 2011</w:t>
      </w:r>
      <w:r w:rsidR="00581F43">
        <w:t xml:space="preserve">. </w:t>
      </w:r>
    </w:p>
    <w:p w:rsidR="00263EA6" w:rsidRDefault="00263EA6" w:rsidP="00342C9D">
      <w:pPr>
        <w:jc w:val="both"/>
      </w:pPr>
    </w:p>
    <w:p w:rsidR="00A95C00" w:rsidRDefault="004E66CC" w:rsidP="008264B6">
      <w:pPr>
        <w:tabs>
          <w:tab w:val="left" w:pos="2630"/>
        </w:tabs>
        <w:jc w:val="both"/>
      </w:pPr>
      <w:r>
        <w:rPr>
          <w:b/>
        </w:rPr>
        <w:t>For 2014 fishery</w:t>
      </w:r>
      <w:r w:rsidR="00760213" w:rsidRPr="00263EA6">
        <w:rPr>
          <w:b/>
        </w:rPr>
        <w:t xml:space="preserve">, we </w:t>
      </w:r>
      <w:r w:rsidR="00A85420" w:rsidRPr="00263EA6">
        <w:rPr>
          <w:b/>
        </w:rPr>
        <w:t xml:space="preserve">chose </w:t>
      </w:r>
      <w:r w:rsidR="00760213" w:rsidRPr="00263EA6">
        <w:rPr>
          <w:b/>
        </w:rPr>
        <w:t>90% OFL</w:t>
      </w:r>
      <w:r w:rsidR="003C564A" w:rsidRPr="00263EA6">
        <w:rPr>
          <w:b/>
        </w:rPr>
        <w:t xml:space="preserve"> (10% Buffer)</w:t>
      </w:r>
      <w:r w:rsidR="00760213" w:rsidRPr="00263EA6">
        <w:rPr>
          <w:b/>
        </w:rPr>
        <w:t xml:space="preserve"> </w:t>
      </w:r>
    </w:p>
    <w:p w:rsidR="00A95C00" w:rsidRDefault="00EB7A9B" w:rsidP="008264B6">
      <w:pPr>
        <w:pStyle w:val="ListParagraph"/>
        <w:numPr>
          <w:ilvl w:val="0"/>
          <w:numId w:val="17"/>
        </w:numPr>
        <w:tabs>
          <w:tab w:val="left" w:pos="10350"/>
        </w:tabs>
        <w:jc w:val="both"/>
      </w:pPr>
      <w:r>
        <w:t xml:space="preserve">A summary of the results of any rebuilding analyses. </w:t>
      </w:r>
      <w:r w:rsidR="00C65EE1">
        <w:tab/>
      </w:r>
    </w:p>
    <w:p w:rsidR="005169B4" w:rsidRDefault="00EB7A9B" w:rsidP="008264B6">
      <w:pPr>
        <w:tabs>
          <w:tab w:val="left" w:pos="720"/>
          <w:tab w:val="left" w:pos="2880"/>
          <w:tab w:val="left" w:pos="7463"/>
        </w:tabs>
      </w:pPr>
      <w:r>
        <w:tab/>
        <w:t>N/A</w:t>
      </w:r>
    </w:p>
    <w:p w:rsidR="00EB7A9B" w:rsidRPr="00A54B93" w:rsidRDefault="00EB7A9B" w:rsidP="008264B6">
      <w:pPr>
        <w:ind w:left="720"/>
        <w:jc w:val="both"/>
      </w:pPr>
    </w:p>
    <w:p w:rsidR="0049196C" w:rsidRDefault="0049196C" w:rsidP="000A03C9">
      <w:pPr>
        <w:pStyle w:val="ListParagraph"/>
        <w:numPr>
          <w:ilvl w:val="0"/>
          <w:numId w:val="4"/>
        </w:numPr>
        <w:spacing w:line="360" w:lineRule="auto"/>
        <w:ind w:left="360"/>
        <w:rPr>
          <w:b/>
          <w:i/>
          <w:sz w:val="28"/>
          <w:szCs w:val="28"/>
        </w:rPr>
      </w:pPr>
      <w:r w:rsidRPr="007A481A">
        <w:rPr>
          <w:b/>
          <w:i/>
          <w:sz w:val="28"/>
          <w:szCs w:val="28"/>
        </w:rPr>
        <w:t>Summary of Major Changes in 20</w:t>
      </w:r>
      <w:r w:rsidR="00AB572B" w:rsidRPr="007A481A">
        <w:rPr>
          <w:b/>
          <w:i/>
          <w:sz w:val="28"/>
          <w:szCs w:val="28"/>
        </w:rPr>
        <w:t>1</w:t>
      </w:r>
      <w:r w:rsidR="004E66CC">
        <w:rPr>
          <w:b/>
          <w:i/>
          <w:sz w:val="28"/>
          <w:szCs w:val="28"/>
        </w:rPr>
        <w:t>3</w:t>
      </w:r>
    </w:p>
    <w:p w:rsidR="00AB40A3" w:rsidRPr="00AB40A3" w:rsidRDefault="007A481A" w:rsidP="00AB40A3">
      <w:pPr>
        <w:pStyle w:val="ListParagraph"/>
        <w:numPr>
          <w:ilvl w:val="0"/>
          <w:numId w:val="1"/>
        </w:numPr>
        <w:spacing w:after="120"/>
        <w:contextualSpacing w:val="0"/>
        <w:jc w:val="both"/>
      </w:pPr>
      <w:r w:rsidRPr="007A481A">
        <w:t>Changes to the management of the fishery</w:t>
      </w:r>
      <w:r w:rsidRPr="007A481A">
        <w:rPr>
          <w:b/>
        </w:rPr>
        <w:t xml:space="preserve">:  </w:t>
      </w:r>
    </w:p>
    <w:p w:rsidR="00AB40A3" w:rsidRPr="00AB40A3" w:rsidRDefault="00AB40A3" w:rsidP="00AB40A3">
      <w:pPr>
        <w:pStyle w:val="ListParagraph"/>
        <w:spacing w:after="120"/>
        <w:contextualSpacing w:val="0"/>
        <w:jc w:val="both"/>
      </w:pPr>
      <w:r w:rsidRPr="00AB40A3">
        <w:t>None</w:t>
      </w:r>
    </w:p>
    <w:p w:rsidR="00933DE0" w:rsidRDefault="00933DE0" w:rsidP="00933DE0">
      <w:pPr>
        <w:pStyle w:val="ListParagraph"/>
        <w:spacing w:after="120"/>
        <w:contextualSpacing w:val="0"/>
        <w:jc w:val="both"/>
      </w:pPr>
    </w:p>
    <w:p w:rsidR="003E5B69" w:rsidRDefault="007A481A" w:rsidP="004E66CC">
      <w:pPr>
        <w:pStyle w:val="ListParagraph"/>
        <w:numPr>
          <w:ilvl w:val="0"/>
          <w:numId w:val="1"/>
        </w:numPr>
        <w:spacing w:after="120"/>
        <w:contextualSpacing w:val="0"/>
        <w:jc w:val="both"/>
      </w:pPr>
      <w:r>
        <w:t>Changes to the input data</w:t>
      </w:r>
    </w:p>
    <w:p w:rsidR="005D6318" w:rsidRDefault="005D6318" w:rsidP="005D6318">
      <w:pPr>
        <w:pStyle w:val="ListParagraph"/>
        <w:spacing w:after="120"/>
        <w:contextualSpacing w:val="0"/>
        <w:jc w:val="both"/>
      </w:pPr>
      <w:r>
        <w:t xml:space="preserve">Updated </w:t>
      </w:r>
    </w:p>
    <w:p w:rsidR="007A481A" w:rsidRPr="005D6318" w:rsidRDefault="00F514EB" w:rsidP="000A03C9">
      <w:pPr>
        <w:numPr>
          <w:ilvl w:val="1"/>
          <w:numId w:val="1"/>
        </w:numPr>
        <w:spacing w:after="120"/>
      </w:pPr>
      <w:r>
        <w:t>2</w:t>
      </w:r>
      <w:r w:rsidR="004E66CC">
        <w:t>013</w:t>
      </w:r>
      <w:r w:rsidR="007A481A">
        <w:t xml:space="preserve"> summer commercial fishery</w:t>
      </w:r>
      <w:r w:rsidR="00506543">
        <w:t xml:space="preserve">, </w:t>
      </w:r>
      <w:r w:rsidR="004E66CC">
        <w:t>2012/2013</w:t>
      </w:r>
      <w:r w:rsidR="006579BA">
        <w:t xml:space="preserve"> winter commercial and </w:t>
      </w:r>
      <w:r w:rsidR="006579BA">
        <w:rPr>
          <w:spacing w:val="-3"/>
        </w:rPr>
        <w:t>subsistence catch</w:t>
      </w:r>
      <w:r w:rsidR="004E66CC">
        <w:rPr>
          <w:spacing w:val="-3"/>
        </w:rPr>
        <w:t>.</w:t>
      </w:r>
    </w:p>
    <w:p w:rsidR="005D6318" w:rsidRDefault="005D6318" w:rsidP="005D6318">
      <w:pPr>
        <w:spacing w:after="120"/>
        <w:ind w:left="720"/>
      </w:pPr>
      <w:r>
        <w:rPr>
          <w:spacing w:val="-3"/>
        </w:rPr>
        <w:t>New Data included into the assessment model</w:t>
      </w:r>
    </w:p>
    <w:p w:rsidR="00AC0D52" w:rsidRDefault="004E66CC" w:rsidP="00282332">
      <w:pPr>
        <w:numPr>
          <w:ilvl w:val="1"/>
          <w:numId w:val="1"/>
        </w:numPr>
        <w:spacing w:after="120"/>
      </w:pPr>
      <w:r>
        <w:lastRenderedPageBreak/>
        <w:t>2013</w:t>
      </w:r>
      <w:r w:rsidR="00F514EB">
        <w:t xml:space="preserve"> summer commercial fishery observer data</w:t>
      </w:r>
      <w:r w:rsidR="00282332">
        <w:t>, standardize</w:t>
      </w:r>
      <w:r w:rsidR="005E6CED">
        <w:t>d commercial catch CPUE and CV.</w:t>
      </w:r>
    </w:p>
    <w:p w:rsidR="00772FFE" w:rsidRDefault="00772FFE" w:rsidP="00282332">
      <w:pPr>
        <w:numPr>
          <w:ilvl w:val="1"/>
          <w:numId w:val="1"/>
        </w:numPr>
        <w:spacing w:after="120"/>
      </w:pPr>
      <w:r>
        <w:t>Winter pot survey CPUE 198</w:t>
      </w:r>
      <w:r w:rsidR="0019286D">
        <w:t>0-2011</w:t>
      </w:r>
    </w:p>
    <w:p w:rsidR="005D6318" w:rsidRDefault="005D6318" w:rsidP="005D6318">
      <w:pPr>
        <w:spacing w:after="120"/>
        <w:ind w:left="720"/>
      </w:pPr>
      <w:r>
        <w:t>Revised Data</w:t>
      </w:r>
    </w:p>
    <w:p w:rsidR="005E6CED" w:rsidRDefault="005E6CED" w:rsidP="00282332">
      <w:pPr>
        <w:numPr>
          <w:ilvl w:val="1"/>
          <w:numId w:val="1"/>
        </w:numPr>
        <w:spacing w:after="120"/>
      </w:pPr>
      <w:r>
        <w:t xml:space="preserve">1976-1991 NMFS survey NSRKC crab abundance estimates were revised based on original survey data. </w:t>
      </w:r>
    </w:p>
    <w:p w:rsidR="00933DE0" w:rsidRDefault="00933DE0" w:rsidP="00933DE0">
      <w:pPr>
        <w:spacing w:after="120"/>
        <w:ind w:left="1440"/>
      </w:pPr>
    </w:p>
    <w:p w:rsidR="00605ACC" w:rsidRDefault="007A481A" w:rsidP="00CD2092">
      <w:pPr>
        <w:pStyle w:val="ListParagraph"/>
        <w:numPr>
          <w:ilvl w:val="0"/>
          <w:numId w:val="1"/>
        </w:numPr>
        <w:spacing w:after="120"/>
        <w:contextualSpacing w:val="0"/>
        <w:jc w:val="both"/>
      </w:pPr>
      <w:r>
        <w:t>Changes to the assessment methodology:</w:t>
      </w:r>
      <w:r w:rsidR="00EB7A9B">
        <w:t xml:space="preserve"> </w:t>
      </w:r>
    </w:p>
    <w:p w:rsidR="00506543" w:rsidRDefault="00FB311A" w:rsidP="00933DE0">
      <w:pPr>
        <w:pStyle w:val="ListParagraph"/>
        <w:spacing w:after="120"/>
        <w:ind w:left="1440"/>
        <w:contextualSpacing w:val="0"/>
        <w:jc w:val="both"/>
      </w:pPr>
      <w:r>
        <w:t xml:space="preserve"> </w:t>
      </w:r>
      <w:r w:rsidR="00506543">
        <w:t xml:space="preserve"> </w:t>
      </w:r>
      <w:r w:rsidR="00CD2092">
        <w:t>None</w:t>
      </w:r>
    </w:p>
    <w:p w:rsidR="009B081C" w:rsidRDefault="00EB7A9B" w:rsidP="009B081C">
      <w:pPr>
        <w:pStyle w:val="ListParagraph"/>
        <w:numPr>
          <w:ilvl w:val="0"/>
          <w:numId w:val="1"/>
        </w:numPr>
        <w:spacing w:after="120"/>
        <w:contextualSpacing w:val="0"/>
        <w:jc w:val="both"/>
      </w:pPr>
      <w:r>
        <w:t>Changes to the assessment results.</w:t>
      </w:r>
    </w:p>
    <w:p w:rsidR="00CD2092" w:rsidRDefault="00CD2092" w:rsidP="00CD2092">
      <w:pPr>
        <w:pStyle w:val="ListParagraph"/>
        <w:spacing w:after="120"/>
        <w:ind w:left="1440"/>
        <w:contextualSpacing w:val="0"/>
        <w:jc w:val="both"/>
      </w:pPr>
      <w:r>
        <w:t xml:space="preserve"> None</w:t>
      </w:r>
    </w:p>
    <w:p w:rsidR="00EB7A9B" w:rsidRPr="00A40F6C" w:rsidRDefault="00EB7A9B" w:rsidP="008264B6">
      <w:pPr>
        <w:pStyle w:val="ListParagraph"/>
        <w:spacing w:after="120"/>
        <w:contextualSpacing w:val="0"/>
        <w:jc w:val="both"/>
      </w:pPr>
    </w:p>
    <w:p w:rsidR="007C2587" w:rsidRPr="00033856" w:rsidRDefault="009D1AD1" w:rsidP="000A03C9">
      <w:pPr>
        <w:pStyle w:val="ListParagraph"/>
        <w:numPr>
          <w:ilvl w:val="0"/>
          <w:numId w:val="4"/>
        </w:numPr>
        <w:spacing w:line="360" w:lineRule="auto"/>
        <w:ind w:left="360"/>
        <w:rPr>
          <w:b/>
          <w:i/>
          <w:sz w:val="28"/>
          <w:szCs w:val="28"/>
        </w:rPr>
      </w:pPr>
      <w:r w:rsidRPr="007A481A">
        <w:rPr>
          <w:b/>
          <w:i/>
          <w:sz w:val="28"/>
          <w:szCs w:val="28"/>
        </w:rPr>
        <w:t>Response to SSC and CPT Comments</w:t>
      </w:r>
    </w:p>
    <w:p w:rsidR="007C2587" w:rsidRDefault="007C2587" w:rsidP="001C45A6">
      <w:pPr>
        <w:ind w:left="720"/>
        <w:jc w:val="both"/>
      </w:pPr>
    </w:p>
    <w:p w:rsidR="00432951" w:rsidRDefault="00C721CD" w:rsidP="00432951">
      <w:pPr>
        <w:jc w:val="both"/>
      </w:pPr>
      <w:r>
        <w:t xml:space="preserve">CPT Review Sept </w:t>
      </w:r>
      <w:r w:rsidR="00172669">
        <w:t>17</w:t>
      </w:r>
      <w:r>
        <w:t xml:space="preserve"> – 20</w:t>
      </w:r>
      <w:r w:rsidR="000217F9">
        <w:t>, 2013</w:t>
      </w:r>
    </w:p>
    <w:p w:rsidR="00432951" w:rsidRPr="008264B6" w:rsidRDefault="00432951" w:rsidP="00432951">
      <w:pPr>
        <w:autoSpaceDE w:val="0"/>
        <w:autoSpaceDN w:val="0"/>
        <w:adjustRightInd w:val="0"/>
        <w:rPr>
          <w:rFonts w:ascii="Arial" w:hAnsi="Arial"/>
          <w:b/>
          <w:i/>
        </w:rPr>
      </w:pPr>
    </w:p>
    <w:p w:rsidR="00C721CD" w:rsidRPr="00172669" w:rsidRDefault="00C721CD" w:rsidP="00172669">
      <w:pPr>
        <w:jc w:val="both"/>
        <w:rPr>
          <w:szCs w:val="22"/>
        </w:rPr>
      </w:pPr>
      <w:r>
        <w:rPr>
          <w:szCs w:val="22"/>
        </w:rPr>
        <w:t>The team had the following comments:</w:t>
      </w:r>
    </w:p>
    <w:p w:rsidR="000217F9" w:rsidRPr="00873B68" w:rsidRDefault="000217F9" w:rsidP="000217F9">
      <w:pPr>
        <w:jc w:val="both"/>
      </w:pPr>
    </w:p>
    <w:p w:rsidR="00C721CD" w:rsidRDefault="00C721CD" w:rsidP="00C721CD">
      <w:pPr>
        <w:pStyle w:val="ListParagraph"/>
        <w:numPr>
          <w:ilvl w:val="0"/>
          <w:numId w:val="29"/>
        </w:numPr>
      </w:pPr>
      <w:r w:rsidRPr="00C721CD">
        <w:t>The model incorporating 2013 observer length frequency data led to an unusually high terminal year mature male abundance whereas the model that disregarded the 2013 observer data led to a reasonable estimate of terminal stock abundance. Therefore, the OFL estimate based on the biomass determined by the model that excluded the 2013 observer data should be considered for developing harvest specifications for 2014.</w:t>
      </w:r>
    </w:p>
    <w:p w:rsidR="00C721CD" w:rsidRDefault="00C721CD" w:rsidP="00C721CD">
      <w:pPr>
        <w:pStyle w:val="ListParagraph"/>
      </w:pPr>
    </w:p>
    <w:p w:rsidR="00C721CD" w:rsidRDefault="00D727AF" w:rsidP="00C721CD">
      <w:pPr>
        <w:pStyle w:val="ListParagraph"/>
      </w:pPr>
      <w:r>
        <w:t>Author response:</w:t>
      </w:r>
    </w:p>
    <w:p w:rsidR="00C721CD" w:rsidRDefault="00C721CD" w:rsidP="00C721CD">
      <w:pPr>
        <w:pStyle w:val="ListParagraph"/>
      </w:pPr>
      <w:r>
        <w:t xml:space="preserve">The model estimates using all finalized data did not show observable discrepancies </w:t>
      </w:r>
      <w:r w:rsidR="001A7795" w:rsidRPr="001A7795">
        <w:t xml:space="preserve">when including or excluding </w:t>
      </w:r>
      <w:r>
        <w:t>observer data</w:t>
      </w:r>
      <w:r w:rsidR="00581F43">
        <w:t>.</w:t>
      </w:r>
      <w:r>
        <w:t xml:space="preserve">  </w:t>
      </w:r>
    </w:p>
    <w:p w:rsidR="00C721CD" w:rsidRDefault="00C721CD" w:rsidP="00C721CD"/>
    <w:p w:rsidR="00C721CD" w:rsidRPr="00C721CD" w:rsidRDefault="00C721CD" w:rsidP="00C721CD">
      <w:pPr>
        <w:pStyle w:val="ListParagraph"/>
        <w:numPr>
          <w:ilvl w:val="0"/>
          <w:numId w:val="29"/>
        </w:numPr>
      </w:pPr>
      <w:r w:rsidRPr="008264B6">
        <w:t>The a</w:t>
      </w:r>
      <w:r w:rsidRPr="008264B6">
        <w:rPr>
          <w:sz w:val="22"/>
        </w:rPr>
        <w:t xml:space="preserve">uthors </w:t>
      </w:r>
      <w:r w:rsidRPr="008264B6">
        <w:t>assumed a</w:t>
      </w:r>
      <w:r w:rsidRPr="008264B6">
        <w:rPr>
          <w:sz w:val="22"/>
        </w:rPr>
        <w:t xml:space="preserve"> constant M value of 0.18</w:t>
      </w:r>
      <w:r w:rsidRPr="008264B6">
        <w:t>yr</w:t>
      </w:r>
      <w:r w:rsidRPr="008264B6">
        <w:rPr>
          <w:sz w:val="22"/>
          <w:vertAlign w:val="superscript"/>
        </w:rPr>
        <w:t>-1</w:t>
      </w:r>
      <w:r w:rsidRPr="008264B6">
        <w:rPr>
          <w:sz w:val="22"/>
        </w:rPr>
        <w:t xml:space="preserve"> to exclude the possibility of confounding with molting. Show the likelihood profile of M.</w:t>
      </w:r>
    </w:p>
    <w:p w:rsidR="00C721CD" w:rsidRPr="008264B6" w:rsidRDefault="00C721CD" w:rsidP="00C721CD">
      <w:pPr>
        <w:pStyle w:val="ListParagraph"/>
      </w:pPr>
    </w:p>
    <w:p w:rsidR="00C721CD" w:rsidRPr="008264B6" w:rsidRDefault="00C721CD" w:rsidP="00C721CD">
      <w:pPr>
        <w:pStyle w:val="ListParagraph"/>
      </w:pPr>
      <w:r w:rsidRPr="008264B6">
        <w:t xml:space="preserve">Author response: </w:t>
      </w:r>
    </w:p>
    <w:p w:rsidR="00D727AF" w:rsidRPr="008264B6" w:rsidRDefault="00C721CD" w:rsidP="00D727AF">
      <w:pPr>
        <w:pStyle w:val="ListParagraph"/>
      </w:pPr>
      <w:r w:rsidRPr="008264B6">
        <w:t>Profile of M was provided</w:t>
      </w:r>
      <w:r w:rsidR="00581F43">
        <w:t xml:space="preserve">. </w:t>
      </w:r>
      <w:r w:rsidRPr="008264B6">
        <w:t xml:space="preserve">In this, all </w:t>
      </w:r>
      <w:r w:rsidR="00D727AF" w:rsidRPr="008264B6">
        <w:t xml:space="preserve">estimated </w:t>
      </w:r>
      <w:r w:rsidRPr="008264B6">
        <w:t>parameters, except ms6 (mortality multiplier for the last length class), changed depending on value of M</w:t>
      </w:r>
      <w:r w:rsidR="00581F43">
        <w:t xml:space="preserve">. </w:t>
      </w:r>
      <w:r w:rsidRPr="008264B6">
        <w:t xml:space="preserve"> The pa</w:t>
      </w:r>
      <w:r w:rsidR="00D727AF" w:rsidRPr="008264B6">
        <w:t>rameter ms6 was set to 1.0, which assumes constant mortality for all length classes as opposed to the original assumption that mortality of the last length class is 3.6 times higher (M = 0.648) than other length classes</w:t>
      </w:r>
      <w:r w:rsidR="00581F43">
        <w:t xml:space="preserve">. </w:t>
      </w:r>
      <w:r w:rsidR="00D727AF" w:rsidRPr="008264B6">
        <w:t xml:space="preserve"> The profile analysis showed that M = 0.42 generated the lowest negative log </w:t>
      </w:r>
      <w:r w:rsidR="001A7795" w:rsidRPr="001A7795">
        <w:t>likelihood</w:t>
      </w:r>
      <w:r w:rsidR="00D727AF" w:rsidRPr="008264B6">
        <w:t xml:space="preserve">. </w:t>
      </w:r>
    </w:p>
    <w:p w:rsidR="00C721CD" w:rsidRDefault="00C721CD" w:rsidP="00C721CD">
      <w:pPr>
        <w:pStyle w:val="ListParagraph"/>
      </w:pPr>
    </w:p>
    <w:p w:rsidR="00C721CD" w:rsidRPr="00D727AF" w:rsidRDefault="00D727AF" w:rsidP="00C721CD">
      <w:pPr>
        <w:pStyle w:val="ListParagraph"/>
        <w:numPr>
          <w:ilvl w:val="0"/>
          <w:numId w:val="29"/>
        </w:numPr>
      </w:pPr>
      <w:r w:rsidRPr="008264B6">
        <w:t>Ca</w:t>
      </w:r>
      <w:r w:rsidR="00E07641" w:rsidRPr="008264B6">
        <w:t>lculate the non-</w:t>
      </w:r>
      <w:r w:rsidRPr="008264B6">
        <w:rPr>
          <w:sz w:val="22"/>
        </w:rPr>
        <w:t xml:space="preserve">retained OFL </w:t>
      </w:r>
      <w:r w:rsidRPr="008264B6">
        <w:t>as well as</w:t>
      </w:r>
      <w:r w:rsidRPr="008264B6">
        <w:rPr>
          <w:sz w:val="22"/>
        </w:rPr>
        <w:t xml:space="preserve"> the total OFL.</w:t>
      </w:r>
    </w:p>
    <w:p w:rsidR="00D727AF" w:rsidRDefault="00D727AF" w:rsidP="00D727AF">
      <w:pPr>
        <w:ind w:left="720"/>
      </w:pPr>
    </w:p>
    <w:p w:rsidR="00D727AF" w:rsidRDefault="00D727AF" w:rsidP="00D727AF">
      <w:pPr>
        <w:ind w:left="720"/>
      </w:pPr>
      <w:r>
        <w:lastRenderedPageBreak/>
        <w:t xml:space="preserve">Author response:  Implemented. </w:t>
      </w:r>
    </w:p>
    <w:p w:rsidR="00D727AF" w:rsidRPr="00C721CD" w:rsidRDefault="00D727AF" w:rsidP="00D727AF"/>
    <w:p w:rsidR="00222230" w:rsidRDefault="00222230" w:rsidP="00222230">
      <w:pPr>
        <w:pStyle w:val="ListParagraph"/>
        <w:numPr>
          <w:ilvl w:val="0"/>
          <w:numId w:val="29"/>
        </w:numPr>
      </w:pPr>
      <w:r>
        <w:t>R</w:t>
      </w:r>
      <w:r w:rsidRPr="00222230">
        <w:t xml:space="preserve">eport the estimate of the additional variance that is added to the variance assumed for the CPUE data. </w:t>
      </w:r>
    </w:p>
    <w:p w:rsidR="00222230" w:rsidRDefault="00222230" w:rsidP="00222230">
      <w:pPr>
        <w:pStyle w:val="ListParagraph"/>
      </w:pPr>
    </w:p>
    <w:p w:rsidR="00222230" w:rsidRDefault="00222230" w:rsidP="00222230">
      <w:pPr>
        <w:pStyle w:val="ListParagraph"/>
      </w:pPr>
      <w:r>
        <w:t xml:space="preserve">Author response:  </w:t>
      </w:r>
      <w:r w:rsidR="00CD2092">
        <w:t>The variance has been reported on table 11 (</w:t>
      </w:r>
      <w:r w:rsidR="00CD2092">
        <w:rPr>
          <w:color w:val="000000"/>
          <w:spacing w:val="-3"/>
          <w:sz w:val="20"/>
          <w:szCs w:val="20"/>
        </w:rPr>
        <w:t>log_</w:t>
      </w:r>
      <w:r w:rsidR="00CD2092" w:rsidRPr="00B454D1">
        <w:rPr>
          <w:i/>
        </w:rPr>
        <w:t>w</w:t>
      </w:r>
      <w:r w:rsidR="00CD2092" w:rsidRPr="00B454D1">
        <w:rPr>
          <w:i/>
          <w:vertAlign w:val="superscript"/>
        </w:rPr>
        <w:t>2</w:t>
      </w:r>
      <w:r w:rsidR="00CD2092" w:rsidRPr="00B454D1">
        <w:rPr>
          <w:i/>
          <w:vertAlign w:val="subscript"/>
        </w:rPr>
        <w:t>t</w:t>
      </w:r>
      <w:r w:rsidR="00CD2092">
        <w:t>)</w:t>
      </w:r>
      <w:r w:rsidR="00581F43">
        <w:t xml:space="preserve">. </w:t>
      </w:r>
      <w:r w:rsidR="000905EE">
        <w:t xml:space="preserve"> We also show this </w:t>
      </w:r>
      <w:r w:rsidR="001A7795">
        <w:t>in</w:t>
      </w:r>
      <w:r w:rsidR="001A7795" w:rsidRPr="001A7795">
        <w:t xml:space="preserve"> </w:t>
      </w:r>
      <w:r w:rsidR="000905EE">
        <w:t xml:space="preserve">Figures 9a </w:t>
      </w:r>
      <w:r w:rsidR="001A7795">
        <w:t>and 9</w:t>
      </w:r>
      <w:r w:rsidR="000905EE">
        <w:t>b</w:t>
      </w:r>
      <w:r>
        <w:t>.</w:t>
      </w:r>
    </w:p>
    <w:p w:rsidR="00222230" w:rsidRDefault="00222230" w:rsidP="00222230">
      <w:pPr>
        <w:pStyle w:val="ListParagraph"/>
        <w:tabs>
          <w:tab w:val="left" w:pos="3780"/>
        </w:tabs>
      </w:pPr>
      <w:r>
        <w:t xml:space="preserve"> </w:t>
      </w:r>
    </w:p>
    <w:p w:rsidR="00222230" w:rsidRDefault="00222230" w:rsidP="00222230">
      <w:pPr>
        <w:pStyle w:val="ListParagraph"/>
        <w:numPr>
          <w:ilvl w:val="0"/>
          <w:numId w:val="29"/>
        </w:numPr>
      </w:pPr>
      <w:r w:rsidRPr="00222230">
        <w:t>Estimate separate selectivity patterns for the NMFS and ADFG trawl surveys and evaluate whether the assumption that they are the same can be justified.</w:t>
      </w:r>
    </w:p>
    <w:p w:rsidR="00222230" w:rsidRDefault="00222230" w:rsidP="00222230">
      <w:pPr>
        <w:pStyle w:val="ListParagraph"/>
      </w:pPr>
    </w:p>
    <w:p w:rsidR="008B7970" w:rsidRDefault="00222230" w:rsidP="00222230">
      <w:pPr>
        <w:pStyle w:val="ListParagraph"/>
      </w:pPr>
      <w:r>
        <w:t xml:space="preserve">Author response:  </w:t>
      </w:r>
    </w:p>
    <w:p w:rsidR="00222230" w:rsidRDefault="008B7970" w:rsidP="00222230">
      <w:pPr>
        <w:pStyle w:val="ListParagraph"/>
      </w:pPr>
      <w:r>
        <w:t>The analysis shows that trawl selectivity of the ADF&amp;G differed from NMFS survey</w:t>
      </w:r>
      <w:r w:rsidR="00581F43">
        <w:t xml:space="preserve">. </w:t>
      </w:r>
      <w:r>
        <w:t>However, standard error of the selectivity function parameter was very high (CV 2-5 ×10</w:t>
      </w:r>
      <w:r w:rsidRPr="008B7970">
        <w:rPr>
          <w:vertAlign w:val="superscript"/>
        </w:rPr>
        <w:t>5</w:t>
      </w:r>
      <w:r w:rsidR="00CD2092">
        <w:t xml:space="preserve"> %).  S</w:t>
      </w:r>
      <w:r w:rsidR="000905EE">
        <w:t xml:space="preserve">electivity both </w:t>
      </w:r>
      <w:r w:rsidR="001A7795">
        <w:t>surveys</w:t>
      </w:r>
      <w:r w:rsidR="000905EE" w:rsidRPr="001A7795">
        <w:t xml:space="preserve"> w</w:t>
      </w:r>
      <w:r w:rsidR="001A7795">
        <w:t>as</w:t>
      </w:r>
      <w:r w:rsidR="000905EE">
        <w:t xml:space="preserve"> 0.999 for all length classes. </w:t>
      </w:r>
    </w:p>
    <w:p w:rsidR="00222230" w:rsidRPr="00C721CD" w:rsidRDefault="00222230" w:rsidP="00222230">
      <w:pPr>
        <w:pStyle w:val="ListParagraph"/>
      </w:pPr>
    </w:p>
    <w:p w:rsidR="00222230" w:rsidRPr="00172669" w:rsidRDefault="00172669" w:rsidP="00222230">
      <w:pPr>
        <w:pStyle w:val="ListParagraph"/>
        <w:numPr>
          <w:ilvl w:val="0"/>
          <w:numId w:val="29"/>
        </w:numPr>
      </w:pPr>
      <w:r w:rsidRPr="008264B6">
        <w:rPr>
          <w:sz w:val="22"/>
        </w:rPr>
        <w:t xml:space="preserve">Increase weight of recruit </w:t>
      </w:r>
      <w:r w:rsidRPr="008264B6">
        <w:t>penalty</w:t>
      </w:r>
      <w:r w:rsidRPr="008264B6">
        <w:rPr>
          <w:sz w:val="22"/>
        </w:rPr>
        <w:t xml:space="preserve"> from 0.01 to 0.5</w:t>
      </w:r>
    </w:p>
    <w:p w:rsidR="00172669" w:rsidRPr="008264B6" w:rsidRDefault="00172669" w:rsidP="00172669">
      <w:pPr>
        <w:pStyle w:val="ListParagraph"/>
      </w:pPr>
    </w:p>
    <w:p w:rsidR="00340409" w:rsidRPr="008264B6" w:rsidRDefault="00340409" w:rsidP="00172669">
      <w:pPr>
        <w:pStyle w:val="ListParagraph"/>
      </w:pPr>
      <w:r w:rsidRPr="008264B6">
        <w:t xml:space="preserve">Author response: </w:t>
      </w:r>
    </w:p>
    <w:p w:rsidR="00CD2092" w:rsidRDefault="00340409" w:rsidP="00172669">
      <w:pPr>
        <w:pStyle w:val="ListParagraph"/>
      </w:pPr>
      <w:r w:rsidRPr="008264B6">
        <w:t>Implemented</w:t>
      </w:r>
      <w:r w:rsidR="00581F43">
        <w:t>.</w:t>
      </w:r>
      <w:r w:rsidRPr="008264B6">
        <w:t xml:space="preserve"> </w:t>
      </w:r>
    </w:p>
    <w:p w:rsidR="00CD2092" w:rsidRDefault="00CD2092" w:rsidP="00172669">
      <w:pPr>
        <w:pStyle w:val="ListParagraph"/>
      </w:pPr>
    </w:p>
    <w:p w:rsidR="00172669" w:rsidRDefault="00CD2092" w:rsidP="00172669">
      <w:pPr>
        <w:pStyle w:val="ListParagraph"/>
      </w:pPr>
      <w:r>
        <w:t>R</w:t>
      </w:r>
      <w:r w:rsidR="00340409" w:rsidRPr="008264B6">
        <w:t xml:space="preserve">ecruit </w:t>
      </w:r>
      <w:r>
        <w:t xml:space="preserve">penalty </w:t>
      </w:r>
      <w:r w:rsidR="00340409" w:rsidRPr="008264B6">
        <w:t xml:space="preserve">was </w:t>
      </w:r>
      <w:r>
        <w:t>described as standard deviation (</w:t>
      </w:r>
      <w:proofErr w:type="spellStart"/>
      <w:r>
        <w:t>sd</w:t>
      </w:r>
      <w:proofErr w:type="spellEnd"/>
      <w:r>
        <w:t xml:space="preserve">) (i.e., </w:t>
      </w:r>
      <w:proofErr w:type="spellStart"/>
      <w:r>
        <w:t>sd</w:t>
      </w:r>
      <w:proofErr w:type="spellEnd"/>
      <w:r>
        <w:t xml:space="preserve"> = 0.5) </w:t>
      </w:r>
      <w:r w:rsidR="00340409" w:rsidRPr="008264B6">
        <w:t xml:space="preserve">converted from </w:t>
      </w:r>
      <w:r>
        <w:t xml:space="preserve">the original </w:t>
      </w:r>
      <w:r w:rsidR="00340409" w:rsidRPr="008264B6">
        <w:t xml:space="preserve">multiplier </w:t>
      </w:r>
      <w:r w:rsidR="00E5281F" w:rsidRPr="008264B6">
        <w:t>(W</w:t>
      </w:r>
      <w:r w:rsidR="00E5281F" w:rsidRPr="008264B6">
        <w:rPr>
          <w:vertAlign w:val="subscript"/>
        </w:rPr>
        <w:t>R</w:t>
      </w:r>
      <w:r>
        <w:t>) form</w:t>
      </w:r>
      <w:r w:rsidR="00E5281F" w:rsidRPr="008264B6">
        <w:t xml:space="preserve"> </w:t>
      </w:r>
    </w:p>
    <w:p w:rsidR="00CD2092" w:rsidRPr="008264B6" w:rsidRDefault="00CD2092" w:rsidP="00172669">
      <w:pPr>
        <w:pStyle w:val="ListParagraph"/>
      </w:pPr>
    </w:p>
    <w:p w:rsidR="00340409" w:rsidRDefault="00A104A8" w:rsidP="00A104A8">
      <w:pPr>
        <w:pStyle w:val="ListParagraph"/>
        <w:jc w:val="center"/>
        <w:rPr>
          <w:sz w:val="22"/>
          <w:szCs w:val="22"/>
        </w:rPr>
      </w:pPr>
      <w:r w:rsidRPr="007A52EC">
        <w:rPr>
          <w:position w:val="-28"/>
        </w:rPr>
        <w:object w:dxaOrig="2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35.05pt" o:ole="">
            <v:imagedata r:id="rId12" o:title=""/>
          </v:shape>
          <o:OLEObject Type="Embed" ProgID="Equation.3" ShapeID="_x0000_i1025" DrawAspect="Content" ObjectID="_1459679454" r:id="rId13"/>
        </w:object>
      </w:r>
    </w:p>
    <w:p w:rsidR="00340409" w:rsidRPr="008264B6" w:rsidRDefault="00340409" w:rsidP="00172669">
      <w:pPr>
        <w:pStyle w:val="ListParagraph"/>
      </w:pPr>
    </w:p>
    <w:p w:rsidR="00B70DC8" w:rsidRPr="008264B6" w:rsidRDefault="00BF1981" w:rsidP="00172669">
      <w:pPr>
        <w:pStyle w:val="ListParagraph"/>
      </w:pPr>
      <w:r>
        <w:t>With</w:t>
      </w:r>
      <w:r w:rsidR="00E5281F">
        <w:t xml:space="preserve"> </w:t>
      </w:r>
      <w:proofErr w:type="spellStart"/>
      <w:r w:rsidR="00E5281F">
        <w:t>sd</w:t>
      </w:r>
      <w:proofErr w:type="spellEnd"/>
      <w:r w:rsidR="00E5281F">
        <w:t xml:space="preserve"> = 0.5, the conversion </w:t>
      </w:r>
      <w:r>
        <w:t>increased</w:t>
      </w:r>
      <w:r w:rsidR="00B70DC8">
        <w:t xml:space="preserve"> weight from </w:t>
      </w:r>
      <w:r w:rsidR="00B70DC8" w:rsidRPr="008264B6">
        <w:t>W</w:t>
      </w:r>
      <w:r w:rsidR="00B70DC8" w:rsidRPr="008264B6">
        <w:rPr>
          <w:vertAlign w:val="subscript"/>
        </w:rPr>
        <w:t>R</w:t>
      </w:r>
      <w:r w:rsidR="00B70DC8" w:rsidRPr="008264B6">
        <w:t xml:space="preserve"> = 0.01 to = 4.75. (W</w:t>
      </w:r>
      <w:r w:rsidR="00B70DC8" w:rsidRPr="008264B6">
        <w:rPr>
          <w:vertAlign w:val="subscript"/>
        </w:rPr>
        <w:t xml:space="preserve">R </w:t>
      </w:r>
      <w:r w:rsidRPr="008264B6">
        <w:t>= 1</w:t>
      </w:r>
      <w:r w:rsidR="00B70DC8" w:rsidRPr="008264B6">
        <w:t>/2sd</w:t>
      </w:r>
      <w:r w:rsidR="00B70DC8" w:rsidRPr="008264B6">
        <w:rPr>
          <w:vertAlign w:val="superscript"/>
        </w:rPr>
        <w:t>2</w:t>
      </w:r>
      <w:r w:rsidR="00B70DC8" w:rsidRPr="008264B6">
        <w:t>)</w:t>
      </w:r>
      <w:r w:rsidR="0014694A" w:rsidRPr="008264B6">
        <w:t xml:space="preserve">. </w:t>
      </w:r>
    </w:p>
    <w:p w:rsidR="00CD2092" w:rsidRDefault="00CD2092" w:rsidP="00172669">
      <w:pPr>
        <w:pStyle w:val="ListParagraph"/>
      </w:pPr>
    </w:p>
    <w:p w:rsidR="0014694A" w:rsidRPr="008264B6" w:rsidRDefault="00BF1981" w:rsidP="00172669">
      <w:pPr>
        <w:pStyle w:val="ListParagraph"/>
      </w:pPr>
      <w:r w:rsidRPr="008264B6">
        <w:t xml:space="preserve">The effects of this weight change were reported at the 2014 workshop, and the proposed weight was considered appropriate. </w:t>
      </w:r>
    </w:p>
    <w:p w:rsidR="00BA3EE5" w:rsidRPr="008264B6" w:rsidRDefault="00BA3EE5" w:rsidP="00BA3EE5">
      <w:pPr>
        <w:tabs>
          <w:tab w:val="left" w:pos="1440"/>
        </w:tabs>
        <w:spacing w:after="120"/>
        <w:jc w:val="both"/>
        <w:rPr>
          <w:rFonts w:ascii="TimesNewRomanPSMT" w:hAnsi="TimesNewRomanPSMT"/>
        </w:rPr>
      </w:pPr>
    </w:p>
    <w:p w:rsidR="007C2587" w:rsidRDefault="00A141A4" w:rsidP="007C2587">
      <w:pPr>
        <w:jc w:val="both"/>
      </w:pPr>
      <w:r>
        <w:t>SSC Review on September 30-October1</w:t>
      </w:r>
      <w:r w:rsidR="003944AD">
        <w:t>, 2013</w:t>
      </w:r>
    </w:p>
    <w:p w:rsidR="00A141A4" w:rsidRPr="00C721CD" w:rsidRDefault="00A141A4" w:rsidP="008264B6">
      <w:pPr>
        <w:pStyle w:val="ListParagraph"/>
      </w:pPr>
    </w:p>
    <w:p w:rsidR="00A141A4" w:rsidRPr="002C23C9" w:rsidRDefault="00ED3861" w:rsidP="00ED3861">
      <w:pPr>
        <w:pStyle w:val="ListParagraph"/>
        <w:numPr>
          <w:ilvl w:val="0"/>
          <w:numId w:val="29"/>
        </w:numPr>
      </w:pPr>
      <w:r w:rsidRPr="008264B6">
        <w:t xml:space="preserve">Conduct sensitivity analyses on weighting. </w:t>
      </w:r>
    </w:p>
    <w:p w:rsidR="002C23C9" w:rsidRPr="008264B6" w:rsidRDefault="00CD2092" w:rsidP="002C23C9">
      <w:pPr>
        <w:pStyle w:val="ListParagraph"/>
      </w:pPr>
      <w:r>
        <w:t xml:space="preserve">See January 14-17 modeling workshop report. </w:t>
      </w:r>
    </w:p>
    <w:p w:rsidR="009972BB" w:rsidRPr="008264B6" w:rsidRDefault="009972BB" w:rsidP="008264B6">
      <w:pPr>
        <w:pStyle w:val="ListParagraph"/>
      </w:pPr>
    </w:p>
    <w:p w:rsidR="002C23C9" w:rsidRDefault="009972BB" w:rsidP="009972BB">
      <w:r>
        <w:t>Crab modeling workshop on January 14-17</w:t>
      </w:r>
      <w:r w:rsidR="00B75356">
        <w:t>,</w:t>
      </w:r>
      <w:r>
        <w:t xml:space="preserve"> 2014</w:t>
      </w:r>
    </w:p>
    <w:p w:rsidR="009972BB" w:rsidRPr="009972BB" w:rsidRDefault="009972BB" w:rsidP="009972BB">
      <w:pPr>
        <w:autoSpaceDE w:val="0"/>
        <w:autoSpaceDN w:val="0"/>
        <w:adjustRightInd w:val="0"/>
        <w:rPr>
          <w:rFonts w:ascii="Courier New" w:hAnsi="Courier New" w:cs="Courier New"/>
          <w:color w:val="000000"/>
        </w:rPr>
      </w:pPr>
    </w:p>
    <w:p w:rsidR="009972BB" w:rsidRPr="008264B6" w:rsidRDefault="009972BB" w:rsidP="009972BB">
      <w:pPr>
        <w:pStyle w:val="ListParagraph"/>
        <w:numPr>
          <w:ilvl w:val="0"/>
          <w:numId w:val="35"/>
        </w:numPr>
        <w:autoSpaceDE w:val="0"/>
        <w:autoSpaceDN w:val="0"/>
        <w:adjustRightInd w:val="0"/>
        <w:spacing w:after="27"/>
        <w:rPr>
          <w:color w:val="000000"/>
        </w:rPr>
      </w:pPr>
      <w:r w:rsidRPr="008264B6">
        <w:rPr>
          <w:color w:val="000000"/>
        </w:rPr>
        <w:t xml:space="preserve">A full assessment should be conducted with a range of suggested scenarios so the May CPT can recommend an OFL and an ABC for the 2014-15 management cycle. The assessment will need to be revised again for the September 2014 CPT meeting and the September specification cycle. </w:t>
      </w:r>
    </w:p>
    <w:p w:rsidR="009972BB" w:rsidRPr="008264B6" w:rsidRDefault="009972BB" w:rsidP="009972BB">
      <w:pPr>
        <w:pStyle w:val="ListParagraph"/>
        <w:autoSpaceDE w:val="0"/>
        <w:autoSpaceDN w:val="0"/>
        <w:adjustRightInd w:val="0"/>
        <w:spacing w:after="27"/>
        <w:rPr>
          <w:color w:val="000000"/>
        </w:rPr>
      </w:pPr>
    </w:p>
    <w:p w:rsidR="00A104A8" w:rsidRDefault="00D32F4D" w:rsidP="00A104A8">
      <w:pPr>
        <w:pStyle w:val="ListParagraph"/>
      </w:pPr>
      <w:r>
        <w:t xml:space="preserve">Author response: </w:t>
      </w:r>
    </w:p>
    <w:p w:rsidR="009972BB" w:rsidRPr="00011408" w:rsidRDefault="00D32F4D" w:rsidP="00011408">
      <w:pPr>
        <w:pStyle w:val="ListParagraph"/>
      </w:pPr>
      <w:r>
        <w:lastRenderedPageBreak/>
        <w:t xml:space="preserve">2014 summer commercial harvest season also coincides with triennial assessment.  </w:t>
      </w:r>
      <w:r w:rsidR="00011408">
        <w:t>I</w:t>
      </w:r>
      <w:r>
        <w:t>t is unlikely that both commercial harvest assessment and triennial sur</w:t>
      </w:r>
      <w:r w:rsidR="00011408">
        <w:t xml:space="preserve">vey assessment will be finalized before the September 2014 CPT meeting.  Similar to 2013 CPT meeting, it is possible that summer commercial fishery is not finished. </w:t>
      </w:r>
    </w:p>
    <w:p w:rsidR="00A104A8" w:rsidRPr="008264B6" w:rsidRDefault="00A104A8" w:rsidP="008264B6">
      <w:pPr>
        <w:pStyle w:val="ListParagraph"/>
        <w:autoSpaceDE w:val="0"/>
        <w:autoSpaceDN w:val="0"/>
        <w:adjustRightInd w:val="0"/>
        <w:spacing w:after="27"/>
        <w:rPr>
          <w:color w:val="000000"/>
        </w:rPr>
      </w:pPr>
    </w:p>
    <w:p w:rsidR="009972BB" w:rsidRPr="008264B6" w:rsidRDefault="009972BB" w:rsidP="009972BB">
      <w:pPr>
        <w:pStyle w:val="ListParagraph"/>
        <w:numPr>
          <w:ilvl w:val="0"/>
          <w:numId w:val="35"/>
        </w:numPr>
        <w:autoSpaceDE w:val="0"/>
        <w:autoSpaceDN w:val="0"/>
        <w:adjustRightInd w:val="0"/>
        <w:spacing w:after="27"/>
        <w:rPr>
          <w:color w:val="000000"/>
        </w:rPr>
      </w:pPr>
      <w:r w:rsidRPr="008264B6">
        <w:rPr>
          <w:color w:val="000000"/>
        </w:rPr>
        <w:t xml:space="preserve">Provide alternative model runs where selectivity for the ADFG and NMFS trawl surveys are assumed the same, and where different selectivity patterns are estimated for each survey. </w:t>
      </w:r>
    </w:p>
    <w:p w:rsidR="009972BB" w:rsidRPr="008264B6" w:rsidRDefault="009972BB" w:rsidP="009972BB">
      <w:pPr>
        <w:pStyle w:val="ListParagraph"/>
        <w:autoSpaceDE w:val="0"/>
        <w:autoSpaceDN w:val="0"/>
        <w:adjustRightInd w:val="0"/>
        <w:spacing w:after="27"/>
        <w:rPr>
          <w:color w:val="000000"/>
        </w:rPr>
      </w:pPr>
    </w:p>
    <w:p w:rsidR="009972BB" w:rsidRPr="008264B6" w:rsidRDefault="009972BB" w:rsidP="009972BB">
      <w:pPr>
        <w:pStyle w:val="ListParagraph"/>
      </w:pPr>
      <w:r w:rsidRPr="008264B6">
        <w:t xml:space="preserve">Author response: </w:t>
      </w:r>
    </w:p>
    <w:p w:rsidR="000905EE" w:rsidRPr="008264B6" w:rsidRDefault="000905EE" w:rsidP="009972BB">
      <w:pPr>
        <w:pStyle w:val="ListParagraph"/>
      </w:pPr>
      <w:r w:rsidRPr="008264B6">
        <w:t>In the revised model, selectivity for ADFG and NMFS trawl surveys were identical, so that combining or not combining the two did not change model outcomes</w:t>
      </w:r>
      <w:r w:rsidR="00A104A8" w:rsidRPr="008264B6">
        <w:t xml:space="preserve"> (c.f. alternative models 0 and 1)</w:t>
      </w:r>
      <w:r w:rsidR="00581F43">
        <w:t xml:space="preserve">. </w:t>
      </w:r>
      <w:r w:rsidR="00A104A8" w:rsidRPr="008264B6">
        <w:t xml:space="preserve"> However, </w:t>
      </w:r>
      <w:r w:rsidR="001A7795" w:rsidRPr="00EB73A5">
        <w:t xml:space="preserve">we </w:t>
      </w:r>
      <w:r w:rsidR="001A7795">
        <w:t>separate</w:t>
      </w:r>
      <w:r w:rsidR="001A7795" w:rsidRPr="00EB73A5">
        <w:t xml:space="preserve"> the two </w:t>
      </w:r>
      <w:r w:rsidR="00011408">
        <w:t>selectivity</w:t>
      </w:r>
      <w:r w:rsidR="001A7795">
        <w:t xml:space="preserve"> </w:t>
      </w:r>
      <w:r w:rsidR="00A104A8" w:rsidRPr="008264B6">
        <w:t xml:space="preserve">because the selectivity may </w:t>
      </w:r>
      <w:r w:rsidR="001A7795">
        <w:t>differ</w:t>
      </w:r>
      <w:r w:rsidR="00A104A8" w:rsidRPr="008264B6">
        <w:t xml:space="preserve"> in alternative models and the assumption of identical selectivity will most likely be challenged in the future</w:t>
      </w:r>
      <w:r w:rsidR="001A7795">
        <w:t>.</w:t>
      </w:r>
      <w:r w:rsidR="00A104A8" w:rsidRPr="008264B6">
        <w:t xml:space="preserve"> </w:t>
      </w:r>
    </w:p>
    <w:p w:rsidR="009972BB" w:rsidRPr="008264B6" w:rsidRDefault="009972BB" w:rsidP="009972BB">
      <w:pPr>
        <w:autoSpaceDE w:val="0"/>
        <w:autoSpaceDN w:val="0"/>
        <w:adjustRightInd w:val="0"/>
        <w:spacing w:after="27"/>
        <w:rPr>
          <w:color w:val="000000"/>
        </w:rPr>
      </w:pPr>
    </w:p>
    <w:p w:rsidR="009972BB" w:rsidRPr="008264B6" w:rsidRDefault="009972BB" w:rsidP="009972BB">
      <w:pPr>
        <w:pStyle w:val="ListParagraph"/>
        <w:numPr>
          <w:ilvl w:val="0"/>
          <w:numId w:val="35"/>
        </w:numPr>
        <w:autoSpaceDE w:val="0"/>
        <w:autoSpaceDN w:val="0"/>
        <w:adjustRightInd w:val="0"/>
        <w:spacing w:after="27"/>
        <w:rPr>
          <w:color w:val="000000"/>
        </w:rPr>
      </w:pPr>
      <w:r w:rsidRPr="008264B6">
        <w:rPr>
          <w:color w:val="000000"/>
        </w:rPr>
        <w:t>Provide alternative model runs in which the growth transition matrix incorporates both growth and molting probabilities. If possible, develop a model that incorporates the growth data</w:t>
      </w:r>
      <w:r w:rsidR="001A7795">
        <w:rPr>
          <w:color w:val="000000"/>
        </w:rPr>
        <w:t xml:space="preserve"> </w:t>
      </w:r>
      <w:r w:rsidRPr="008264B6">
        <w:rPr>
          <w:color w:val="000000"/>
        </w:rPr>
        <w:t xml:space="preserve">and </w:t>
      </w:r>
      <w:r w:rsidR="001A7795">
        <w:rPr>
          <w:color w:val="000000"/>
        </w:rPr>
        <w:t>in which</w:t>
      </w:r>
      <w:r w:rsidRPr="008264B6">
        <w:rPr>
          <w:color w:val="000000"/>
        </w:rPr>
        <w:t xml:space="preserve"> the growth transition matrix is estimated. </w:t>
      </w:r>
    </w:p>
    <w:p w:rsidR="00927DAA" w:rsidRPr="008264B6" w:rsidRDefault="00927DAA" w:rsidP="00927DAA">
      <w:pPr>
        <w:pStyle w:val="ListParagraph"/>
        <w:autoSpaceDE w:val="0"/>
        <w:autoSpaceDN w:val="0"/>
        <w:adjustRightInd w:val="0"/>
        <w:spacing w:after="27"/>
        <w:rPr>
          <w:color w:val="000000"/>
        </w:rPr>
      </w:pPr>
    </w:p>
    <w:p w:rsidR="00927DAA" w:rsidRPr="008264B6" w:rsidRDefault="00927DAA" w:rsidP="00927DAA">
      <w:pPr>
        <w:pStyle w:val="ListParagraph"/>
      </w:pPr>
      <w:r w:rsidRPr="008264B6">
        <w:t xml:space="preserve">Author response: </w:t>
      </w:r>
    </w:p>
    <w:p w:rsidR="00011408" w:rsidRDefault="00011408" w:rsidP="00927DAA">
      <w:pPr>
        <w:pStyle w:val="ListParagraph"/>
        <w:autoSpaceDE w:val="0"/>
        <w:autoSpaceDN w:val="0"/>
        <w:adjustRightInd w:val="0"/>
        <w:spacing w:after="27"/>
        <w:rPr>
          <w:color w:val="000000"/>
        </w:rPr>
      </w:pPr>
    </w:p>
    <w:p w:rsidR="00927DAA" w:rsidRPr="008264B6" w:rsidRDefault="00B75356" w:rsidP="00927DAA">
      <w:pPr>
        <w:pStyle w:val="ListParagraph"/>
        <w:autoSpaceDE w:val="0"/>
        <w:autoSpaceDN w:val="0"/>
        <w:adjustRightInd w:val="0"/>
        <w:spacing w:after="27"/>
        <w:rPr>
          <w:color w:val="000000"/>
        </w:rPr>
      </w:pPr>
      <w:r>
        <w:rPr>
          <w:color w:val="000000"/>
          <w:sz w:val="23"/>
          <w:szCs w:val="23"/>
        </w:rPr>
        <w:t>Three</w:t>
      </w:r>
      <w:r w:rsidR="00011408">
        <w:rPr>
          <w:color w:val="000000"/>
          <w:sz w:val="23"/>
          <w:szCs w:val="23"/>
        </w:rPr>
        <w:t xml:space="preserve"> models </w:t>
      </w:r>
      <w:r w:rsidR="003C445A">
        <w:rPr>
          <w:color w:val="000000"/>
          <w:sz w:val="23"/>
          <w:szCs w:val="23"/>
        </w:rPr>
        <w:t>(2.i, 2.io, 2.ii) estimate</w:t>
      </w:r>
      <w:r w:rsidR="0011770A">
        <w:rPr>
          <w:color w:val="000000"/>
          <w:sz w:val="23"/>
          <w:szCs w:val="23"/>
        </w:rPr>
        <w:t>d</w:t>
      </w:r>
      <w:r w:rsidR="003C445A">
        <w:rPr>
          <w:color w:val="000000"/>
          <w:sz w:val="23"/>
          <w:szCs w:val="23"/>
        </w:rPr>
        <w:t xml:space="preserve"> the </w:t>
      </w:r>
      <w:r w:rsidR="00927DAA" w:rsidRPr="008264B6">
        <w:rPr>
          <w:color w:val="000000"/>
        </w:rPr>
        <w:t>growth transition matrix from tagging data</w:t>
      </w:r>
      <w:r w:rsidR="00581F43">
        <w:rPr>
          <w:color w:val="000000"/>
        </w:rPr>
        <w:t xml:space="preserve">. </w:t>
      </w:r>
    </w:p>
    <w:p w:rsidR="009972BB" w:rsidRPr="00927DAA" w:rsidRDefault="009972BB" w:rsidP="00927DAA">
      <w:pPr>
        <w:autoSpaceDE w:val="0"/>
        <w:autoSpaceDN w:val="0"/>
        <w:adjustRightInd w:val="0"/>
        <w:spacing w:after="27"/>
        <w:rPr>
          <w:color w:val="000000"/>
          <w:sz w:val="23"/>
          <w:szCs w:val="23"/>
        </w:rPr>
      </w:pPr>
    </w:p>
    <w:p w:rsidR="009972BB" w:rsidRDefault="009972BB" w:rsidP="009972BB">
      <w:pPr>
        <w:pStyle w:val="ListParagraph"/>
        <w:numPr>
          <w:ilvl w:val="0"/>
          <w:numId w:val="35"/>
        </w:numPr>
        <w:autoSpaceDE w:val="0"/>
        <w:autoSpaceDN w:val="0"/>
        <w:adjustRightInd w:val="0"/>
        <w:spacing w:after="27"/>
        <w:rPr>
          <w:color w:val="000000"/>
          <w:sz w:val="23"/>
          <w:szCs w:val="23"/>
        </w:rPr>
      </w:pPr>
      <w:r w:rsidRPr="009972BB">
        <w:rPr>
          <w:color w:val="000000"/>
          <w:sz w:val="23"/>
          <w:szCs w:val="23"/>
        </w:rPr>
        <w:t xml:space="preserve">Provide alternative model runs in which: 1) the size-composition data from the winter pot survey are excluded, and 2) the CPUE data for the winter pot survey are included. </w:t>
      </w:r>
    </w:p>
    <w:p w:rsidR="00927DAA" w:rsidRDefault="00927DAA" w:rsidP="00927DAA">
      <w:pPr>
        <w:pStyle w:val="ListParagraph"/>
        <w:autoSpaceDE w:val="0"/>
        <w:autoSpaceDN w:val="0"/>
        <w:adjustRightInd w:val="0"/>
        <w:spacing w:after="27"/>
        <w:rPr>
          <w:color w:val="000000"/>
          <w:sz w:val="23"/>
          <w:szCs w:val="23"/>
        </w:rPr>
      </w:pPr>
    </w:p>
    <w:p w:rsidR="00927DAA" w:rsidRDefault="00927DAA" w:rsidP="00927DAA">
      <w:pPr>
        <w:pStyle w:val="ListParagraph"/>
        <w:rPr>
          <w:sz w:val="22"/>
          <w:szCs w:val="22"/>
        </w:rPr>
      </w:pPr>
      <w:r>
        <w:rPr>
          <w:sz w:val="22"/>
          <w:szCs w:val="22"/>
        </w:rPr>
        <w:t xml:space="preserve">Author response: </w:t>
      </w:r>
    </w:p>
    <w:p w:rsidR="00927DAA" w:rsidRDefault="006A2E61" w:rsidP="00927DAA">
      <w:pPr>
        <w:pStyle w:val="ListParagraph"/>
        <w:autoSpaceDE w:val="0"/>
        <w:autoSpaceDN w:val="0"/>
        <w:adjustRightInd w:val="0"/>
        <w:spacing w:after="27"/>
        <w:rPr>
          <w:color w:val="000000"/>
          <w:sz w:val="23"/>
          <w:szCs w:val="23"/>
        </w:rPr>
      </w:pPr>
      <w:r>
        <w:rPr>
          <w:color w:val="000000"/>
          <w:sz w:val="23"/>
          <w:szCs w:val="23"/>
        </w:rPr>
        <w:t>Inclusion of the w</w:t>
      </w:r>
      <w:r w:rsidR="00BF1981">
        <w:rPr>
          <w:color w:val="000000"/>
          <w:sz w:val="23"/>
          <w:szCs w:val="23"/>
        </w:rPr>
        <w:t>inter pot CPUE decreas</w:t>
      </w:r>
      <w:r>
        <w:rPr>
          <w:color w:val="000000"/>
          <w:sz w:val="23"/>
          <w:szCs w:val="23"/>
        </w:rPr>
        <w:t>ed model fit, and exclusion of w</w:t>
      </w:r>
      <w:r w:rsidR="00BF1981">
        <w:rPr>
          <w:color w:val="000000"/>
          <w:sz w:val="23"/>
          <w:szCs w:val="23"/>
        </w:rPr>
        <w:t xml:space="preserve">inter </w:t>
      </w:r>
      <w:r>
        <w:rPr>
          <w:color w:val="000000"/>
          <w:sz w:val="23"/>
          <w:szCs w:val="23"/>
        </w:rPr>
        <w:t xml:space="preserve">pot </w:t>
      </w:r>
      <w:r w:rsidR="00BF1981">
        <w:rPr>
          <w:color w:val="000000"/>
          <w:sz w:val="23"/>
          <w:szCs w:val="23"/>
        </w:rPr>
        <w:t xml:space="preserve">data did not improve </w:t>
      </w:r>
      <w:r w:rsidR="0018626F">
        <w:rPr>
          <w:color w:val="000000"/>
          <w:sz w:val="23"/>
          <w:szCs w:val="23"/>
        </w:rPr>
        <w:t>mod</w:t>
      </w:r>
      <w:r>
        <w:rPr>
          <w:color w:val="000000"/>
          <w:sz w:val="23"/>
          <w:szCs w:val="23"/>
        </w:rPr>
        <w:t>el fit</w:t>
      </w:r>
      <w:r w:rsidR="00581F43">
        <w:rPr>
          <w:color w:val="000000"/>
          <w:sz w:val="23"/>
          <w:szCs w:val="23"/>
        </w:rPr>
        <w:t xml:space="preserve">. </w:t>
      </w:r>
      <w:r w:rsidR="0011770A">
        <w:rPr>
          <w:color w:val="000000"/>
          <w:sz w:val="23"/>
          <w:szCs w:val="23"/>
        </w:rPr>
        <w:t xml:space="preserve"> </w:t>
      </w:r>
      <w:r>
        <w:rPr>
          <w:color w:val="000000"/>
          <w:sz w:val="23"/>
          <w:szCs w:val="23"/>
        </w:rPr>
        <w:t>Further, removing the w</w:t>
      </w:r>
      <w:r w:rsidR="0018626F">
        <w:rPr>
          <w:color w:val="000000"/>
          <w:sz w:val="23"/>
          <w:szCs w:val="23"/>
        </w:rPr>
        <w:t xml:space="preserve">inter pot data resulted in </w:t>
      </w:r>
      <w:r w:rsidR="0011770A">
        <w:rPr>
          <w:color w:val="000000"/>
          <w:sz w:val="23"/>
          <w:szCs w:val="23"/>
        </w:rPr>
        <w:t xml:space="preserve">the </w:t>
      </w:r>
      <w:r w:rsidR="0018626F">
        <w:rPr>
          <w:color w:val="000000"/>
          <w:sz w:val="23"/>
          <w:szCs w:val="23"/>
        </w:rPr>
        <w:t>loss of t</w:t>
      </w:r>
      <w:r>
        <w:rPr>
          <w:color w:val="000000"/>
          <w:sz w:val="23"/>
          <w:szCs w:val="23"/>
        </w:rPr>
        <w:t>he model’s ability to estimate w</w:t>
      </w:r>
      <w:r w:rsidR="0018626F">
        <w:rPr>
          <w:color w:val="000000"/>
          <w:sz w:val="23"/>
          <w:szCs w:val="23"/>
        </w:rPr>
        <w:t>inter pot selectivity</w:t>
      </w:r>
      <w:r w:rsidR="00581F43">
        <w:rPr>
          <w:color w:val="000000"/>
          <w:sz w:val="23"/>
          <w:szCs w:val="23"/>
        </w:rPr>
        <w:t>.</w:t>
      </w:r>
      <w:r w:rsidR="0018626F">
        <w:rPr>
          <w:color w:val="000000"/>
          <w:sz w:val="23"/>
          <w:szCs w:val="23"/>
        </w:rPr>
        <w:t xml:space="preserve"> </w:t>
      </w:r>
      <w:r>
        <w:rPr>
          <w:color w:val="000000"/>
          <w:sz w:val="23"/>
          <w:szCs w:val="23"/>
        </w:rPr>
        <w:t xml:space="preserve"> </w:t>
      </w:r>
    </w:p>
    <w:p w:rsidR="0011770A" w:rsidRPr="009972BB" w:rsidRDefault="0011770A" w:rsidP="00927DAA">
      <w:pPr>
        <w:pStyle w:val="ListParagraph"/>
        <w:autoSpaceDE w:val="0"/>
        <w:autoSpaceDN w:val="0"/>
        <w:adjustRightInd w:val="0"/>
        <w:spacing w:after="27"/>
        <w:rPr>
          <w:color w:val="000000"/>
          <w:sz w:val="23"/>
          <w:szCs w:val="23"/>
        </w:rPr>
      </w:pPr>
    </w:p>
    <w:p w:rsidR="009972BB" w:rsidRPr="009972BB" w:rsidRDefault="009972BB" w:rsidP="009972BB">
      <w:pPr>
        <w:pStyle w:val="ListParagraph"/>
        <w:numPr>
          <w:ilvl w:val="0"/>
          <w:numId w:val="35"/>
        </w:numPr>
        <w:autoSpaceDE w:val="0"/>
        <w:autoSpaceDN w:val="0"/>
        <w:adjustRightInd w:val="0"/>
        <w:rPr>
          <w:color w:val="000000"/>
          <w:sz w:val="23"/>
          <w:szCs w:val="23"/>
        </w:rPr>
      </w:pPr>
      <w:r w:rsidRPr="009972BB">
        <w:rPr>
          <w:color w:val="000000"/>
          <w:sz w:val="23"/>
          <w:szCs w:val="23"/>
        </w:rPr>
        <w:t xml:space="preserve">Review the data used to calculate the growth transition matrix, and provide an overview of the new tagging program and the data that it is expected to provide. </w:t>
      </w:r>
    </w:p>
    <w:p w:rsidR="009972BB" w:rsidRDefault="009972BB" w:rsidP="002C23C9">
      <w:pPr>
        <w:pStyle w:val="ListParagraph"/>
      </w:pPr>
    </w:p>
    <w:p w:rsidR="00927DAA" w:rsidRDefault="00927DAA" w:rsidP="00927DAA">
      <w:pPr>
        <w:pStyle w:val="ListParagraph"/>
        <w:rPr>
          <w:color w:val="000000"/>
          <w:sz w:val="23"/>
          <w:szCs w:val="23"/>
        </w:rPr>
      </w:pPr>
      <w:r>
        <w:rPr>
          <w:sz w:val="22"/>
          <w:szCs w:val="22"/>
        </w:rPr>
        <w:t xml:space="preserve">Author response:  </w:t>
      </w:r>
    </w:p>
    <w:p w:rsidR="0018626F" w:rsidRDefault="00D7510F" w:rsidP="00927DAA">
      <w:pPr>
        <w:pStyle w:val="ListParagraph"/>
        <w:rPr>
          <w:color w:val="000000"/>
          <w:sz w:val="23"/>
          <w:szCs w:val="23"/>
        </w:rPr>
      </w:pPr>
      <w:r>
        <w:rPr>
          <w:color w:val="000000"/>
          <w:sz w:val="23"/>
          <w:szCs w:val="23"/>
        </w:rPr>
        <w:t>A growth t</w:t>
      </w:r>
      <w:r w:rsidR="0018626F">
        <w:rPr>
          <w:color w:val="000000"/>
          <w:sz w:val="23"/>
          <w:szCs w:val="23"/>
        </w:rPr>
        <w:t>ransition matrix was developed using historical tag recovery data</w:t>
      </w:r>
      <w:r w:rsidR="00581F43">
        <w:rPr>
          <w:color w:val="000000"/>
          <w:sz w:val="23"/>
          <w:szCs w:val="23"/>
        </w:rPr>
        <w:t xml:space="preserve">. </w:t>
      </w:r>
      <w:r w:rsidR="0018626F">
        <w:rPr>
          <w:color w:val="000000"/>
          <w:sz w:val="23"/>
          <w:szCs w:val="23"/>
        </w:rPr>
        <w:t xml:space="preserve"> In this assessment we combined all historical tag recovery data (</w:t>
      </w:r>
      <w:r>
        <w:rPr>
          <w:color w:val="000000"/>
          <w:sz w:val="23"/>
          <w:szCs w:val="23"/>
        </w:rPr>
        <w:t>through recoveries in</w:t>
      </w:r>
      <w:r w:rsidR="0018626F">
        <w:rPr>
          <w:color w:val="000000"/>
          <w:sz w:val="23"/>
          <w:szCs w:val="23"/>
        </w:rPr>
        <w:t xml:space="preserve"> 2013)</w:t>
      </w:r>
      <w:r w:rsidR="00581F43">
        <w:rPr>
          <w:color w:val="000000"/>
          <w:sz w:val="23"/>
          <w:szCs w:val="23"/>
        </w:rPr>
        <w:t xml:space="preserve">. </w:t>
      </w:r>
      <w:r>
        <w:rPr>
          <w:color w:val="000000"/>
          <w:sz w:val="23"/>
          <w:szCs w:val="23"/>
        </w:rPr>
        <w:t xml:space="preserve">The </w:t>
      </w:r>
      <w:r w:rsidR="0018626F">
        <w:rPr>
          <w:color w:val="000000"/>
          <w:sz w:val="23"/>
          <w:szCs w:val="23"/>
        </w:rPr>
        <w:t xml:space="preserve">Tagging study is </w:t>
      </w:r>
      <w:r>
        <w:rPr>
          <w:color w:val="000000"/>
          <w:sz w:val="23"/>
          <w:szCs w:val="23"/>
        </w:rPr>
        <w:t>ongoing</w:t>
      </w:r>
      <w:r w:rsidR="0018626F">
        <w:rPr>
          <w:color w:val="000000"/>
          <w:sz w:val="23"/>
          <w:szCs w:val="23"/>
        </w:rPr>
        <w:t xml:space="preserve"> </w:t>
      </w:r>
      <w:r>
        <w:rPr>
          <w:color w:val="000000"/>
          <w:sz w:val="23"/>
          <w:szCs w:val="23"/>
        </w:rPr>
        <w:t xml:space="preserve">as a </w:t>
      </w:r>
      <w:r w:rsidR="0018626F">
        <w:rPr>
          <w:color w:val="000000"/>
          <w:sz w:val="23"/>
          <w:szCs w:val="23"/>
        </w:rPr>
        <w:t>NPRB funded projects (</w:t>
      </w:r>
      <w:r w:rsidR="00962FF5">
        <w:rPr>
          <w:color w:val="000000"/>
          <w:sz w:val="23"/>
          <w:szCs w:val="23"/>
        </w:rPr>
        <w:t>2013</w:t>
      </w:r>
      <w:r w:rsidR="0018626F">
        <w:rPr>
          <w:color w:val="000000"/>
          <w:sz w:val="23"/>
          <w:szCs w:val="23"/>
        </w:rPr>
        <w:t>-14)</w:t>
      </w:r>
      <w:r>
        <w:rPr>
          <w:color w:val="000000"/>
          <w:sz w:val="23"/>
          <w:szCs w:val="23"/>
        </w:rPr>
        <w:t xml:space="preserve"> and we</w:t>
      </w:r>
      <w:r w:rsidR="00962FF5">
        <w:rPr>
          <w:color w:val="000000"/>
          <w:sz w:val="23"/>
          <w:szCs w:val="23"/>
        </w:rPr>
        <w:t xml:space="preserve"> expect recovery of tagged crabs for coming years</w:t>
      </w:r>
      <w:r w:rsidR="00581F43">
        <w:rPr>
          <w:color w:val="000000"/>
          <w:sz w:val="23"/>
          <w:szCs w:val="23"/>
        </w:rPr>
        <w:t>.</w:t>
      </w:r>
      <w:r w:rsidR="0018626F">
        <w:rPr>
          <w:color w:val="000000"/>
          <w:sz w:val="23"/>
          <w:szCs w:val="23"/>
        </w:rPr>
        <w:t xml:space="preserve"> </w:t>
      </w:r>
    </w:p>
    <w:p w:rsidR="00927DAA" w:rsidRPr="00ED3861" w:rsidRDefault="00927DAA" w:rsidP="008264B6">
      <w:pPr>
        <w:pStyle w:val="ListParagraph"/>
      </w:pPr>
    </w:p>
    <w:p w:rsidR="00485E00" w:rsidRDefault="00485E00" w:rsidP="000A03C9">
      <w:pPr>
        <w:pStyle w:val="ListParagraph"/>
        <w:numPr>
          <w:ilvl w:val="0"/>
          <w:numId w:val="4"/>
        </w:numPr>
        <w:spacing w:line="360" w:lineRule="auto"/>
        <w:ind w:left="360"/>
        <w:rPr>
          <w:b/>
          <w:i/>
          <w:sz w:val="28"/>
          <w:szCs w:val="28"/>
        </w:rPr>
      </w:pPr>
      <w:r w:rsidRPr="007A481A">
        <w:rPr>
          <w:b/>
          <w:i/>
          <w:sz w:val="28"/>
          <w:szCs w:val="28"/>
        </w:rPr>
        <w:t>Introduction</w:t>
      </w:r>
    </w:p>
    <w:p w:rsidR="00C56F28" w:rsidRPr="008264B6" w:rsidRDefault="00C56F28" w:rsidP="008264B6">
      <w:pPr>
        <w:pStyle w:val="ListParagraph"/>
        <w:spacing w:line="360" w:lineRule="auto"/>
        <w:ind w:left="360"/>
      </w:pPr>
    </w:p>
    <w:p w:rsidR="003E4414" w:rsidRDefault="00106323" w:rsidP="008264B6">
      <w:pPr>
        <w:spacing w:after="120"/>
        <w:ind w:left="360"/>
      </w:pPr>
      <w:r>
        <w:t>Species: r</w:t>
      </w:r>
      <w:r w:rsidR="00775456">
        <w:t xml:space="preserve">ed </w:t>
      </w:r>
      <w:r>
        <w:t>k</w:t>
      </w:r>
      <w:r w:rsidR="00775456">
        <w:t xml:space="preserve">ing </w:t>
      </w:r>
      <w:r>
        <w:t>c</w:t>
      </w:r>
      <w:r w:rsidR="00775456">
        <w:t>rab (</w:t>
      </w:r>
      <w:proofErr w:type="spellStart"/>
      <w:r w:rsidR="00775456" w:rsidRPr="00775456">
        <w:rPr>
          <w:i/>
        </w:rPr>
        <w:t>Paralithodes</w:t>
      </w:r>
      <w:proofErr w:type="spellEnd"/>
      <w:r w:rsidR="00775456" w:rsidRPr="00775456">
        <w:rPr>
          <w:i/>
        </w:rPr>
        <w:t xml:space="preserve"> </w:t>
      </w:r>
      <w:proofErr w:type="spellStart"/>
      <w:r w:rsidR="00775456" w:rsidRPr="00775456">
        <w:rPr>
          <w:i/>
        </w:rPr>
        <w:t>camtschaticus</w:t>
      </w:r>
      <w:proofErr w:type="spellEnd"/>
      <w:r w:rsidR="00775456">
        <w:t>)</w:t>
      </w:r>
      <w:r w:rsidR="00D11755">
        <w:t xml:space="preserve"> in Norton Sound, Alaska.</w:t>
      </w:r>
      <w:r w:rsidR="00775456">
        <w:t xml:space="preserve"> </w:t>
      </w:r>
    </w:p>
    <w:p w:rsidR="00342C9D" w:rsidRPr="00106323" w:rsidRDefault="00106323" w:rsidP="00342C9D">
      <w:pPr>
        <w:numPr>
          <w:ilvl w:val="3"/>
          <w:numId w:val="11"/>
        </w:numPr>
        <w:spacing w:after="120"/>
        <w:ind w:left="360"/>
        <w:jc w:val="both"/>
      </w:pPr>
      <w:r>
        <w:lastRenderedPageBreak/>
        <w:t xml:space="preserve">General Distribution: Norton Sound red king crab </w:t>
      </w:r>
      <w:r w:rsidR="009E282F">
        <w:t>is</w:t>
      </w:r>
      <w:r w:rsidR="00196627">
        <w:t xml:space="preserve"> one of the northernmost </w:t>
      </w:r>
      <w:r w:rsidR="00485E00">
        <w:t xml:space="preserve">red king crab </w:t>
      </w:r>
      <w:r w:rsidR="00196627">
        <w:t>population</w:t>
      </w:r>
      <w:r w:rsidR="00C403EE">
        <w:t>s</w:t>
      </w:r>
      <w:r w:rsidR="00196627">
        <w:t xml:space="preserve"> that can support a commercial fishery</w:t>
      </w:r>
      <w:r w:rsidR="005749A6">
        <w:t xml:space="preserve"> (</w:t>
      </w:r>
      <w:r w:rsidR="005749A6" w:rsidRPr="00DF6C0F">
        <w:t>Powell et al. 1983</w:t>
      </w:r>
      <w:r w:rsidR="005749A6">
        <w:t>)</w:t>
      </w:r>
      <w:r w:rsidR="00581F43">
        <w:t xml:space="preserve">. </w:t>
      </w:r>
      <w:r w:rsidR="00AB6D02">
        <w:t xml:space="preserve">It is distributed throughout Norton Sound </w:t>
      </w:r>
      <w:r w:rsidR="00C16323">
        <w:t xml:space="preserve">with </w:t>
      </w:r>
      <w:r w:rsidR="004F2FAA">
        <w:t xml:space="preserve">a </w:t>
      </w:r>
      <w:r w:rsidR="00AB6D02">
        <w:t>westward limit of 167-</w:t>
      </w:r>
      <w:r w:rsidR="00AB6D02" w:rsidRPr="00106323">
        <w:t>168</w:t>
      </w:r>
      <w:r w:rsidR="00AB6D02" w:rsidRPr="00D11755">
        <w:rPr>
          <w:vertAlign w:val="superscript"/>
        </w:rPr>
        <w:t>o</w:t>
      </w:r>
      <w:r w:rsidR="00AB6D02" w:rsidRPr="00106323">
        <w:t xml:space="preserve"> </w:t>
      </w:r>
      <w:r w:rsidR="004F2FAA" w:rsidRPr="00106323">
        <w:t>W.</w:t>
      </w:r>
      <w:r w:rsidR="00AB6D02" w:rsidRPr="00106323">
        <w:t xml:space="preserve"> longitude with depth</w:t>
      </w:r>
      <w:r w:rsidR="004F2FAA" w:rsidRPr="00106323">
        <w:t>s</w:t>
      </w:r>
      <w:r w:rsidR="00AB6D02" w:rsidRPr="00106323">
        <w:t xml:space="preserve"> less than 30 m and </w:t>
      </w:r>
      <w:r w:rsidR="006873A7" w:rsidRPr="00106323">
        <w:t xml:space="preserve">summer </w:t>
      </w:r>
      <w:r w:rsidR="00AB6D02" w:rsidRPr="00106323">
        <w:t>bottom temperature</w:t>
      </w:r>
      <w:r w:rsidR="004F2FAA" w:rsidRPr="00106323">
        <w:t>s</w:t>
      </w:r>
      <w:r w:rsidR="00D11755">
        <w:t xml:space="preserve"> above 4</w:t>
      </w:r>
      <w:r w:rsidR="00AB6D02" w:rsidRPr="00522ACB">
        <w:rPr>
          <w:vertAlign w:val="superscript"/>
        </w:rPr>
        <w:t>o</w:t>
      </w:r>
      <w:r w:rsidR="00AB6D02" w:rsidRPr="00106323">
        <w:t xml:space="preserve">C. </w:t>
      </w:r>
      <w:r w:rsidRPr="00106323">
        <w:t xml:space="preserve">The Norton Sound red king crab management area consists of two units: Norton Sound Section (Q3) </w:t>
      </w:r>
      <w:r w:rsidR="0058349E">
        <w:t>and Kotzebue Section (Q4) (Menard et al. 2011</w:t>
      </w:r>
      <w:r w:rsidRPr="00106323">
        <w:t>)</w:t>
      </w:r>
      <w:r w:rsidR="00581F43">
        <w:t xml:space="preserve">. </w:t>
      </w:r>
      <w:r w:rsidRPr="00106323">
        <w:t xml:space="preserve">The Norton Sound Section (Q3) consists of all waters in Registration Area Q north of the latitude of Cape </w:t>
      </w:r>
      <w:proofErr w:type="spellStart"/>
      <w:r w:rsidRPr="00106323">
        <w:t>Romanzof</w:t>
      </w:r>
      <w:proofErr w:type="spellEnd"/>
      <w:r w:rsidRPr="00106323">
        <w:t>, east of the International Dateline, and south of 66°N latitude (Figure 1)</w:t>
      </w:r>
      <w:r w:rsidR="00581F43">
        <w:t xml:space="preserve">. </w:t>
      </w:r>
      <w:r w:rsidRPr="00106323">
        <w:t>The Kotzebue Section (Q4) lies immediately north of the Norton Sound Section and includes Kotzebue Sound</w:t>
      </w:r>
      <w:r w:rsidR="00581F43">
        <w:t xml:space="preserve">. </w:t>
      </w:r>
      <w:r w:rsidRPr="00106323">
        <w:t>Commercial fisheries have not occurred regular</w:t>
      </w:r>
      <w:r w:rsidR="00222C6B">
        <w:t>ly in the Kotzebue Section. This</w:t>
      </w:r>
      <w:r w:rsidRPr="00106323">
        <w:t xml:space="preserve"> report deals with the Norton Sound Section of the Norton Sound red king crab management area. </w:t>
      </w:r>
    </w:p>
    <w:p w:rsidR="00106323" w:rsidRDefault="00106323" w:rsidP="000A03C9">
      <w:pPr>
        <w:numPr>
          <w:ilvl w:val="3"/>
          <w:numId w:val="11"/>
        </w:numPr>
        <w:spacing w:after="120"/>
        <w:ind w:left="360"/>
        <w:jc w:val="both"/>
      </w:pPr>
      <w:r>
        <w:t>Evidence of stock structure: Thus far, no studies have been made on possible stock separation within the putative stock known as Norton Sound red king crab</w:t>
      </w:r>
      <w:r w:rsidR="00581F43">
        <w:t xml:space="preserve">. </w:t>
      </w:r>
    </w:p>
    <w:p w:rsidR="00F731DF" w:rsidRDefault="00106323" w:rsidP="00316421">
      <w:pPr>
        <w:numPr>
          <w:ilvl w:val="3"/>
          <w:numId w:val="11"/>
        </w:numPr>
        <w:spacing w:after="120"/>
        <w:ind w:left="360"/>
      </w:pPr>
      <w:r>
        <w:t xml:space="preserve">Life history characteristics relevant to management: </w:t>
      </w:r>
      <w:r w:rsidR="00AB6D02">
        <w:t>One of the</w:t>
      </w:r>
      <w:r w:rsidR="00E31A95">
        <w:t xml:space="preserve"> unique life-history traits of </w:t>
      </w:r>
      <w:r w:rsidR="00AB6D02">
        <w:t xml:space="preserve">Norton Sound red king crab is that they spend </w:t>
      </w:r>
      <w:r w:rsidR="00C16323">
        <w:t xml:space="preserve">their </w:t>
      </w:r>
      <w:r w:rsidR="00AB6D02">
        <w:t xml:space="preserve">entire lives in shallow water </w:t>
      </w:r>
      <w:r w:rsidR="00C16323">
        <w:t>since</w:t>
      </w:r>
      <w:r w:rsidR="00AB6D02">
        <w:t xml:space="preserve"> Norton Sound is generally less than 40 m </w:t>
      </w:r>
      <w:r w:rsidR="00C16323">
        <w:t xml:space="preserve">in </w:t>
      </w:r>
      <w:r w:rsidR="00AB6D02">
        <w:t>depth</w:t>
      </w:r>
      <w:r w:rsidR="00581F43">
        <w:t xml:space="preserve">. </w:t>
      </w:r>
      <w:r w:rsidR="00AB6D02">
        <w:t>Distribution and migration patterns of Norton Sound red king crab ha</w:t>
      </w:r>
      <w:r w:rsidR="00485E00">
        <w:t>ve</w:t>
      </w:r>
      <w:r w:rsidR="00AB6D02">
        <w:t xml:space="preserve"> not been </w:t>
      </w:r>
      <w:r w:rsidR="00485E00">
        <w:t xml:space="preserve">well </w:t>
      </w:r>
      <w:r w:rsidR="00AB6D02">
        <w:t>studied</w:t>
      </w:r>
      <w:r w:rsidR="00581F43">
        <w:t>.</w:t>
      </w:r>
      <w:r w:rsidR="00957382">
        <w:t xml:space="preserve"> </w:t>
      </w:r>
      <w:r w:rsidR="00AB6D02">
        <w:t xml:space="preserve">Based on </w:t>
      </w:r>
      <w:r w:rsidR="004F2FAA">
        <w:t xml:space="preserve">the </w:t>
      </w:r>
      <w:r w:rsidR="00AB6D02">
        <w:t>1976-2006 trawl survey</w:t>
      </w:r>
      <w:r w:rsidR="00C16323">
        <w:t>s</w:t>
      </w:r>
      <w:r w:rsidR="00AB6D02">
        <w:t xml:space="preserve">, red king crab in Norton Sound are found in areas with </w:t>
      </w:r>
      <w:r w:rsidR="004F2FAA">
        <w:t xml:space="preserve">a </w:t>
      </w:r>
      <w:r w:rsidR="00AB6D02">
        <w:t>mean depth range of 19 ± 6 (SD) m and bottom temperature</w:t>
      </w:r>
      <w:r w:rsidR="004F2FAA">
        <w:t>s</w:t>
      </w:r>
      <w:r w:rsidR="00AB6D02">
        <w:t xml:space="preserve"> of 7.4 ± 2.5 (SD) </w:t>
      </w:r>
      <w:r w:rsidR="004F2FAA" w:rsidRPr="00522ACB">
        <w:rPr>
          <w:vertAlign w:val="superscript"/>
        </w:rPr>
        <w:t>o</w:t>
      </w:r>
      <w:r w:rsidR="005F65C1">
        <w:rPr>
          <w:vertAlign w:val="superscript"/>
        </w:rPr>
        <w:t xml:space="preserve"> </w:t>
      </w:r>
      <w:r w:rsidR="004F2FAA" w:rsidRPr="00106323">
        <w:t>C</w:t>
      </w:r>
      <w:r w:rsidR="004F2FAA">
        <w:t xml:space="preserve"> </w:t>
      </w:r>
      <w:r w:rsidR="00DE170D">
        <w:t xml:space="preserve">during </w:t>
      </w:r>
      <w:r w:rsidR="009E282F">
        <w:t xml:space="preserve">summer. Norton Sound red king crab </w:t>
      </w:r>
      <w:r w:rsidR="00AB6D02">
        <w:t>are consiste</w:t>
      </w:r>
      <w:r w:rsidR="009E282F">
        <w:t>ntly abundant offshore of Nome</w:t>
      </w:r>
      <w:r w:rsidR="00581F43">
        <w:t>.</w:t>
      </w:r>
      <w:r w:rsidR="00D80E0A">
        <w:t xml:space="preserve"> </w:t>
      </w:r>
    </w:p>
    <w:p w:rsidR="00DE170D" w:rsidRDefault="00A56E62" w:rsidP="0011770A">
      <w:pPr>
        <w:spacing w:after="120"/>
        <w:ind w:left="360"/>
        <w:jc w:val="both"/>
      </w:pPr>
      <w:r>
        <w:t xml:space="preserve">Norton Sound red king crab </w:t>
      </w:r>
      <w:r w:rsidR="00F731DF">
        <w:t>migrate</w:t>
      </w:r>
      <w:r w:rsidR="00AB6D02">
        <w:t xml:space="preserve"> between deeper offshore </w:t>
      </w:r>
      <w:r w:rsidR="00C16323">
        <w:t xml:space="preserve">waters </w:t>
      </w:r>
      <w:r w:rsidR="00AB6D02">
        <w:t>during molting/feeding and inshore shallow water</w:t>
      </w:r>
      <w:r w:rsidR="00C16323">
        <w:t>s</w:t>
      </w:r>
      <w:r w:rsidR="00AB6D02">
        <w:t xml:space="preserve"> during </w:t>
      </w:r>
      <w:r w:rsidR="00A92C81">
        <w:t xml:space="preserve">the </w:t>
      </w:r>
      <w:r w:rsidR="00AB6D02">
        <w:t>mating period</w:t>
      </w:r>
      <w:r w:rsidR="00581F43">
        <w:t xml:space="preserve">. </w:t>
      </w:r>
      <w:r w:rsidR="00AB6D02">
        <w:t xml:space="preserve">Timing of </w:t>
      </w:r>
      <w:r w:rsidR="00A92C81">
        <w:t xml:space="preserve">the </w:t>
      </w:r>
      <w:r w:rsidR="00AB6D02">
        <w:t>inshore mating migration is unknown</w:t>
      </w:r>
      <w:r w:rsidR="00222C6B">
        <w:t xml:space="preserve">; but is </w:t>
      </w:r>
      <w:r w:rsidR="00AB6D02">
        <w:t xml:space="preserve">assumed to </w:t>
      </w:r>
      <w:r w:rsidR="00222C6B">
        <w:t xml:space="preserve">be </w:t>
      </w:r>
      <w:r w:rsidR="00AB6D02">
        <w:t>during March-June</w:t>
      </w:r>
      <w:r w:rsidR="00581F43">
        <w:t xml:space="preserve">. </w:t>
      </w:r>
      <w:r w:rsidR="00AB6D02">
        <w:t xml:space="preserve">Offshore migration </w:t>
      </w:r>
      <w:r w:rsidR="005F65C1">
        <w:t xml:space="preserve">likely occurs </w:t>
      </w:r>
      <w:r w:rsidR="00AB6D02">
        <w:t>in May-July</w:t>
      </w:r>
      <w:r w:rsidR="00581F43">
        <w:t xml:space="preserve">. </w:t>
      </w:r>
      <w:r w:rsidR="00AE54C1">
        <w:t>T</w:t>
      </w:r>
      <w:r w:rsidR="00AB6D02">
        <w:t>rawl survey</w:t>
      </w:r>
      <w:r w:rsidR="00AE54C1">
        <w:t>s</w:t>
      </w:r>
      <w:r w:rsidR="00AB6D02">
        <w:t xml:space="preserve"> show that </w:t>
      </w:r>
      <w:r w:rsidR="00A92C81">
        <w:t xml:space="preserve">crab </w:t>
      </w:r>
      <w:r w:rsidR="00AB6D02">
        <w:t>distribution is dynamic</w:t>
      </w:r>
      <w:r w:rsidR="00581F43">
        <w:t xml:space="preserve">. </w:t>
      </w:r>
      <w:r w:rsidR="00430E7D">
        <w:t>R</w:t>
      </w:r>
      <w:r w:rsidR="00AB6D02">
        <w:t xml:space="preserve">ecent surveys show high abundance </w:t>
      </w:r>
      <w:r w:rsidR="00A92C81">
        <w:t>on</w:t>
      </w:r>
      <w:r w:rsidR="00AB6D02">
        <w:t xml:space="preserve"> </w:t>
      </w:r>
      <w:r w:rsidR="0030597E">
        <w:t xml:space="preserve">the </w:t>
      </w:r>
      <w:r w:rsidR="00AB6D02">
        <w:t xml:space="preserve">southeast side </w:t>
      </w:r>
      <w:r w:rsidR="00A92C81">
        <w:t xml:space="preserve">of the Sound, </w:t>
      </w:r>
      <w:r w:rsidR="00AB6D02">
        <w:t>offshore of Stebbins and Saint Michael</w:t>
      </w:r>
      <w:r w:rsidR="00581F43">
        <w:t xml:space="preserve">. </w:t>
      </w:r>
      <w:r w:rsidR="005F65C1">
        <w:t>There is limited information on the t</w:t>
      </w:r>
      <w:r w:rsidR="00DE170D">
        <w:t xml:space="preserve">iming of </w:t>
      </w:r>
      <w:r w:rsidR="005F65C1">
        <w:t xml:space="preserve">male </w:t>
      </w:r>
      <w:r w:rsidR="00DE170D">
        <w:t>molting</w:t>
      </w:r>
      <w:r w:rsidR="005F65C1">
        <w:t>, but at least some males likely molt</w:t>
      </w:r>
      <w:r w:rsidR="00DE170D">
        <w:t xml:space="preserve"> late August – September</w:t>
      </w:r>
      <w:r w:rsidR="005F65C1">
        <w:t xml:space="preserve"> </w:t>
      </w:r>
      <w:r w:rsidR="00DE170D">
        <w:t>based on increase</w:t>
      </w:r>
      <w:r w:rsidR="005F65C1">
        <w:t>d</w:t>
      </w:r>
      <w:r w:rsidR="00DE170D">
        <w:t xml:space="preserve"> catches of </w:t>
      </w:r>
      <w:r w:rsidR="005F65C1">
        <w:t>post-molt</w:t>
      </w:r>
      <w:r w:rsidR="00DE170D">
        <w:t xml:space="preserve"> crabs in </w:t>
      </w:r>
      <w:r w:rsidR="005F65C1">
        <w:t>the fishery</w:t>
      </w:r>
      <w:r w:rsidR="00DE170D">
        <w:t xml:space="preserve">. </w:t>
      </w:r>
    </w:p>
    <w:p w:rsidR="00A169F1" w:rsidRDefault="00106323" w:rsidP="000A03C9">
      <w:pPr>
        <w:numPr>
          <w:ilvl w:val="3"/>
          <w:numId w:val="11"/>
        </w:numPr>
        <w:spacing w:after="120"/>
        <w:ind w:left="360"/>
        <w:jc w:val="both"/>
      </w:pPr>
      <w:r>
        <w:t>Brief management history: Nor</w:t>
      </w:r>
      <w:r w:rsidR="00F35781">
        <w:t>ton Sound red king crab fisheries consist of commercial and subsistence fisheries</w:t>
      </w:r>
      <w:r w:rsidR="00581F43">
        <w:t xml:space="preserve">. </w:t>
      </w:r>
      <w:r w:rsidR="00476A58">
        <w:t>The c</w:t>
      </w:r>
      <w:r w:rsidR="00851306">
        <w:t>ommercial red king crab fishery started in 197</w:t>
      </w:r>
      <w:r w:rsidR="0003367F">
        <w:t>7</w:t>
      </w:r>
      <w:r w:rsidR="00F35781">
        <w:t xml:space="preserve"> </w:t>
      </w:r>
      <w:r w:rsidR="00476A58">
        <w:t>and occurs</w:t>
      </w:r>
      <w:r w:rsidR="00957382">
        <w:t xml:space="preserve"> </w:t>
      </w:r>
      <w:r w:rsidR="00F35781">
        <w:t>in summer (Ju</w:t>
      </w:r>
      <w:r w:rsidR="00A96FE9">
        <w:t>ne</w:t>
      </w:r>
      <w:r w:rsidR="00F35781">
        <w:t xml:space="preserve"> – August) </w:t>
      </w:r>
      <w:r w:rsidR="00851306">
        <w:t xml:space="preserve">and </w:t>
      </w:r>
      <w:r w:rsidR="00F35781">
        <w:t>in winter (December – Ma</w:t>
      </w:r>
      <w:r w:rsidR="00A96FE9">
        <w:t>y</w:t>
      </w:r>
      <w:r w:rsidR="00F35781">
        <w:t>)</w:t>
      </w:r>
      <w:r w:rsidR="00FB2A8F">
        <w:t xml:space="preserve"> (</w:t>
      </w:r>
      <w:r w:rsidR="00716E4B">
        <w:t>Menard</w:t>
      </w:r>
      <w:r w:rsidR="0023404D">
        <w:t xml:space="preserve"> et al. 2011</w:t>
      </w:r>
      <w:r w:rsidR="00FB2A8F" w:rsidRPr="00106323">
        <w:t>)</w:t>
      </w:r>
      <w:r w:rsidR="00581F43">
        <w:t xml:space="preserve">. </w:t>
      </w:r>
      <w:r w:rsidR="00A169F1">
        <w:t>Th</w:t>
      </w:r>
      <w:r w:rsidR="00716E4B">
        <w:t>e majority of red king crab</w:t>
      </w:r>
      <w:r w:rsidR="00A169F1">
        <w:t xml:space="preserve"> are harvested by the summer commercial fisheries, whereas the majority of the winter </w:t>
      </w:r>
      <w:r w:rsidR="005A1172">
        <w:t>harvest is in the</w:t>
      </w:r>
      <w:r w:rsidR="00A169F1">
        <w:t xml:space="preserve"> subsistence fishe</w:t>
      </w:r>
      <w:r w:rsidR="00716E4B">
        <w:t xml:space="preserve">ry occurring near </w:t>
      </w:r>
      <w:r w:rsidR="005A1172">
        <w:t xml:space="preserve">the </w:t>
      </w:r>
      <w:r w:rsidR="00716E4B">
        <w:t xml:space="preserve">coast (Table </w:t>
      </w:r>
      <w:r w:rsidR="005A1172">
        <w:t>2</w:t>
      </w:r>
      <w:r w:rsidR="00A169F1">
        <w:t>)</w:t>
      </w:r>
      <w:r w:rsidR="00581F43">
        <w:t xml:space="preserve">. </w:t>
      </w:r>
    </w:p>
    <w:p w:rsidR="00BC001C" w:rsidRDefault="00BC001C" w:rsidP="00F731DF">
      <w:pPr>
        <w:spacing w:after="120"/>
        <w:jc w:val="both"/>
      </w:pPr>
    </w:p>
    <w:p w:rsidR="008A3D25" w:rsidRPr="00106323" w:rsidRDefault="008A3D25" w:rsidP="00106323">
      <w:pPr>
        <w:spacing w:after="120"/>
        <w:ind w:left="360"/>
        <w:jc w:val="both"/>
        <w:rPr>
          <w:u w:val="single"/>
        </w:rPr>
      </w:pPr>
      <w:r w:rsidRPr="00106323">
        <w:rPr>
          <w:u w:val="single"/>
        </w:rPr>
        <w:t>Summer Commercial Fishery</w:t>
      </w:r>
    </w:p>
    <w:p w:rsidR="00342C9D" w:rsidRDefault="00342C9D" w:rsidP="00342C9D">
      <w:pPr>
        <w:spacing w:after="120"/>
        <w:ind w:left="360"/>
        <w:jc w:val="both"/>
        <w:rPr>
          <w:color w:val="000000" w:themeColor="text1"/>
        </w:rPr>
      </w:pPr>
      <w:r>
        <w:t>Summer commercial crab fishery started in 1977</w:t>
      </w:r>
      <w:r w:rsidR="003E4414">
        <w:t xml:space="preserve"> (Table 1)</w:t>
      </w:r>
      <w:r w:rsidR="00581F43">
        <w:t>.</w:t>
      </w:r>
      <w:r>
        <w:t xml:space="preserve"> </w:t>
      </w:r>
      <w:r w:rsidR="008A3D25">
        <w:t>A large-vessel summer commercial crab fishery existed in the Norton Sound Section from 1977 through 1990</w:t>
      </w:r>
      <w:r w:rsidR="00581F43">
        <w:t xml:space="preserve">. </w:t>
      </w:r>
      <w:r w:rsidR="008A3D25">
        <w:t xml:space="preserve">No summer commercial fishery occurred in 1991 because </w:t>
      </w:r>
      <w:r w:rsidR="00476A58">
        <w:t xml:space="preserve">there was no </w:t>
      </w:r>
      <w:r w:rsidR="008A3D25">
        <w:t>staff to manage the fishery</w:t>
      </w:r>
      <w:r w:rsidR="00581F43">
        <w:t>.</w:t>
      </w:r>
      <w:r w:rsidR="00957382">
        <w:t xml:space="preserve"> </w:t>
      </w:r>
      <w:r w:rsidR="008A3D25">
        <w:t xml:space="preserve">In March 1993, </w:t>
      </w:r>
      <w:r w:rsidR="00476A58">
        <w:t xml:space="preserve">the Alaska </w:t>
      </w:r>
      <w:r w:rsidR="008A3D25">
        <w:t xml:space="preserve">Board of Fisheries </w:t>
      </w:r>
      <w:r w:rsidR="006E1A41">
        <w:t xml:space="preserve">(BOF) </w:t>
      </w:r>
      <w:r w:rsidR="00281FF9">
        <w:t>limited</w:t>
      </w:r>
      <w:r w:rsidR="008A3D25">
        <w:t xml:space="preserve"> participation </w:t>
      </w:r>
      <w:r w:rsidR="00281FF9">
        <w:t>in</w:t>
      </w:r>
      <w:r w:rsidR="008A3D25">
        <w:t xml:space="preserve"> the fishery to small boats</w:t>
      </w:r>
      <w:r w:rsidR="00581F43">
        <w:t xml:space="preserve">. </w:t>
      </w:r>
      <w:r w:rsidR="00476A58">
        <w:t>Then o</w:t>
      </w:r>
      <w:r w:rsidR="008A3D25">
        <w:t>n June 27, 1994, a super-exclusive designation went into effect for the fishery</w:t>
      </w:r>
      <w:r w:rsidR="00581F43">
        <w:t>.</w:t>
      </w:r>
      <w:r w:rsidR="00957382">
        <w:t xml:space="preserve"> </w:t>
      </w:r>
      <w:r w:rsidR="008A3D25">
        <w:t xml:space="preserve">This designation stated </w:t>
      </w:r>
      <w:r w:rsidR="00476A58">
        <w:t xml:space="preserve">that </w:t>
      </w:r>
      <w:r w:rsidR="008A3D25">
        <w:t>a vessel registered for the Norton Sound crab fishery may not be used to take king crab</w:t>
      </w:r>
      <w:r w:rsidR="00AE54C1">
        <w:t>s</w:t>
      </w:r>
      <w:r w:rsidR="008A3D25">
        <w:t xml:space="preserve"> in any other registration area</w:t>
      </w:r>
      <w:r w:rsidR="00AE54C1">
        <w:t>s</w:t>
      </w:r>
      <w:r w:rsidR="008A3D25">
        <w:t xml:space="preserve"> during that registration year</w:t>
      </w:r>
      <w:r w:rsidR="00581F43">
        <w:t xml:space="preserve">. </w:t>
      </w:r>
      <w:r w:rsidR="008A3D25">
        <w:t xml:space="preserve">A vessel moratorium </w:t>
      </w:r>
      <w:r w:rsidR="00281FF9">
        <w:t xml:space="preserve">was </w:t>
      </w:r>
      <w:r w:rsidR="008A3D25">
        <w:t>put into place before the 1996 season</w:t>
      </w:r>
      <w:r w:rsidR="00581F43">
        <w:t xml:space="preserve">. </w:t>
      </w:r>
      <w:r w:rsidR="008A3D25">
        <w:t>This was intended to precede a license limitation program</w:t>
      </w:r>
      <w:r w:rsidR="00581F43">
        <w:t>.</w:t>
      </w:r>
      <w:r w:rsidR="00957382">
        <w:t xml:space="preserve"> </w:t>
      </w:r>
      <w:r w:rsidR="008A3D25">
        <w:t>In 1998</w:t>
      </w:r>
      <w:r w:rsidR="00476A58">
        <w:t>,</w:t>
      </w:r>
      <w:r w:rsidR="008A3D25">
        <w:t xml:space="preserve"> Community Development Quota </w:t>
      </w:r>
      <w:r w:rsidR="008A3D25">
        <w:lastRenderedPageBreak/>
        <w:t xml:space="preserve">(CDQ) groups were allocated a portion of the summer harvest; however, no </w:t>
      </w:r>
      <w:r w:rsidR="006873A7">
        <w:t xml:space="preserve">CDQ </w:t>
      </w:r>
      <w:r w:rsidR="008A3D25">
        <w:t xml:space="preserve">harvest occurred until the 2000 season. </w:t>
      </w:r>
      <w:r w:rsidR="009D4672">
        <w:t>On January 1, 2000 t</w:t>
      </w:r>
      <w:r w:rsidR="008A3D25">
        <w:t>he North Pacific License Limitation Program (LLP) went into effect for the Norton Sound crab fishery</w:t>
      </w:r>
      <w:r w:rsidR="00581F43">
        <w:t xml:space="preserve">. </w:t>
      </w:r>
      <w:r w:rsidR="008A3D25">
        <w:t xml:space="preserve">The program </w:t>
      </w:r>
      <w:r w:rsidR="00957382">
        <w:t xml:space="preserve">dictates that </w:t>
      </w:r>
      <w:r w:rsidR="008A3D25">
        <w:t>a vessel which exceeds 32 feet in length overall must hold a valid crab license issued under the LLP by the National Marine Fisheries Service</w:t>
      </w:r>
      <w:r w:rsidR="00581F43">
        <w:t xml:space="preserve">. </w:t>
      </w:r>
      <w:r w:rsidR="008A3D25">
        <w:t>Regulation changes and location of buyers resulted in harvest distribution moving east</w:t>
      </w:r>
      <w:r w:rsidR="00EA61F8">
        <w:t>ward in Norton Sound in the mid-</w:t>
      </w:r>
      <w:r w:rsidR="008A3D25">
        <w:t>1990s</w:t>
      </w:r>
      <w:r w:rsidR="00581F43">
        <w:t xml:space="preserve">. </w:t>
      </w:r>
      <w:r w:rsidR="00FB311A">
        <w:t xml:space="preserve">In the Norton Sound, </w:t>
      </w:r>
      <w:r w:rsidR="005A1172">
        <w:t xml:space="preserve">a </w:t>
      </w:r>
      <w:r w:rsidR="00FB311A">
        <w:t>legal crab is defined as ≥ 4-3/4 inch carapac</w:t>
      </w:r>
      <w:r w:rsidR="00ED595F">
        <w:t>e width (Menard et al. 2011)</w:t>
      </w:r>
      <w:r w:rsidR="00581F43">
        <w:t xml:space="preserve">. </w:t>
      </w:r>
      <w:r w:rsidR="00716E4B">
        <w:t xml:space="preserve">Since 2005, </w:t>
      </w:r>
      <w:r w:rsidR="00FB311A" w:rsidRPr="00F13935">
        <w:rPr>
          <w:color w:val="000000" w:themeColor="text1"/>
        </w:rPr>
        <w:t xml:space="preserve">commercial buyers started accepting only legal crabs of ≥ </w:t>
      </w:r>
      <w:r w:rsidR="00716E4B" w:rsidRPr="00F13935">
        <w:rPr>
          <w:color w:val="000000" w:themeColor="text1"/>
        </w:rPr>
        <w:t>5 inch carapace</w:t>
      </w:r>
      <w:r w:rsidR="00581F43">
        <w:rPr>
          <w:color w:val="000000" w:themeColor="text1"/>
        </w:rPr>
        <w:t>.</w:t>
      </w:r>
      <w:r>
        <w:rPr>
          <w:color w:val="000000" w:themeColor="text1"/>
        </w:rPr>
        <w:t xml:space="preserve"> </w:t>
      </w:r>
    </w:p>
    <w:p w:rsidR="006963FC" w:rsidRDefault="00342C9D" w:rsidP="00A56E62">
      <w:pPr>
        <w:spacing w:after="120"/>
        <w:ind w:left="360"/>
        <w:jc w:val="both"/>
      </w:pPr>
      <w:r>
        <w:rPr>
          <w:color w:val="000000" w:themeColor="text1"/>
        </w:rPr>
        <w:t>Not all Norton Sound area is open for commercial fisheries</w:t>
      </w:r>
      <w:r w:rsidR="00581F43">
        <w:rPr>
          <w:color w:val="000000" w:themeColor="text1"/>
        </w:rPr>
        <w:t xml:space="preserve">. </w:t>
      </w:r>
      <w:r>
        <w:rPr>
          <w:color w:val="000000" w:themeColor="text1"/>
        </w:rPr>
        <w:t xml:space="preserve">Since </w:t>
      </w:r>
      <w:r w:rsidR="005E142A">
        <w:rPr>
          <w:color w:val="000000" w:themeColor="text1"/>
        </w:rPr>
        <w:t>the</w:t>
      </w:r>
      <w:r>
        <w:rPr>
          <w:color w:val="000000" w:themeColor="text1"/>
        </w:rPr>
        <w:t xml:space="preserve"> beginning of the commercial fisheries in 1977, </w:t>
      </w:r>
      <w:proofErr w:type="spellStart"/>
      <w:r w:rsidR="005E142A">
        <w:rPr>
          <w:color w:val="000000" w:themeColor="text1"/>
        </w:rPr>
        <w:t>nearshore</w:t>
      </w:r>
      <w:proofErr w:type="spellEnd"/>
      <w:r w:rsidR="005E142A">
        <w:rPr>
          <w:color w:val="000000" w:themeColor="text1"/>
        </w:rPr>
        <w:t xml:space="preserve"> areas </w:t>
      </w:r>
      <w:r>
        <w:rPr>
          <w:color w:val="000000" w:themeColor="text1"/>
        </w:rPr>
        <w:t xml:space="preserve">near Nome area </w:t>
      </w:r>
      <w:r w:rsidR="005E142A">
        <w:rPr>
          <w:color w:val="000000" w:themeColor="text1"/>
        </w:rPr>
        <w:t>have been</w:t>
      </w:r>
      <w:r>
        <w:rPr>
          <w:color w:val="000000" w:themeColor="text1"/>
        </w:rPr>
        <w:t xml:space="preserve"> closed </w:t>
      </w:r>
      <w:r w:rsidR="005E142A">
        <w:rPr>
          <w:color w:val="000000" w:themeColor="text1"/>
        </w:rPr>
        <w:t xml:space="preserve">during the </w:t>
      </w:r>
      <w:r>
        <w:rPr>
          <w:color w:val="000000" w:themeColor="text1"/>
        </w:rPr>
        <w:t xml:space="preserve">summer commercial crab fishery, possibly to protect crab nursery grounds </w:t>
      </w:r>
      <w:r>
        <w:t>(Figure 2)</w:t>
      </w:r>
      <w:r w:rsidR="00581F43">
        <w:t xml:space="preserve">. </w:t>
      </w:r>
      <w:r w:rsidR="005E142A">
        <w:t>The spatial e</w:t>
      </w:r>
      <w:r>
        <w:t xml:space="preserve">xtent of closed </w:t>
      </w:r>
      <w:r w:rsidR="005E142A">
        <w:t>area has varied through time</w:t>
      </w:r>
      <w:r w:rsidR="00581F43">
        <w:t xml:space="preserve">. </w:t>
      </w:r>
    </w:p>
    <w:p w:rsidR="00A169F1" w:rsidRDefault="00A169F1" w:rsidP="008264B6">
      <w:pPr>
        <w:spacing w:after="120"/>
        <w:ind w:left="360"/>
        <w:jc w:val="both"/>
        <w:rPr>
          <w:u w:val="single"/>
        </w:rPr>
      </w:pPr>
      <w:bookmarkStart w:id="0" w:name="_Toc134857400"/>
    </w:p>
    <w:p w:rsidR="0004057D" w:rsidRPr="00C350C4" w:rsidRDefault="0004057D" w:rsidP="00C350C4">
      <w:pPr>
        <w:spacing w:after="120"/>
        <w:ind w:left="360"/>
        <w:jc w:val="both"/>
        <w:rPr>
          <w:u w:val="single"/>
        </w:rPr>
      </w:pPr>
      <w:r w:rsidRPr="00C350C4">
        <w:rPr>
          <w:u w:val="single"/>
        </w:rPr>
        <w:t>CDQ Fishery</w:t>
      </w:r>
      <w:bookmarkEnd w:id="0"/>
    </w:p>
    <w:p w:rsidR="0004057D" w:rsidRPr="00456662" w:rsidRDefault="0004057D" w:rsidP="00C350C4">
      <w:pPr>
        <w:spacing w:after="120"/>
        <w:ind w:left="360"/>
        <w:jc w:val="both"/>
      </w:pPr>
      <w:r>
        <w:t>The Norton Sound and Lower Yukon CDQ groups divide the CDQ allocation</w:t>
      </w:r>
      <w:r w:rsidR="00581F43">
        <w:t>.</w:t>
      </w:r>
      <w:r>
        <w:t xml:space="preserve"> Only fishers designated by the Norton Sound and Lower Yukon CDQ groups are allowed to participate in this portion of the king crab fishery</w:t>
      </w:r>
      <w:r w:rsidR="00581F43">
        <w:t xml:space="preserve">. </w:t>
      </w:r>
      <w:r>
        <w:t xml:space="preserve">Fishers </w:t>
      </w:r>
      <w:r w:rsidR="006E1A41">
        <w:t>are</w:t>
      </w:r>
      <w:r>
        <w:t xml:space="preserve"> required to have a CDQ fishing permit from the Commercial Fisheries Entry Commission (CFEC) and register their vessel with </w:t>
      </w:r>
      <w:r w:rsidR="006873A7">
        <w:t xml:space="preserve">the </w:t>
      </w:r>
      <w:r>
        <w:t>A</w:t>
      </w:r>
      <w:r w:rsidR="00FB27D5">
        <w:t>laska Department of Fish and Game (A</w:t>
      </w:r>
      <w:r>
        <w:t>DF&amp;G</w:t>
      </w:r>
      <w:r w:rsidR="00FB27D5">
        <w:t>)</w:t>
      </w:r>
      <w:r>
        <w:t xml:space="preserve"> before they ma</w:t>
      </w:r>
      <w:r w:rsidR="006E1A41">
        <w:t>k</w:t>
      </w:r>
      <w:r>
        <w:t>e their first delivery</w:t>
      </w:r>
      <w:r w:rsidR="00581F43">
        <w:t xml:space="preserve">. </w:t>
      </w:r>
      <w:r>
        <w:t>Fishers operate under authority of the CDQ group and each CDQ group decide</w:t>
      </w:r>
      <w:r w:rsidR="00FB27D5">
        <w:t>s</w:t>
      </w:r>
      <w:r>
        <w:t xml:space="preserve"> how their crab quota </w:t>
      </w:r>
      <w:r w:rsidR="006E1A41">
        <w:t>is to be</w:t>
      </w:r>
      <w:r>
        <w:t xml:space="preserve"> harvested</w:t>
      </w:r>
      <w:r w:rsidR="00581F43">
        <w:t xml:space="preserve">. </w:t>
      </w:r>
      <w:r w:rsidRPr="00106323">
        <w:t xml:space="preserve">During the March 2002 </w:t>
      </w:r>
      <w:r w:rsidR="003836CC" w:rsidRPr="00106323">
        <w:t xml:space="preserve">BOF </w:t>
      </w:r>
      <w:r w:rsidRPr="00106323">
        <w:t>meeting, new regulations were adopted that affect</w:t>
      </w:r>
      <w:r w:rsidR="006873A7" w:rsidRPr="00106323">
        <w:t>ed</w:t>
      </w:r>
      <w:r w:rsidRPr="00106323">
        <w:t xml:space="preserve"> the CDQ crab fishery and relaxed closed-water boundaries in eastern Norton Sound and waters west of Sledge Island</w:t>
      </w:r>
      <w:r w:rsidR="00581F43">
        <w:t xml:space="preserve">. </w:t>
      </w:r>
      <w:r w:rsidR="00EA61F8">
        <w:t>At its March 2008</w:t>
      </w:r>
      <w:r w:rsidR="00E058C9" w:rsidRPr="00106323">
        <w:t xml:space="preserve">, </w:t>
      </w:r>
      <w:r w:rsidR="006873A7" w:rsidRPr="00106323">
        <w:t xml:space="preserve">the </w:t>
      </w:r>
      <w:r w:rsidR="00E058C9" w:rsidRPr="00106323">
        <w:t>BOF changed the start date of the Norton Sound open-access portion of the fishery to be opened by emergency order and as early as June 15</w:t>
      </w:r>
      <w:r w:rsidR="00581F43">
        <w:t xml:space="preserve">. </w:t>
      </w:r>
      <w:r w:rsidR="00E058C9" w:rsidRPr="00456662">
        <w:t>The CDQ fishery may open at any time</w:t>
      </w:r>
      <w:r w:rsidR="00EA61F8" w:rsidRPr="00456662">
        <w:t xml:space="preserve"> (as soon as ice is out)</w:t>
      </w:r>
      <w:r w:rsidR="00E058C9" w:rsidRPr="00456662">
        <w:t>,</w:t>
      </w:r>
      <w:r w:rsidR="00FE1F27" w:rsidRPr="00456662">
        <w:t xml:space="preserve"> by emergency order</w:t>
      </w:r>
      <w:r w:rsidR="00581F43">
        <w:t xml:space="preserve">. </w:t>
      </w:r>
      <w:r w:rsidR="00B86CB3" w:rsidRPr="00456662">
        <w:t>It is possible that the fishery starts BEFORE determination of OFL and ABC</w:t>
      </w:r>
      <w:r w:rsidR="00581F43">
        <w:t>.</w:t>
      </w:r>
      <w:r w:rsidR="00EA61F8" w:rsidRPr="00456662">
        <w:t xml:space="preserve">  </w:t>
      </w:r>
    </w:p>
    <w:p w:rsidR="00A169F1" w:rsidRPr="00456662" w:rsidRDefault="00A169F1" w:rsidP="00C350C4">
      <w:pPr>
        <w:spacing w:after="120"/>
        <w:ind w:left="360"/>
        <w:jc w:val="both"/>
      </w:pPr>
    </w:p>
    <w:p w:rsidR="00B26E9C" w:rsidRPr="00C350C4" w:rsidRDefault="00B26E9C" w:rsidP="00C350C4">
      <w:pPr>
        <w:spacing w:after="120"/>
        <w:ind w:left="360"/>
        <w:jc w:val="both"/>
        <w:rPr>
          <w:u w:val="single"/>
        </w:rPr>
      </w:pPr>
      <w:bookmarkStart w:id="1" w:name="_Toc134857402"/>
      <w:r w:rsidRPr="00C350C4">
        <w:rPr>
          <w:u w:val="single"/>
        </w:rPr>
        <w:t>Winter Commercial Fishery</w:t>
      </w:r>
      <w:r w:rsidR="00355F45" w:rsidRPr="00C350C4">
        <w:rPr>
          <w:u w:val="single"/>
        </w:rPr>
        <w:t xml:space="preserve"> </w:t>
      </w:r>
    </w:p>
    <w:p w:rsidR="00B26E9C" w:rsidRDefault="004E1A51" w:rsidP="009B081C">
      <w:pPr>
        <w:spacing w:after="120"/>
        <w:ind w:left="360"/>
        <w:jc w:val="both"/>
      </w:pPr>
      <w:r>
        <w:t>W</w:t>
      </w:r>
      <w:r w:rsidR="00355F45" w:rsidRPr="00106323">
        <w:t xml:space="preserve">inter commercial </w:t>
      </w:r>
      <w:r>
        <w:t xml:space="preserve">crab </w:t>
      </w:r>
      <w:r w:rsidR="00355F45" w:rsidRPr="00106323">
        <w:t xml:space="preserve">fishery is a small fishery </w:t>
      </w:r>
      <w:r w:rsidR="00C56F28" w:rsidRPr="00106323">
        <w:t xml:space="preserve">using hand lines and pots through the </w:t>
      </w:r>
      <w:proofErr w:type="spellStart"/>
      <w:r w:rsidR="00C56F28" w:rsidRPr="00106323">
        <w:t>nearshore</w:t>
      </w:r>
      <w:proofErr w:type="spellEnd"/>
      <w:r w:rsidR="00C56F28" w:rsidRPr="00106323">
        <w:t xml:space="preserve"> ice</w:t>
      </w:r>
      <w:r w:rsidR="00C56F28">
        <w:t>. A</w:t>
      </w:r>
      <w:r w:rsidR="00FE1F27" w:rsidRPr="00106323">
        <w:t xml:space="preserve">pproximately 10 </w:t>
      </w:r>
      <w:r w:rsidR="00114632">
        <w:t xml:space="preserve">permit holders participated </w:t>
      </w:r>
      <w:r w:rsidR="00C56F28">
        <w:t xml:space="preserve">in this fishery </w:t>
      </w:r>
      <w:r w:rsidR="00355F45" w:rsidRPr="00106323">
        <w:t>harvesting</w:t>
      </w:r>
      <w:r w:rsidR="00114632">
        <w:t>, on average</w:t>
      </w:r>
      <w:r w:rsidR="008968CA">
        <w:t>,</w:t>
      </w:r>
      <w:r w:rsidR="00355F45" w:rsidRPr="00106323">
        <w:t xml:space="preserve"> 2,</w:t>
      </w:r>
      <w:r w:rsidR="00A95E50">
        <w:t>5</w:t>
      </w:r>
      <w:r w:rsidR="00355F45" w:rsidRPr="00106323">
        <w:t xml:space="preserve">00 crabs </w:t>
      </w:r>
      <w:r w:rsidR="0082272C" w:rsidRPr="00106323">
        <w:t xml:space="preserve">during </w:t>
      </w:r>
      <w:r w:rsidR="00355F45" w:rsidRPr="00106323">
        <w:t>1978-200</w:t>
      </w:r>
      <w:r w:rsidR="00A95E50">
        <w:t>9</w:t>
      </w:r>
      <w:r w:rsidR="0095456A">
        <w:t xml:space="preserve"> (Table 2)</w:t>
      </w:r>
      <w:r w:rsidR="008968CA">
        <w:t>. During</w:t>
      </w:r>
      <w:r w:rsidR="008968CA" w:rsidDel="008968CA">
        <w:t xml:space="preserve"> </w:t>
      </w:r>
      <w:r w:rsidR="009B081C">
        <w:t>2006-2013 the winter commercial catch incr</w:t>
      </w:r>
      <w:r w:rsidR="003E4414">
        <w:t>eased to 3,000 – 23,000</w:t>
      </w:r>
      <w:r w:rsidR="008D23E8" w:rsidRPr="00106323">
        <w:t>.</w:t>
      </w:r>
      <w:r w:rsidR="00E279B6">
        <w:t xml:space="preserve"> The winter commercial</w:t>
      </w:r>
      <w:r w:rsidR="00E279B6" w:rsidRPr="00106323">
        <w:t xml:space="preserve"> fishery catch is influenced not only by crab abundance, but also by changes in </w:t>
      </w:r>
      <w:proofErr w:type="spellStart"/>
      <w:r w:rsidR="00E279B6">
        <w:t>nearshore</w:t>
      </w:r>
      <w:proofErr w:type="spellEnd"/>
      <w:r w:rsidR="00E279B6">
        <w:t xml:space="preserve"> crab </w:t>
      </w:r>
      <w:r w:rsidR="00E279B6" w:rsidRPr="00106323">
        <w:t xml:space="preserve">distribution, </w:t>
      </w:r>
      <w:r w:rsidR="0095456A">
        <w:t>sea</w:t>
      </w:r>
      <w:r w:rsidR="00E279B6" w:rsidRPr="00106323">
        <w:t xml:space="preserve"> ice conditions</w:t>
      </w:r>
      <w:r w:rsidR="009B081C">
        <w:t>, number of participants, and market condition</w:t>
      </w:r>
      <w:r w:rsidR="00E279B6">
        <w:t xml:space="preserve">. </w:t>
      </w:r>
    </w:p>
    <w:p w:rsidR="00A169F1" w:rsidRPr="00106323" w:rsidRDefault="00A169F1" w:rsidP="00C350C4">
      <w:pPr>
        <w:spacing w:after="120"/>
        <w:ind w:left="360"/>
        <w:jc w:val="both"/>
      </w:pPr>
    </w:p>
    <w:p w:rsidR="004E1A51" w:rsidRPr="004E1A51" w:rsidRDefault="0004057D" w:rsidP="004E1A51">
      <w:pPr>
        <w:spacing w:after="120"/>
        <w:ind w:left="360"/>
        <w:jc w:val="both"/>
        <w:rPr>
          <w:u w:val="single"/>
        </w:rPr>
      </w:pPr>
      <w:r w:rsidRPr="00C350C4">
        <w:rPr>
          <w:u w:val="single"/>
        </w:rPr>
        <w:t>Subsistence Fishery</w:t>
      </w:r>
      <w:bookmarkEnd w:id="1"/>
    </w:p>
    <w:p w:rsidR="009B081C" w:rsidRDefault="0095456A" w:rsidP="00927DAA">
      <w:pPr>
        <w:spacing w:after="120"/>
        <w:ind w:left="360"/>
        <w:jc w:val="both"/>
      </w:pPr>
      <w:r>
        <w:t>H</w:t>
      </w:r>
      <w:r w:rsidR="004E1A51">
        <w:t xml:space="preserve">arvest </w:t>
      </w:r>
      <w:r>
        <w:t>statistics are</w:t>
      </w:r>
      <w:r w:rsidR="004E1A51">
        <w:t xml:space="preserve"> available </w:t>
      </w:r>
      <w:r>
        <w:t>for the winter subsistence fishery</w:t>
      </w:r>
      <w:r w:rsidR="004E1A51">
        <w:t xml:space="preserve"> since 1977/78 </w:t>
      </w:r>
      <w:r w:rsidR="004D797B">
        <w:t>(Table 2)</w:t>
      </w:r>
      <w:r w:rsidR="00581F43">
        <w:t xml:space="preserve">. </w:t>
      </w:r>
      <w:r w:rsidR="004E1A51">
        <w:t xml:space="preserve">The majority of </w:t>
      </w:r>
      <w:r>
        <w:t>harvest</w:t>
      </w:r>
      <w:r w:rsidR="0004057D" w:rsidRPr="00106323">
        <w:t xml:space="preserve"> </w:t>
      </w:r>
      <w:r w:rsidR="00D3475A" w:rsidRPr="00106323">
        <w:t xml:space="preserve">occurs during winter using </w:t>
      </w:r>
      <w:r w:rsidR="0004057D" w:rsidRPr="00106323">
        <w:t>hand lines and pots</w:t>
      </w:r>
      <w:r w:rsidR="00B26E9C" w:rsidRPr="00106323">
        <w:t xml:space="preserve"> </w:t>
      </w:r>
      <w:r w:rsidR="00123392" w:rsidRPr="00106323">
        <w:t>through the</w:t>
      </w:r>
      <w:r w:rsidR="00B26E9C" w:rsidRPr="00106323">
        <w:t xml:space="preserve"> </w:t>
      </w:r>
      <w:proofErr w:type="spellStart"/>
      <w:r w:rsidR="00B26E9C" w:rsidRPr="00106323">
        <w:t>nearshore</w:t>
      </w:r>
      <w:proofErr w:type="spellEnd"/>
      <w:r w:rsidR="00B26E9C" w:rsidRPr="00106323">
        <w:t xml:space="preserve"> ice</w:t>
      </w:r>
      <w:r w:rsidR="00581F43">
        <w:t xml:space="preserve">. </w:t>
      </w:r>
      <w:r w:rsidR="004D797B">
        <w:t>A</w:t>
      </w:r>
      <w:r w:rsidR="00355F45" w:rsidRPr="00106323">
        <w:t>ver</w:t>
      </w:r>
      <w:r w:rsidR="00114632">
        <w:t xml:space="preserve">age annual </w:t>
      </w:r>
      <w:r w:rsidR="004E1A51">
        <w:t xml:space="preserve">winter </w:t>
      </w:r>
      <w:r w:rsidR="00114632">
        <w:t>subsistence harvest wa</w:t>
      </w:r>
      <w:r w:rsidR="004E1A51">
        <w:t>s 5,4</w:t>
      </w:r>
      <w:r w:rsidR="00355F45" w:rsidRPr="00106323">
        <w:t xml:space="preserve">00 </w:t>
      </w:r>
      <w:r w:rsidR="00A044B0" w:rsidRPr="00106323">
        <w:t xml:space="preserve">crabs </w:t>
      </w:r>
      <w:r w:rsidR="004E1A51">
        <w:t>(1977-2010</w:t>
      </w:r>
      <w:r w:rsidR="00355F45" w:rsidRPr="00106323">
        <w:t xml:space="preserve">). </w:t>
      </w:r>
      <w:r w:rsidR="00114632">
        <w:t>Subsistence harvest</w:t>
      </w:r>
      <w:r w:rsidR="005A1172">
        <w:t>ers</w:t>
      </w:r>
      <w:r w:rsidR="00D3475A" w:rsidRPr="00106323">
        <w:t xml:space="preserve"> </w:t>
      </w:r>
      <w:r w:rsidR="004D797B">
        <w:t>are required to</w:t>
      </w:r>
      <w:r w:rsidR="00D3475A" w:rsidRPr="00106323">
        <w:t xml:space="preserve"> obtain a permit before fishing and </w:t>
      </w:r>
      <w:r w:rsidR="00114632">
        <w:t xml:space="preserve">record </w:t>
      </w:r>
      <w:r w:rsidR="0004057D" w:rsidRPr="00106323">
        <w:t>daily effort and catch</w:t>
      </w:r>
      <w:r w:rsidR="00581F43">
        <w:t>.</w:t>
      </w:r>
      <w:r w:rsidR="00B26E9C" w:rsidRPr="00106323">
        <w:t xml:space="preserve"> </w:t>
      </w:r>
      <w:r w:rsidR="00C56F28">
        <w:t xml:space="preserve"> </w:t>
      </w:r>
      <w:r w:rsidR="00C56F28" w:rsidRPr="00114632">
        <w:rPr>
          <w:color w:val="000000"/>
        </w:rPr>
        <w:t xml:space="preserve">There is no size limit in </w:t>
      </w:r>
      <w:r w:rsidR="00114632">
        <w:rPr>
          <w:color w:val="000000"/>
        </w:rPr>
        <w:t xml:space="preserve">the </w:t>
      </w:r>
      <w:r w:rsidR="00C56F28" w:rsidRPr="00114632">
        <w:rPr>
          <w:color w:val="000000"/>
        </w:rPr>
        <w:t>subsistence fishery.</w:t>
      </w:r>
      <w:r w:rsidR="00C56F28" w:rsidRPr="00C56F28">
        <w:rPr>
          <w:color w:val="FF0000"/>
        </w:rPr>
        <w:t xml:space="preserve"> </w:t>
      </w:r>
      <w:r w:rsidR="00A044B0" w:rsidRPr="00106323">
        <w:t>The s</w:t>
      </w:r>
      <w:r w:rsidR="00B26E9C" w:rsidRPr="00106323">
        <w:t xml:space="preserve">ubsistence fishery catch is influenced </w:t>
      </w:r>
      <w:r w:rsidR="00B26E9C" w:rsidRPr="00106323">
        <w:lastRenderedPageBreak/>
        <w:t xml:space="preserve">not only by crab </w:t>
      </w:r>
      <w:r w:rsidR="00A044B0" w:rsidRPr="00106323">
        <w:t>abundance</w:t>
      </w:r>
      <w:r w:rsidR="00B26E9C" w:rsidRPr="00106323">
        <w:t>, but also by change</w:t>
      </w:r>
      <w:r w:rsidR="00A044B0" w:rsidRPr="00106323">
        <w:t>s</w:t>
      </w:r>
      <w:r w:rsidR="00B26E9C" w:rsidRPr="00106323">
        <w:t xml:space="preserve"> in </w:t>
      </w:r>
      <w:r w:rsidR="004D797B">
        <w:t>crab</w:t>
      </w:r>
      <w:r w:rsidR="00B26E9C" w:rsidRPr="00106323">
        <w:t xml:space="preserve"> distribution, change</w:t>
      </w:r>
      <w:r w:rsidR="00A044B0" w:rsidRPr="00106323">
        <w:t>s in</w:t>
      </w:r>
      <w:r w:rsidR="00B26E9C" w:rsidRPr="00106323">
        <w:t xml:space="preserve"> gear (e.g., more use of pots instead of hand lines since 198</w:t>
      </w:r>
      <w:r w:rsidR="00AE54C1" w:rsidRPr="00106323">
        <w:t xml:space="preserve">0s), and ice conditions (e.g., </w:t>
      </w:r>
      <w:r w:rsidR="00B26E9C" w:rsidRPr="00106323">
        <w:t>reduced catch due to unstable ice conditions</w:t>
      </w:r>
      <w:r w:rsidR="004D797B">
        <w:t xml:space="preserve"> in</w:t>
      </w:r>
      <w:r w:rsidR="00B26E9C" w:rsidRPr="00106323">
        <w:t xml:space="preserve"> 1987-88, 1988-89, 1992-93, 2000-01, 2003-04, 2004-05</w:t>
      </w:r>
      <w:r w:rsidR="003C0195" w:rsidRPr="00106323">
        <w:t>, and 2006-07</w:t>
      </w:r>
      <w:r w:rsidR="00B26E9C" w:rsidRPr="00106323">
        <w:t>)</w:t>
      </w:r>
      <w:r w:rsidR="00581F43">
        <w:t>.</w:t>
      </w:r>
      <w:r w:rsidR="00114632">
        <w:t xml:space="preserve"> </w:t>
      </w:r>
      <w:r w:rsidR="009B081C">
        <w:t xml:space="preserve"> </w:t>
      </w:r>
    </w:p>
    <w:p w:rsidR="004E1A51" w:rsidRDefault="004D797B" w:rsidP="004E1A51">
      <w:pPr>
        <w:spacing w:after="120"/>
        <w:ind w:left="360"/>
        <w:jc w:val="both"/>
      </w:pPr>
      <w:r>
        <w:t>The s</w:t>
      </w:r>
      <w:r w:rsidR="004E1A51">
        <w:t xml:space="preserve">ummer subsistence crab fishery harvest has been monitored since 2004 with </w:t>
      </w:r>
      <w:r>
        <w:t xml:space="preserve">an </w:t>
      </w:r>
      <w:r w:rsidR="004E1A51">
        <w:t>average harvest of 712 crabs per year</w:t>
      </w:r>
      <w:r w:rsidR="00581F43">
        <w:t>.</w:t>
      </w:r>
      <w:r w:rsidR="004E1A51">
        <w:t xml:space="preserve">  Since this harvest is very small, summer subsistence fishery was not included in the assessment model. </w:t>
      </w:r>
    </w:p>
    <w:p w:rsidR="00316421" w:rsidRDefault="00316421" w:rsidP="00316421">
      <w:pPr>
        <w:spacing w:after="120"/>
        <w:jc w:val="both"/>
      </w:pPr>
    </w:p>
    <w:p w:rsidR="008D23E8" w:rsidRPr="00316421" w:rsidRDefault="00316421" w:rsidP="00316421">
      <w:pPr>
        <w:numPr>
          <w:ilvl w:val="3"/>
          <w:numId w:val="11"/>
        </w:numPr>
        <w:tabs>
          <w:tab w:val="left" w:pos="360"/>
        </w:tabs>
        <w:spacing w:after="120"/>
        <w:ind w:left="720" w:hanging="720"/>
      </w:pPr>
      <w:r>
        <w:t>Brief description of the annual ADF&amp;G harvest s</w:t>
      </w:r>
      <w:r w:rsidR="008D23E8" w:rsidRPr="00316421">
        <w:t>trategy</w:t>
      </w:r>
    </w:p>
    <w:p w:rsidR="00BC7DDD" w:rsidRDefault="00DD2F56" w:rsidP="00D57917">
      <w:pPr>
        <w:spacing w:after="120"/>
        <w:ind w:left="360"/>
        <w:jc w:val="both"/>
      </w:pPr>
      <w:r>
        <w:t xml:space="preserve">beginning in </w:t>
      </w:r>
      <w:r w:rsidR="00316421">
        <w:t>N</w:t>
      </w:r>
      <w:r w:rsidR="008D23E8" w:rsidRPr="00106323">
        <w:t>orton Sound red kin</w:t>
      </w:r>
      <w:r w:rsidR="00316421">
        <w:t xml:space="preserve">g crab  </w:t>
      </w:r>
      <w:r>
        <w:t xml:space="preserve">was </w:t>
      </w:r>
      <w:r w:rsidR="008D23E8" w:rsidRPr="00106323">
        <w:t xml:space="preserve">managed </w:t>
      </w:r>
      <w:r w:rsidR="00316421">
        <w:t xml:space="preserve">based on </w:t>
      </w:r>
      <w:r w:rsidR="005A1172">
        <w:t xml:space="preserve">a </w:t>
      </w:r>
      <w:r w:rsidR="00316421">
        <w:t xml:space="preserve">guideline harvest </w:t>
      </w:r>
      <w:r w:rsidR="00F8567D">
        <w:t>limit (GHL)</w:t>
      </w:r>
      <w:r w:rsidR="004D797B">
        <w:t xml:space="preserve"> since 1997</w:t>
      </w:r>
      <w:r w:rsidR="00581F43">
        <w:t>.</w:t>
      </w:r>
      <w:r w:rsidR="00F8567D">
        <w:t xml:space="preserve">  Detailed historical methods</w:t>
      </w:r>
      <w:r w:rsidR="00422D0C">
        <w:t xml:space="preserve"> </w:t>
      </w:r>
      <w:r w:rsidR="00316421">
        <w:t>of GHL determination are unknown</w:t>
      </w:r>
      <w:r w:rsidR="00581F43">
        <w:t xml:space="preserve">. </w:t>
      </w:r>
      <w:r w:rsidR="004D797B">
        <w:t>From 1999 to 2011</w:t>
      </w:r>
      <w:r w:rsidR="00316421">
        <w:t xml:space="preserve">, GHL </w:t>
      </w:r>
      <w:r w:rsidR="004D797B">
        <w:t>was</w:t>
      </w:r>
      <w:r w:rsidR="00316421">
        <w:t xml:space="preserve"> determined by a prediction model and the model estimated predicted biomass: </w:t>
      </w:r>
      <w:r w:rsidR="005D5DFC">
        <w:t xml:space="preserve">(1) </w:t>
      </w:r>
      <w:r w:rsidR="00DF0321">
        <w:t xml:space="preserve">0% </w:t>
      </w:r>
      <w:r w:rsidR="00E279B6">
        <w:t xml:space="preserve">harvest rate </w:t>
      </w:r>
      <w:r w:rsidR="00DF0321">
        <w:t xml:space="preserve">of legal crab </w:t>
      </w:r>
      <w:r w:rsidR="00E279B6">
        <w:t xml:space="preserve">when </w:t>
      </w:r>
      <w:r w:rsidR="005D5DFC">
        <w:t>estimated legal bioma</w:t>
      </w:r>
      <w:r w:rsidR="0011770A">
        <w:t>ss &lt; 1.5 million lb.</w:t>
      </w:r>
      <w:r w:rsidR="005D5DFC">
        <w:t xml:space="preserve">; (2) </w:t>
      </w:r>
      <w:r w:rsidR="00E279B6">
        <w:t xml:space="preserve">≤ 5% </w:t>
      </w:r>
      <w:r w:rsidR="00152809">
        <w:t xml:space="preserve">of legal male abundance </w:t>
      </w:r>
      <w:r w:rsidR="00E279B6">
        <w:t xml:space="preserve">when </w:t>
      </w:r>
      <w:r w:rsidR="00DF0321">
        <w:t xml:space="preserve">the </w:t>
      </w:r>
      <w:r w:rsidR="005D5DFC">
        <w:t>est</w:t>
      </w:r>
      <w:r w:rsidR="00E279B6">
        <w:t xml:space="preserve">imated legal biomass </w:t>
      </w:r>
      <w:r w:rsidR="00152809">
        <w:t xml:space="preserve">falls within the </w:t>
      </w:r>
      <w:r w:rsidR="007641F6">
        <w:t>range 1.5</w:t>
      </w:r>
      <w:r w:rsidR="00E279B6">
        <w:t>-</w:t>
      </w:r>
      <w:r w:rsidR="0011770A">
        <w:t>2.5 million lb.</w:t>
      </w:r>
      <w:r w:rsidR="005D5DFC">
        <w:t xml:space="preserve">; and (3) </w:t>
      </w:r>
      <w:r w:rsidR="00E279B6">
        <w:t xml:space="preserve">≤ 10% </w:t>
      </w:r>
      <w:r w:rsidR="00152809">
        <w:t xml:space="preserve">of legal male </w:t>
      </w:r>
      <w:r w:rsidR="00E279B6">
        <w:t xml:space="preserve">when </w:t>
      </w:r>
      <w:r w:rsidR="005D5DFC">
        <w:t>estimate</w:t>
      </w:r>
      <w:r w:rsidR="0011770A">
        <w:t>d legal biomass &gt;2.5 million lb</w:t>
      </w:r>
      <w:r w:rsidR="00581F43">
        <w:t xml:space="preserve">. </w:t>
      </w:r>
    </w:p>
    <w:p w:rsidR="00FB4AA4" w:rsidRDefault="00DD2F56" w:rsidP="007E665B">
      <w:pPr>
        <w:spacing w:after="120"/>
        <w:ind w:left="360"/>
        <w:jc w:val="both"/>
      </w:pPr>
      <w:r>
        <w:t xml:space="preserve">has been </w:t>
      </w:r>
      <w:r w:rsidR="004D797B">
        <w:t>The method of GHL determination was revised in 2012 to</w:t>
      </w:r>
      <w:r w:rsidR="004C2CE4">
        <w:t xml:space="preserve">: (1) 0% harvest rate of legal crab when estimated </w:t>
      </w:r>
      <w:r w:rsidR="0011770A">
        <w:t>legal biomass &lt; 1.25 million lb.</w:t>
      </w:r>
      <w:r w:rsidR="004C2CE4">
        <w:t>; (2) ≤ 7% of legal male abundance when the estimated legal biomass falls within the rang</w:t>
      </w:r>
      <w:r w:rsidR="0011770A">
        <w:t>e 1.25-2.0 million lb.</w:t>
      </w:r>
      <w:r w:rsidR="0012009F">
        <w:t>; (3) ≤ 13</w:t>
      </w:r>
      <w:r w:rsidR="004C2CE4">
        <w:t>% of legal male abundance when the estimated legal biomass falls with</w:t>
      </w:r>
      <w:r w:rsidR="0011770A">
        <w:t>in the range 2.0-3.0 million lb.</w:t>
      </w:r>
      <w:r w:rsidR="004C2CE4">
        <w:t>; and (</w:t>
      </w:r>
      <w:r>
        <w:t>4</w:t>
      </w:r>
      <w:r w:rsidR="004C2CE4">
        <w:t>) ≤ 15% of legal male when estimated legal biomass &gt;3.0 million lb</w:t>
      </w:r>
      <w:r w:rsidR="00581F43">
        <w:t xml:space="preserve">. </w:t>
      </w:r>
    </w:p>
    <w:p w:rsidR="007E665B" w:rsidRPr="00106323" w:rsidRDefault="007E665B" w:rsidP="007E665B">
      <w:pPr>
        <w:spacing w:after="120"/>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642"/>
      </w:tblGrid>
      <w:tr w:rsidR="00FB4AA4" w:rsidRPr="00A22B40" w:rsidTr="00702417">
        <w:tc>
          <w:tcPr>
            <w:tcW w:w="826" w:type="dxa"/>
          </w:tcPr>
          <w:p w:rsidR="00FB4AA4" w:rsidRPr="00A22B40" w:rsidRDefault="00FB4AA4" w:rsidP="00810C78">
            <w:pPr>
              <w:rPr>
                <w:sz w:val="22"/>
                <w:szCs w:val="22"/>
              </w:rPr>
            </w:pPr>
            <w:r w:rsidRPr="00A22B40">
              <w:rPr>
                <w:sz w:val="22"/>
                <w:szCs w:val="22"/>
              </w:rPr>
              <w:t xml:space="preserve">Year </w:t>
            </w:r>
          </w:p>
        </w:tc>
        <w:tc>
          <w:tcPr>
            <w:tcW w:w="8642" w:type="dxa"/>
          </w:tcPr>
          <w:p w:rsidR="00FB4AA4" w:rsidRPr="00A22B40" w:rsidRDefault="00FB4AA4" w:rsidP="00810C78">
            <w:pPr>
              <w:rPr>
                <w:sz w:val="22"/>
                <w:szCs w:val="22"/>
              </w:rPr>
            </w:pPr>
            <w:r w:rsidRPr="00A22B40">
              <w:rPr>
                <w:sz w:val="22"/>
                <w:szCs w:val="22"/>
              </w:rPr>
              <w:t>Notable historical management changes</w:t>
            </w:r>
          </w:p>
        </w:tc>
      </w:tr>
      <w:tr w:rsidR="00FB4AA4" w:rsidRPr="00A22B40" w:rsidTr="00702417">
        <w:tc>
          <w:tcPr>
            <w:tcW w:w="826" w:type="dxa"/>
          </w:tcPr>
          <w:p w:rsidR="00FB4AA4" w:rsidRPr="00A22B40" w:rsidRDefault="00FB4AA4" w:rsidP="00810C78">
            <w:pPr>
              <w:rPr>
                <w:sz w:val="22"/>
                <w:szCs w:val="22"/>
              </w:rPr>
            </w:pPr>
            <w:r w:rsidRPr="00A22B40">
              <w:rPr>
                <w:sz w:val="22"/>
                <w:szCs w:val="22"/>
              </w:rPr>
              <w:t>1976</w:t>
            </w:r>
          </w:p>
        </w:tc>
        <w:tc>
          <w:tcPr>
            <w:tcW w:w="8642" w:type="dxa"/>
          </w:tcPr>
          <w:p w:rsidR="00FB4AA4" w:rsidRPr="00A22B40" w:rsidRDefault="004D797B" w:rsidP="00810C78">
            <w:pPr>
              <w:rPr>
                <w:sz w:val="22"/>
                <w:szCs w:val="22"/>
              </w:rPr>
            </w:pPr>
            <w:r>
              <w:rPr>
                <w:sz w:val="22"/>
                <w:szCs w:val="22"/>
              </w:rPr>
              <w:t xml:space="preserve">Periodic fishery-independent surveys began </w:t>
            </w:r>
          </w:p>
        </w:tc>
      </w:tr>
      <w:tr w:rsidR="00FB4AA4" w:rsidRPr="00A22B40" w:rsidTr="00702417">
        <w:tc>
          <w:tcPr>
            <w:tcW w:w="826" w:type="dxa"/>
          </w:tcPr>
          <w:p w:rsidR="00FB4AA4" w:rsidRPr="00A22B40" w:rsidRDefault="00FB4AA4" w:rsidP="00810C78">
            <w:pPr>
              <w:rPr>
                <w:sz w:val="22"/>
                <w:szCs w:val="22"/>
              </w:rPr>
            </w:pPr>
            <w:r w:rsidRPr="00A22B40">
              <w:rPr>
                <w:sz w:val="22"/>
                <w:szCs w:val="22"/>
              </w:rPr>
              <w:t>1977</w:t>
            </w:r>
          </w:p>
        </w:tc>
        <w:tc>
          <w:tcPr>
            <w:tcW w:w="8642" w:type="dxa"/>
          </w:tcPr>
          <w:p w:rsidR="00FB4AA4" w:rsidRPr="00A22B40" w:rsidRDefault="00FB4AA4" w:rsidP="00810C78">
            <w:pPr>
              <w:rPr>
                <w:sz w:val="22"/>
                <w:szCs w:val="22"/>
              </w:rPr>
            </w:pPr>
            <w:r w:rsidRPr="00A22B40">
              <w:rPr>
                <w:sz w:val="22"/>
                <w:szCs w:val="22"/>
              </w:rPr>
              <w:t>Large vessel commercial fisheries began</w:t>
            </w:r>
          </w:p>
        </w:tc>
      </w:tr>
      <w:tr w:rsidR="00FB4AA4" w:rsidRPr="00A22B40" w:rsidTr="00702417">
        <w:tc>
          <w:tcPr>
            <w:tcW w:w="826" w:type="dxa"/>
          </w:tcPr>
          <w:p w:rsidR="00FB4AA4" w:rsidRPr="00A22B40" w:rsidRDefault="00FB4AA4" w:rsidP="00810C78">
            <w:pPr>
              <w:rPr>
                <w:sz w:val="22"/>
                <w:szCs w:val="22"/>
              </w:rPr>
            </w:pPr>
            <w:r w:rsidRPr="00A22B40">
              <w:rPr>
                <w:sz w:val="22"/>
                <w:szCs w:val="22"/>
              </w:rPr>
              <w:t>1991</w:t>
            </w:r>
          </w:p>
        </w:tc>
        <w:tc>
          <w:tcPr>
            <w:tcW w:w="8642" w:type="dxa"/>
          </w:tcPr>
          <w:p w:rsidR="00FB4AA4" w:rsidRPr="00A22B40" w:rsidRDefault="00FB4AA4" w:rsidP="00810C78">
            <w:pPr>
              <w:rPr>
                <w:sz w:val="22"/>
                <w:szCs w:val="22"/>
              </w:rPr>
            </w:pPr>
            <w:r w:rsidRPr="00A22B40">
              <w:rPr>
                <w:sz w:val="22"/>
                <w:szCs w:val="22"/>
              </w:rPr>
              <w:t>Fishery closed due to staff constraints</w:t>
            </w:r>
          </w:p>
        </w:tc>
      </w:tr>
      <w:tr w:rsidR="00FB4AA4" w:rsidRPr="00A22B40" w:rsidTr="00702417">
        <w:tc>
          <w:tcPr>
            <w:tcW w:w="826" w:type="dxa"/>
          </w:tcPr>
          <w:p w:rsidR="00FB4AA4" w:rsidRPr="00A22B40" w:rsidRDefault="00FB4AA4" w:rsidP="00810C78">
            <w:pPr>
              <w:rPr>
                <w:sz w:val="22"/>
                <w:szCs w:val="22"/>
              </w:rPr>
            </w:pPr>
            <w:r w:rsidRPr="00A22B40">
              <w:rPr>
                <w:sz w:val="22"/>
                <w:szCs w:val="22"/>
              </w:rPr>
              <w:t>1994</w:t>
            </w:r>
          </w:p>
        </w:tc>
        <w:tc>
          <w:tcPr>
            <w:tcW w:w="8642" w:type="dxa"/>
          </w:tcPr>
          <w:p w:rsidR="00FB4AA4" w:rsidRPr="00A22B40" w:rsidRDefault="00A33D0C" w:rsidP="00810C78">
            <w:pPr>
              <w:rPr>
                <w:sz w:val="22"/>
                <w:szCs w:val="22"/>
              </w:rPr>
            </w:pPr>
            <w:r>
              <w:rPr>
                <w:sz w:val="22"/>
                <w:szCs w:val="22"/>
              </w:rPr>
              <w:t>P</w:t>
            </w:r>
            <w:r w:rsidR="004D797B">
              <w:rPr>
                <w:sz w:val="22"/>
                <w:szCs w:val="22"/>
              </w:rPr>
              <w:t>articipation</w:t>
            </w:r>
            <w:r w:rsidR="00835FAE" w:rsidRPr="00A22B40">
              <w:rPr>
                <w:sz w:val="22"/>
                <w:szCs w:val="22"/>
              </w:rPr>
              <w:t xml:space="preserve"> of large vessel</w:t>
            </w:r>
            <w:r w:rsidR="004D797B">
              <w:rPr>
                <w:sz w:val="22"/>
                <w:szCs w:val="22"/>
              </w:rPr>
              <w:t>s in the</w:t>
            </w:r>
            <w:r w:rsidR="00835FAE" w:rsidRPr="00A22B40">
              <w:rPr>
                <w:sz w:val="22"/>
                <w:szCs w:val="22"/>
              </w:rPr>
              <w:t xml:space="preserve"> commercial fishery </w:t>
            </w:r>
            <w:r>
              <w:rPr>
                <w:sz w:val="22"/>
                <w:szCs w:val="22"/>
              </w:rPr>
              <w:t>ended by super exclusive designation</w:t>
            </w:r>
            <w:r w:rsidR="00581F43">
              <w:rPr>
                <w:sz w:val="22"/>
                <w:szCs w:val="22"/>
              </w:rPr>
              <w:t xml:space="preserve">. </w:t>
            </w:r>
            <w:r>
              <w:rPr>
                <w:sz w:val="22"/>
                <w:szCs w:val="22"/>
              </w:rPr>
              <w:t>Fishery effectively becomes small-vessel only</w:t>
            </w:r>
            <w:r w:rsidR="00581F43">
              <w:rPr>
                <w:sz w:val="22"/>
                <w:szCs w:val="22"/>
              </w:rPr>
              <w:t xml:space="preserve">. </w:t>
            </w:r>
            <w:r>
              <w:rPr>
                <w:sz w:val="22"/>
                <w:szCs w:val="22"/>
              </w:rPr>
              <w:t xml:space="preserve"> </w:t>
            </w:r>
          </w:p>
          <w:p w:rsidR="00FB4AA4" w:rsidRPr="00A22B40" w:rsidRDefault="00152809" w:rsidP="00810C78">
            <w:pPr>
              <w:rPr>
                <w:sz w:val="22"/>
                <w:szCs w:val="22"/>
              </w:rPr>
            </w:pPr>
            <w:r w:rsidRPr="00A22B40">
              <w:rPr>
                <w:sz w:val="22"/>
                <w:szCs w:val="22"/>
              </w:rPr>
              <w:t>T</w:t>
            </w:r>
            <w:r w:rsidR="00835FAE" w:rsidRPr="00A22B40">
              <w:rPr>
                <w:sz w:val="22"/>
                <w:szCs w:val="22"/>
              </w:rPr>
              <w:t>he m</w:t>
            </w:r>
            <w:r w:rsidR="00FB4AA4" w:rsidRPr="00A22B40">
              <w:rPr>
                <w:sz w:val="22"/>
                <w:szCs w:val="22"/>
              </w:rPr>
              <w:t xml:space="preserve">ajority of commercial fishery </w:t>
            </w:r>
            <w:r w:rsidR="0011770A">
              <w:rPr>
                <w:sz w:val="22"/>
                <w:szCs w:val="22"/>
              </w:rPr>
              <w:t xml:space="preserve">effort and catch </w:t>
            </w:r>
            <w:r w:rsidRPr="00A22B40">
              <w:rPr>
                <w:sz w:val="22"/>
                <w:szCs w:val="22"/>
              </w:rPr>
              <w:t xml:space="preserve">subsequently shifted to </w:t>
            </w:r>
            <w:r w:rsidR="00FB4AA4" w:rsidRPr="00A22B40">
              <w:rPr>
                <w:sz w:val="22"/>
                <w:szCs w:val="22"/>
              </w:rPr>
              <w:t>east of 164</w:t>
            </w:r>
            <w:r w:rsidR="00FB4AA4" w:rsidRPr="00A22B40">
              <w:rPr>
                <w:sz w:val="22"/>
                <w:szCs w:val="22"/>
                <w:vertAlign w:val="superscript"/>
              </w:rPr>
              <w:t>o</w:t>
            </w:r>
            <w:r w:rsidR="00FB4AA4" w:rsidRPr="00A22B40">
              <w:rPr>
                <w:sz w:val="22"/>
                <w:szCs w:val="22"/>
              </w:rPr>
              <w:t>W line</w:t>
            </w:r>
            <w:r w:rsidR="00581F43">
              <w:rPr>
                <w:sz w:val="22"/>
                <w:szCs w:val="22"/>
              </w:rPr>
              <w:t xml:space="preserve">. </w:t>
            </w:r>
          </w:p>
        </w:tc>
      </w:tr>
      <w:tr w:rsidR="00FB4AA4" w:rsidRPr="00A22B40" w:rsidTr="00702417">
        <w:tc>
          <w:tcPr>
            <w:tcW w:w="826" w:type="dxa"/>
          </w:tcPr>
          <w:p w:rsidR="00FB4AA4" w:rsidRPr="00A22B40" w:rsidRDefault="00FB4AA4" w:rsidP="00810C78">
            <w:pPr>
              <w:rPr>
                <w:sz w:val="22"/>
                <w:szCs w:val="22"/>
              </w:rPr>
            </w:pPr>
            <w:r w:rsidRPr="00A22B40">
              <w:rPr>
                <w:sz w:val="22"/>
                <w:szCs w:val="22"/>
              </w:rPr>
              <w:t>1998</w:t>
            </w:r>
          </w:p>
        </w:tc>
        <w:tc>
          <w:tcPr>
            <w:tcW w:w="8642" w:type="dxa"/>
          </w:tcPr>
          <w:p w:rsidR="00FB4AA4" w:rsidRPr="00A22B40" w:rsidRDefault="00FB4AA4" w:rsidP="00810C78">
            <w:pPr>
              <w:rPr>
                <w:sz w:val="22"/>
                <w:szCs w:val="22"/>
              </w:rPr>
            </w:pPr>
            <w:r w:rsidRPr="00A22B40">
              <w:rPr>
                <w:sz w:val="22"/>
                <w:szCs w:val="22"/>
              </w:rPr>
              <w:t xml:space="preserve">Community Development Quota (CDQ) allocation into effect </w:t>
            </w:r>
          </w:p>
        </w:tc>
      </w:tr>
      <w:tr w:rsidR="00FB4AA4" w:rsidRPr="00A22B40" w:rsidTr="00702417">
        <w:tc>
          <w:tcPr>
            <w:tcW w:w="826" w:type="dxa"/>
          </w:tcPr>
          <w:p w:rsidR="00FB4AA4" w:rsidRPr="00A22B40" w:rsidRDefault="00FB4AA4" w:rsidP="00810C78">
            <w:pPr>
              <w:rPr>
                <w:sz w:val="22"/>
                <w:szCs w:val="22"/>
              </w:rPr>
            </w:pPr>
            <w:r w:rsidRPr="00A22B40">
              <w:rPr>
                <w:sz w:val="22"/>
                <w:szCs w:val="22"/>
              </w:rPr>
              <w:t>1999</w:t>
            </w:r>
          </w:p>
        </w:tc>
        <w:tc>
          <w:tcPr>
            <w:tcW w:w="8642" w:type="dxa"/>
          </w:tcPr>
          <w:p w:rsidR="00FB4AA4" w:rsidRPr="00A22B40" w:rsidRDefault="00FB4AA4" w:rsidP="0011770A">
            <w:pPr>
              <w:rPr>
                <w:sz w:val="22"/>
                <w:szCs w:val="22"/>
              </w:rPr>
            </w:pPr>
            <w:r w:rsidRPr="00A22B40">
              <w:rPr>
                <w:sz w:val="22"/>
                <w:szCs w:val="22"/>
              </w:rPr>
              <w:t xml:space="preserve">Guideline Harvest </w:t>
            </w:r>
            <w:r w:rsidR="0011770A">
              <w:rPr>
                <w:sz w:val="22"/>
                <w:szCs w:val="22"/>
              </w:rPr>
              <w:t xml:space="preserve">Level </w:t>
            </w:r>
            <w:r w:rsidRPr="00A22B40">
              <w:rPr>
                <w:sz w:val="22"/>
                <w:szCs w:val="22"/>
              </w:rPr>
              <w:t xml:space="preserve">(GHL) into effect </w:t>
            </w:r>
          </w:p>
        </w:tc>
      </w:tr>
      <w:tr w:rsidR="00FB4AA4" w:rsidRPr="00A22B40" w:rsidTr="00702417">
        <w:tc>
          <w:tcPr>
            <w:tcW w:w="826" w:type="dxa"/>
          </w:tcPr>
          <w:p w:rsidR="00FB4AA4" w:rsidRPr="00A22B40" w:rsidRDefault="00FB4AA4" w:rsidP="00810C78">
            <w:pPr>
              <w:rPr>
                <w:sz w:val="22"/>
                <w:szCs w:val="22"/>
              </w:rPr>
            </w:pPr>
            <w:r w:rsidRPr="00A22B40">
              <w:rPr>
                <w:sz w:val="22"/>
                <w:szCs w:val="22"/>
              </w:rPr>
              <w:t>2000</w:t>
            </w:r>
          </w:p>
        </w:tc>
        <w:tc>
          <w:tcPr>
            <w:tcW w:w="8642" w:type="dxa"/>
          </w:tcPr>
          <w:p w:rsidR="00FB4AA4" w:rsidRPr="00A22B40" w:rsidRDefault="00FB4AA4" w:rsidP="00810C78">
            <w:pPr>
              <w:rPr>
                <w:sz w:val="22"/>
                <w:szCs w:val="22"/>
              </w:rPr>
            </w:pPr>
            <w:r w:rsidRPr="00A22B40">
              <w:rPr>
                <w:sz w:val="22"/>
                <w:szCs w:val="22"/>
              </w:rPr>
              <w:t>North Pacific License Limitation Program (LLP) into effect</w:t>
            </w:r>
            <w:r w:rsidR="00581F43">
              <w:rPr>
                <w:sz w:val="22"/>
                <w:szCs w:val="22"/>
              </w:rPr>
              <w:t xml:space="preserve">. </w:t>
            </w:r>
          </w:p>
        </w:tc>
      </w:tr>
      <w:tr w:rsidR="00FB4AA4" w:rsidRPr="00A22B40" w:rsidTr="00702417">
        <w:tc>
          <w:tcPr>
            <w:tcW w:w="826" w:type="dxa"/>
          </w:tcPr>
          <w:p w:rsidR="00FB4AA4" w:rsidRPr="00A22B40" w:rsidRDefault="00FB4AA4" w:rsidP="00810C78">
            <w:pPr>
              <w:rPr>
                <w:sz w:val="22"/>
                <w:szCs w:val="22"/>
              </w:rPr>
            </w:pPr>
            <w:r w:rsidRPr="00A22B40">
              <w:rPr>
                <w:sz w:val="22"/>
                <w:szCs w:val="22"/>
              </w:rPr>
              <w:t>2002</w:t>
            </w:r>
          </w:p>
        </w:tc>
        <w:tc>
          <w:tcPr>
            <w:tcW w:w="8642" w:type="dxa"/>
          </w:tcPr>
          <w:p w:rsidR="00FB4AA4" w:rsidRPr="00A22B40" w:rsidRDefault="00FB4AA4" w:rsidP="00810C78">
            <w:pPr>
              <w:rPr>
                <w:sz w:val="22"/>
                <w:szCs w:val="22"/>
              </w:rPr>
            </w:pPr>
            <w:r w:rsidRPr="00A22B40">
              <w:rPr>
                <w:sz w:val="22"/>
                <w:szCs w:val="22"/>
              </w:rPr>
              <w:t xml:space="preserve">Change in closed water boundaries (Figure 2) </w:t>
            </w:r>
          </w:p>
        </w:tc>
      </w:tr>
      <w:tr w:rsidR="00231757" w:rsidRPr="00A22B40" w:rsidTr="00702417">
        <w:tc>
          <w:tcPr>
            <w:tcW w:w="826" w:type="dxa"/>
          </w:tcPr>
          <w:p w:rsidR="00231757" w:rsidRPr="00F13935" w:rsidRDefault="00231757" w:rsidP="00810C78">
            <w:pPr>
              <w:rPr>
                <w:color w:val="000000" w:themeColor="text1"/>
                <w:sz w:val="22"/>
                <w:szCs w:val="22"/>
              </w:rPr>
            </w:pPr>
            <w:r w:rsidRPr="00F13935">
              <w:rPr>
                <w:color w:val="000000" w:themeColor="text1"/>
                <w:sz w:val="22"/>
                <w:szCs w:val="22"/>
              </w:rPr>
              <w:t>2005</w:t>
            </w:r>
          </w:p>
        </w:tc>
        <w:tc>
          <w:tcPr>
            <w:tcW w:w="8642" w:type="dxa"/>
          </w:tcPr>
          <w:p w:rsidR="00231757" w:rsidRPr="00F13935" w:rsidRDefault="00231757" w:rsidP="00810C78">
            <w:pPr>
              <w:rPr>
                <w:color w:val="000000" w:themeColor="text1"/>
                <w:sz w:val="22"/>
                <w:szCs w:val="22"/>
              </w:rPr>
            </w:pPr>
            <w:r w:rsidRPr="00F13935">
              <w:rPr>
                <w:color w:val="000000" w:themeColor="text1"/>
                <w:sz w:val="22"/>
                <w:szCs w:val="22"/>
              </w:rPr>
              <w:t xml:space="preserve">Commercially accepted legal crab size changed from ≥ 4-3/4 inch CW to  ≥ 5 inch CW </w:t>
            </w:r>
          </w:p>
        </w:tc>
      </w:tr>
      <w:tr w:rsidR="00FB4AA4" w:rsidRPr="00A22B40" w:rsidTr="00702417">
        <w:tc>
          <w:tcPr>
            <w:tcW w:w="826" w:type="dxa"/>
          </w:tcPr>
          <w:p w:rsidR="00FB4AA4" w:rsidRPr="00A22B40" w:rsidRDefault="00FB4AA4" w:rsidP="00810C78">
            <w:pPr>
              <w:rPr>
                <w:sz w:val="22"/>
                <w:szCs w:val="22"/>
              </w:rPr>
            </w:pPr>
            <w:r w:rsidRPr="00A22B40">
              <w:rPr>
                <w:sz w:val="22"/>
                <w:szCs w:val="22"/>
              </w:rPr>
              <w:t>2006</w:t>
            </w:r>
          </w:p>
        </w:tc>
        <w:tc>
          <w:tcPr>
            <w:tcW w:w="8642" w:type="dxa"/>
          </w:tcPr>
          <w:p w:rsidR="00FB4AA4" w:rsidRPr="00A22B40" w:rsidRDefault="00835FAE" w:rsidP="00810C78">
            <w:pPr>
              <w:rPr>
                <w:sz w:val="22"/>
                <w:szCs w:val="22"/>
              </w:rPr>
            </w:pPr>
            <w:r w:rsidRPr="00A22B40">
              <w:rPr>
                <w:sz w:val="22"/>
                <w:szCs w:val="22"/>
              </w:rPr>
              <w:t>T</w:t>
            </w:r>
            <w:r w:rsidR="00FB4AA4" w:rsidRPr="00A22B40">
              <w:rPr>
                <w:sz w:val="22"/>
                <w:szCs w:val="22"/>
              </w:rPr>
              <w:t>he</w:t>
            </w:r>
            <w:r w:rsidRPr="00A22B40">
              <w:rPr>
                <w:sz w:val="22"/>
                <w:szCs w:val="22"/>
              </w:rPr>
              <w:t xml:space="preserve"> Statistical area</w:t>
            </w:r>
            <w:r w:rsidR="00FB4AA4" w:rsidRPr="00A22B40">
              <w:rPr>
                <w:sz w:val="22"/>
                <w:szCs w:val="22"/>
              </w:rPr>
              <w:t xml:space="preserve"> Q3 section </w:t>
            </w:r>
            <w:r w:rsidRPr="00A22B40">
              <w:rPr>
                <w:sz w:val="22"/>
                <w:szCs w:val="22"/>
              </w:rPr>
              <w:t>expanded (Figure 1)</w:t>
            </w:r>
          </w:p>
        </w:tc>
      </w:tr>
      <w:tr w:rsidR="00FB4AA4" w:rsidRPr="00A22B40" w:rsidTr="00702417">
        <w:tc>
          <w:tcPr>
            <w:tcW w:w="826" w:type="dxa"/>
          </w:tcPr>
          <w:p w:rsidR="00FB4AA4" w:rsidRPr="00A22B40" w:rsidRDefault="00FB4AA4" w:rsidP="00810C78">
            <w:pPr>
              <w:rPr>
                <w:sz w:val="22"/>
                <w:szCs w:val="22"/>
              </w:rPr>
            </w:pPr>
            <w:r w:rsidRPr="00A22B40">
              <w:rPr>
                <w:sz w:val="22"/>
                <w:szCs w:val="22"/>
              </w:rPr>
              <w:t>2008</w:t>
            </w:r>
          </w:p>
        </w:tc>
        <w:tc>
          <w:tcPr>
            <w:tcW w:w="8642" w:type="dxa"/>
          </w:tcPr>
          <w:p w:rsidR="00FB4AA4" w:rsidRPr="00A22B40" w:rsidRDefault="006F4E55" w:rsidP="00810C78">
            <w:pPr>
              <w:rPr>
                <w:sz w:val="22"/>
                <w:szCs w:val="22"/>
              </w:rPr>
            </w:pPr>
            <w:r>
              <w:rPr>
                <w:sz w:val="22"/>
                <w:szCs w:val="22"/>
              </w:rPr>
              <w:t>Start date of</w:t>
            </w:r>
            <w:r w:rsidR="00152809" w:rsidRPr="00A22B40">
              <w:rPr>
                <w:sz w:val="22"/>
                <w:szCs w:val="22"/>
              </w:rPr>
              <w:t xml:space="preserve"> the o</w:t>
            </w:r>
            <w:r w:rsidR="00FB4AA4" w:rsidRPr="00A22B40">
              <w:rPr>
                <w:sz w:val="22"/>
                <w:szCs w:val="22"/>
              </w:rPr>
              <w:t xml:space="preserve">pen access fishery </w:t>
            </w:r>
            <w:r w:rsidR="00152809" w:rsidRPr="00A22B40">
              <w:rPr>
                <w:sz w:val="22"/>
                <w:szCs w:val="22"/>
              </w:rPr>
              <w:t xml:space="preserve">changed </w:t>
            </w:r>
            <w:r w:rsidR="00FB4AA4" w:rsidRPr="00A22B40">
              <w:rPr>
                <w:sz w:val="22"/>
                <w:szCs w:val="22"/>
              </w:rPr>
              <w:t>from July1 to after June 15 by emergency order.</w:t>
            </w:r>
          </w:p>
          <w:p w:rsidR="00FB4AA4" w:rsidRPr="00A22B40" w:rsidRDefault="00FB4AA4" w:rsidP="00152809">
            <w:pPr>
              <w:rPr>
                <w:sz w:val="22"/>
                <w:szCs w:val="22"/>
              </w:rPr>
            </w:pPr>
            <w:r w:rsidRPr="00A22B40">
              <w:rPr>
                <w:sz w:val="22"/>
                <w:szCs w:val="22"/>
              </w:rPr>
              <w:t xml:space="preserve">Pot configuration requirement: </w:t>
            </w:r>
            <w:r w:rsidR="00152809" w:rsidRPr="00A22B40">
              <w:rPr>
                <w:sz w:val="22"/>
                <w:szCs w:val="22"/>
              </w:rPr>
              <w:t>at least</w:t>
            </w:r>
            <w:r w:rsidRPr="00A22B40">
              <w:rPr>
                <w:spacing w:val="-3"/>
                <w:sz w:val="22"/>
                <w:szCs w:val="22"/>
              </w:rPr>
              <w:t xml:space="preserve"> 4 escape rings (&gt;4½ </w:t>
            </w:r>
            <w:r w:rsidR="00152809" w:rsidRPr="00A22B40">
              <w:rPr>
                <w:spacing w:val="-3"/>
                <w:sz w:val="22"/>
                <w:szCs w:val="22"/>
              </w:rPr>
              <w:t xml:space="preserve">inch </w:t>
            </w:r>
            <w:r w:rsidRPr="00A22B40">
              <w:rPr>
                <w:spacing w:val="-3"/>
                <w:sz w:val="22"/>
                <w:szCs w:val="22"/>
              </w:rPr>
              <w:t>diameter) per pot l</w:t>
            </w:r>
            <w:r w:rsidR="00152809" w:rsidRPr="00A22B40">
              <w:rPr>
                <w:spacing w:val="-3"/>
                <w:sz w:val="22"/>
                <w:szCs w:val="22"/>
              </w:rPr>
              <w:t>ocated within one mesh of</w:t>
            </w:r>
            <w:r w:rsidRPr="00A22B40">
              <w:rPr>
                <w:spacing w:val="-3"/>
                <w:sz w:val="22"/>
                <w:szCs w:val="22"/>
              </w:rPr>
              <w:t xml:space="preserve"> the bottom of the pot, or at least ½ of the vertical surface of a square pot or sloping side-wall surface of a conical or pyramid pot with mesh size &gt; 6½ inch</w:t>
            </w:r>
            <w:r w:rsidR="00152809" w:rsidRPr="00A22B40">
              <w:rPr>
                <w:spacing w:val="-3"/>
                <w:sz w:val="22"/>
                <w:szCs w:val="22"/>
              </w:rPr>
              <w:t>es</w:t>
            </w:r>
            <w:r w:rsidRPr="00A22B40">
              <w:rPr>
                <w:spacing w:val="-3"/>
                <w:sz w:val="22"/>
                <w:szCs w:val="22"/>
              </w:rPr>
              <w:t>.</w:t>
            </w:r>
          </w:p>
        </w:tc>
      </w:tr>
      <w:tr w:rsidR="00A95E50" w:rsidRPr="00A22B40" w:rsidTr="00702417">
        <w:tc>
          <w:tcPr>
            <w:tcW w:w="826" w:type="dxa"/>
          </w:tcPr>
          <w:p w:rsidR="00A95E50" w:rsidRPr="00A22B40" w:rsidRDefault="00A95E50" w:rsidP="00810C78">
            <w:pPr>
              <w:rPr>
                <w:sz w:val="22"/>
                <w:szCs w:val="22"/>
              </w:rPr>
            </w:pPr>
            <w:r>
              <w:rPr>
                <w:sz w:val="22"/>
                <w:szCs w:val="22"/>
              </w:rPr>
              <w:t>2012</w:t>
            </w:r>
          </w:p>
        </w:tc>
        <w:tc>
          <w:tcPr>
            <w:tcW w:w="8642" w:type="dxa"/>
          </w:tcPr>
          <w:p w:rsidR="00A95E50" w:rsidRPr="00A22B40" w:rsidRDefault="00A95E50" w:rsidP="00810C78">
            <w:pPr>
              <w:rPr>
                <w:sz w:val="22"/>
                <w:szCs w:val="22"/>
              </w:rPr>
            </w:pPr>
            <w:r>
              <w:rPr>
                <w:sz w:val="22"/>
                <w:szCs w:val="22"/>
              </w:rPr>
              <w:t xml:space="preserve">Board of </w:t>
            </w:r>
            <w:r w:rsidR="004C2CE4">
              <w:rPr>
                <w:sz w:val="22"/>
                <w:szCs w:val="22"/>
              </w:rPr>
              <w:t>fisheries adopted a revise</w:t>
            </w:r>
            <w:r w:rsidR="00ED595F">
              <w:rPr>
                <w:sz w:val="22"/>
                <w:szCs w:val="22"/>
              </w:rPr>
              <w:t>d</w:t>
            </w:r>
            <w:r w:rsidR="004C2CE4">
              <w:rPr>
                <w:sz w:val="22"/>
                <w:szCs w:val="22"/>
              </w:rPr>
              <w:t xml:space="preserve"> GHL</w:t>
            </w:r>
          </w:p>
        </w:tc>
      </w:tr>
    </w:tbl>
    <w:p w:rsidR="003E4414" w:rsidRDefault="003E4414" w:rsidP="009F6908">
      <w:pPr>
        <w:spacing w:after="120"/>
        <w:jc w:val="both"/>
      </w:pPr>
    </w:p>
    <w:p w:rsidR="003A6128" w:rsidRDefault="00316421" w:rsidP="003E4414">
      <w:pPr>
        <w:numPr>
          <w:ilvl w:val="3"/>
          <w:numId w:val="11"/>
        </w:numPr>
        <w:spacing w:after="120"/>
        <w:ind w:left="360"/>
        <w:jc w:val="both"/>
      </w:pPr>
      <w:r>
        <w:t xml:space="preserve">Summary of the history of the </w:t>
      </w:r>
      <w:r w:rsidRPr="00316421">
        <w:rPr>
          <w:i/>
        </w:rPr>
        <w:t>B</w:t>
      </w:r>
      <w:r w:rsidRPr="00316421">
        <w:rPr>
          <w:vertAlign w:val="subscript"/>
        </w:rPr>
        <w:t>MSY</w:t>
      </w:r>
      <w:r>
        <w:rPr>
          <w:vertAlign w:val="subscript"/>
        </w:rPr>
        <w:t>.</w:t>
      </w:r>
    </w:p>
    <w:p w:rsidR="00897030" w:rsidRDefault="00897030" w:rsidP="003A6128">
      <w:pPr>
        <w:spacing w:after="120"/>
        <w:ind w:left="360"/>
        <w:jc w:val="both"/>
      </w:pPr>
      <w:r>
        <w:t>NSRK</w:t>
      </w:r>
      <w:r w:rsidR="00E46A0A">
        <w:t>C is a T</w:t>
      </w:r>
      <w:r w:rsidR="00716E4B">
        <w:t>ier4</w:t>
      </w:r>
      <w:r w:rsidR="00E55E43">
        <w:t>a</w:t>
      </w:r>
      <w:r w:rsidR="00716E4B">
        <w:t xml:space="preserve"> crab stock</w:t>
      </w:r>
      <w:r w:rsidR="00E46A0A">
        <w:t>. D</w:t>
      </w:r>
      <w:r w:rsidR="003A6128">
        <w:t xml:space="preserve">irect estimation of the </w:t>
      </w:r>
      <w:r w:rsidR="003A6128" w:rsidRPr="00316421">
        <w:rPr>
          <w:i/>
        </w:rPr>
        <w:t>B</w:t>
      </w:r>
      <w:r w:rsidR="003A6128" w:rsidRPr="00316421">
        <w:rPr>
          <w:vertAlign w:val="subscript"/>
        </w:rPr>
        <w:t>MSY</w:t>
      </w:r>
      <w:r w:rsidR="003A6128">
        <w:t xml:space="preserve"> is not possible</w:t>
      </w:r>
      <w:r w:rsidR="00581F43">
        <w:t xml:space="preserve">. </w:t>
      </w:r>
      <w:r w:rsidRPr="00316421">
        <w:rPr>
          <w:i/>
        </w:rPr>
        <w:t>B</w:t>
      </w:r>
      <w:r w:rsidRPr="00316421">
        <w:rPr>
          <w:vertAlign w:val="subscript"/>
        </w:rPr>
        <w:t>MSY</w:t>
      </w:r>
      <w:r w:rsidR="007E665B">
        <w:t xml:space="preserve"> i</w:t>
      </w:r>
      <w:r>
        <w:t>s calculated as mean model estimated mat</w:t>
      </w:r>
      <w:r w:rsidR="003A6128">
        <w:t>ure male biomass (MMB) from 1980</w:t>
      </w:r>
      <w:r>
        <w:t xml:space="preserve"> to present</w:t>
      </w:r>
      <w:r w:rsidR="00581F43">
        <w:t xml:space="preserve">. </w:t>
      </w:r>
      <w:r>
        <w:t xml:space="preserve"> Choice of this period was based on </w:t>
      </w:r>
      <w:r w:rsidR="004D797B">
        <w:t>the possibility</w:t>
      </w:r>
      <w:r>
        <w:t xml:space="preserve"> tha</w:t>
      </w:r>
      <w:r w:rsidR="004D797B">
        <w:t>t</w:t>
      </w:r>
      <w:r>
        <w:t xml:space="preserve"> </w:t>
      </w:r>
      <w:r w:rsidR="0011770A">
        <w:t xml:space="preserve">a regime </w:t>
      </w:r>
      <w:r w:rsidR="004D797B">
        <w:t xml:space="preserve">shift in ocean-atmosphere </w:t>
      </w:r>
      <w:r w:rsidR="004D797B">
        <w:lastRenderedPageBreak/>
        <w:t xml:space="preserve">circulation dynamics indexed by the Pacific Decadal </w:t>
      </w:r>
      <w:proofErr w:type="spellStart"/>
      <w:r w:rsidR="004D797B">
        <w:t>Ocscillation</w:t>
      </w:r>
      <w:proofErr w:type="spellEnd"/>
      <w:r w:rsidR="004D797B">
        <w:t xml:space="preserve"> (PDO) </w:t>
      </w:r>
      <w:r>
        <w:t xml:space="preserve">occurred in 1976-77 </w:t>
      </w:r>
      <w:r w:rsidR="004403A4">
        <w:t xml:space="preserve">may have influenced stock productivity. </w:t>
      </w:r>
    </w:p>
    <w:p w:rsidR="00897030" w:rsidRDefault="00897030" w:rsidP="00897030">
      <w:pPr>
        <w:spacing w:after="120"/>
        <w:ind w:left="360"/>
        <w:jc w:val="both"/>
      </w:pPr>
      <w:r>
        <w:t xml:space="preserve">    </w:t>
      </w:r>
    </w:p>
    <w:p w:rsidR="00444865" w:rsidRDefault="00444865" w:rsidP="000A03C9">
      <w:pPr>
        <w:pStyle w:val="ListParagraph"/>
        <w:numPr>
          <w:ilvl w:val="0"/>
          <w:numId w:val="4"/>
        </w:numPr>
        <w:spacing w:line="360" w:lineRule="auto"/>
        <w:ind w:left="360"/>
        <w:rPr>
          <w:b/>
          <w:i/>
          <w:sz w:val="28"/>
          <w:szCs w:val="28"/>
        </w:rPr>
      </w:pPr>
      <w:r w:rsidRPr="007A481A">
        <w:rPr>
          <w:b/>
          <w:i/>
          <w:sz w:val="28"/>
          <w:szCs w:val="28"/>
        </w:rPr>
        <w:t>Data</w:t>
      </w:r>
    </w:p>
    <w:p w:rsidR="003A6128" w:rsidRPr="008264B6" w:rsidRDefault="003A6128" w:rsidP="008264B6">
      <w:pPr>
        <w:pStyle w:val="ListParagraph"/>
        <w:spacing w:line="360" w:lineRule="auto"/>
        <w:ind w:left="360"/>
        <w:rPr>
          <w:b/>
          <w:i/>
          <w:sz w:val="28"/>
        </w:rPr>
      </w:pPr>
    </w:p>
    <w:p w:rsidR="007A27F8" w:rsidRDefault="007A27F8" w:rsidP="00A123BF">
      <w:pPr>
        <w:pStyle w:val="ListParagraph"/>
        <w:numPr>
          <w:ilvl w:val="0"/>
          <w:numId w:val="3"/>
        </w:numPr>
        <w:spacing w:after="120"/>
        <w:ind w:left="360"/>
        <w:jc w:val="both"/>
      </w:pPr>
      <w:r>
        <w:t>Summary of new information:</w:t>
      </w:r>
    </w:p>
    <w:p w:rsidR="00E46A0A" w:rsidRDefault="00BE19F0" w:rsidP="00A123BF">
      <w:pPr>
        <w:numPr>
          <w:ilvl w:val="1"/>
          <w:numId w:val="3"/>
        </w:numPr>
        <w:spacing w:after="120"/>
        <w:ind w:left="720"/>
      </w:pPr>
      <w:r>
        <w:t>Winter pot survey CPUE</w:t>
      </w:r>
      <w:r w:rsidR="00581F43">
        <w:t xml:space="preserve">. </w:t>
      </w:r>
      <w:r w:rsidR="006E52AD">
        <w:t xml:space="preserve">Data have been available but have not </w:t>
      </w:r>
      <w:r w:rsidR="00881738">
        <w:t xml:space="preserve">previously </w:t>
      </w:r>
      <w:r w:rsidR="006E52AD">
        <w:t>been incorporated into the model.</w:t>
      </w:r>
    </w:p>
    <w:p w:rsidR="00BE19F0" w:rsidRPr="00BE19F0" w:rsidRDefault="00BE19F0" w:rsidP="00A123BF">
      <w:pPr>
        <w:numPr>
          <w:ilvl w:val="1"/>
          <w:numId w:val="3"/>
        </w:numPr>
        <w:spacing w:after="120"/>
        <w:ind w:left="720"/>
        <w:rPr>
          <w:b/>
        </w:rPr>
      </w:pPr>
      <w:r>
        <w:t>2014 winter commercial and subsistence catches (Model year 2013</w:t>
      </w:r>
      <w:r>
        <w:softHyphen/>
        <w:t>)</w:t>
      </w:r>
      <w:r w:rsidR="00581F43">
        <w:t>.</w:t>
      </w:r>
      <w:r>
        <w:t xml:space="preserve">  </w:t>
      </w:r>
      <w:r w:rsidRPr="00BE19F0">
        <w:rPr>
          <w:b/>
        </w:rPr>
        <w:t>Because th</w:t>
      </w:r>
      <w:r w:rsidR="004403A4">
        <w:rPr>
          <w:b/>
        </w:rPr>
        <w:t xml:space="preserve">ese </w:t>
      </w:r>
      <w:r w:rsidRPr="00BE19F0">
        <w:rPr>
          <w:b/>
        </w:rPr>
        <w:t>data are not available at the time of assessment</w:t>
      </w:r>
      <w:r w:rsidR="004403A4">
        <w:rPr>
          <w:b/>
        </w:rPr>
        <w:t xml:space="preserve"> values </w:t>
      </w:r>
      <w:r w:rsidRPr="00BE19F0">
        <w:rPr>
          <w:b/>
        </w:rPr>
        <w:t xml:space="preserve">were assumed to be the same as 2013. </w:t>
      </w:r>
    </w:p>
    <w:p w:rsidR="00AC0D52" w:rsidRDefault="00AC0D52" w:rsidP="00A123BF">
      <w:pPr>
        <w:spacing w:after="120"/>
        <w:ind w:left="720" w:hanging="360"/>
      </w:pPr>
    </w:p>
    <w:p w:rsidR="00BA3EE5" w:rsidRDefault="001A2C82" w:rsidP="00A123BF">
      <w:pPr>
        <w:pStyle w:val="ListParagraph"/>
        <w:numPr>
          <w:ilvl w:val="0"/>
          <w:numId w:val="3"/>
        </w:numPr>
        <w:spacing w:after="120"/>
        <w:ind w:left="360"/>
        <w:jc w:val="both"/>
      </w:pPr>
      <w:r w:rsidRPr="001A2C82">
        <w:t xml:space="preserve">Available </w:t>
      </w:r>
      <w:r w:rsidR="006873A7">
        <w:t xml:space="preserve">survey, catch, and tagging </w:t>
      </w:r>
      <w:r w:rsidR="00924BA8">
        <w:t>data</w:t>
      </w:r>
      <w:r w:rsidR="005169B4">
        <w:t>:</w:t>
      </w:r>
      <w:r w:rsidRPr="001A2C82">
        <w:t xml:space="preserve"> </w:t>
      </w:r>
      <w:r w:rsidR="00AE54C1">
        <w:t xml:space="preserve"> </w:t>
      </w:r>
    </w:p>
    <w:tbl>
      <w:tblPr>
        <w:tblW w:w="5000" w:type="pct"/>
        <w:tblCellMar>
          <w:left w:w="30" w:type="dxa"/>
          <w:right w:w="30" w:type="dxa"/>
        </w:tblCellMar>
        <w:tblLook w:val="0000" w:firstRow="0" w:lastRow="0" w:firstColumn="0" w:lastColumn="0" w:noHBand="0" w:noVBand="0"/>
      </w:tblPr>
      <w:tblGrid>
        <w:gridCol w:w="2530"/>
        <w:gridCol w:w="1984"/>
        <w:gridCol w:w="2945"/>
        <w:gridCol w:w="1961"/>
      </w:tblGrid>
      <w:tr w:rsidR="00702417" w:rsidTr="006D011A">
        <w:trPr>
          <w:trHeight w:val="346"/>
        </w:trPr>
        <w:tc>
          <w:tcPr>
            <w:tcW w:w="1343" w:type="pct"/>
            <w:tcBorders>
              <w:top w:val="single" w:sz="4" w:space="0" w:color="auto"/>
              <w:bottom w:val="single" w:sz="4" w:space="0" w:color="auto"/>
            </w:tcBorders>
          </w:tcPr>
          <w:p w:rsidR="00702417" w:rsidRDefault="00881738" w:rsidP="00702417">
            <w:pPr>
              <w:rPr>
                <w:color w:val="000000"/>
                <w:sz w:val="22"/>
              </w:rPr>
            </w:pPr>
            <w:r>
              <w:rPr>
                <w:color w:val="000000"/>
                <w:sz w:val="22"/>
              </w:rPr>
              <w:t>Data Source</w:t>
            </w:r>
          </w:p>
        </w:tc>
        <w:tc>
          <w:tcPr>
            <w:tcW w:w="1053" w:type="pct"/>
            <w:tcBorders>
              <w:top w:val="single" w:sz="4" w:space="0" w:color="auto"/>
              <w:bottom w:val="single" w:sz="4" w:space="0" w:color="auto"/>
            </w:tcBorders>
          </w:tcPr>
          <w:p w:rsidR="00702417" w:rsidRDefault="00702417" w:rsidP="00702417">
            <w:pPr>
              <w:rPr>
                <w:color w:val="000000"/>
                <w:sz w:val="22"/>
              </w:rPr>
            </w:pPr>
            <w:r>
              <w:rPr>
                <w:color w:val="000000"/>
                <w:sz w:val="22"/>
              </w:rPr>
              <w:t>Years</w:t>
            </w:r>
          </w:p>
        </w:tc>
        <w:tc>
          <w:tcPr>
            <w:tcW w:w="1563" w:type="pct"/>
            <w:tcBorders>
              <w:top w:val="single" w:sz="4" w:space="0" w:color="auto"/>
              <w:bottom w:val="single" w:sz="4" w:space="0" w:color="auto"/>
            </w:tcBorders>
          </w:tcPr>
          <w:p w:rsidR="00702417" w:rsidRDefault="00702417" w:rsidP="00702417">
            <w:pPr>
              <w:rPr>
                <w:color w:val="000000"/>
                <w:sz w:val="22"/>
              </w:rPr>
            </w:pPr>
            <w:r>
              <w:rPr>
                <w:color w:val="000000"/>
                <w:sz w:val="22"/>
              </w:rPr>
              <w:t>Data Types</w:t>
            </w:r>
          </w:p>
        </w:tc>
        <w:tc>
          <w:tcPr>
            <w:tcW w:w="1041" w:type="pct"/>
            <w:tcBorders>
              <w:top w:val="single" w:sz="4" w:space="0" w:color="auto"/>
              <w:bottom w:val="single" w:sz="4" w:space="0" w:color="auto"/>
            </w:tcBorders>
          </w:tcPr>
          <w:p w:rsidR="00702417" w:rsidRDefault="00881738" w:rsidP="00702417">
            <w:pPr>
              <w:rPr>
                <w:color w:val="000000"/>
                <w:sz w:val="22"/>
              </w:rPr>
            </w:pPr>
            <w:r>
              <w:rPr>
                <w:color w:val="000000"/>
                <w:sz w:val="22"/>
              </w:rPr>
              <w:t xml:space="preserve">Representation </w:t>
            </w:r>
          </w:p>
        </w:tc>
      </w:tr>
      <w:tr w:rsidR="00370815" w:rsidTr="002854B8">
        <w:tblPrEx>
          <w:tblCellMar>
            <w:left w:w="29" w:type="dxa"/>
            <w:right w:w="29" w:type="dxa"/>
          </w:tblCellMar>
        </w:tblPrEx>
        <w:trPr>
          <w:trHeight w:val="213"/>
        </w:trPr>
        <w:tc>
          <w:tcPr>
            <w:tcW w:w="1343" w:type="pct"/>
            <w:vMerge w:val="restart"/>
            <w:tcBorders>
              <w:top w:val="single" w:sz="4" w:space="0" w:color="auto"/>
            </w:tcBorders>
          </w:tcPr>
          <w:p w:rsidR="00370815" w:rsidRDefault="00370815" w:rsidP="00702417">
            <w:pPr>
              <w:rPr>
                <w:color w:val="000000"/>
                <w:sz w:val="22"/>
              </w:rPr>
            </w:pPr>
            <w:r>
              <w:rPr>
                <w:color w:val="000000"/>
                <w:sz w:val="22"/>
              </w:rPr>
              <w:t>Summer trawl survey</w:t>
            </w:r>
            <w:r w:rsidR="002854B8">
              <w:rPr>
                <w:color w:val="000000"/>
                <w:sz w:val="22"/>
              </w:rPr>
              <w:t>*</w:t>
            </w:r>
          </w:p>
        </w:tc>
        <w:tc>
          <w:tcPr>
            <w:tcW w:w="1053" w:type="pct"/>
            <w:vMerge w:val="restart"/>
            <w:tcBorders>
              <w:top w:val="single" w:sz="4" w:space="0" w:color="auto"/>
            </w:tcBorders>
          </w:tcPr>
          <w:p w:rsidR="00370815" w:rsidRDefault="00370815" w:rsidP="00702417">
            <w:pPr>
              <w:rPr>
                <w:color w:val="000000"/>
                <w:sz w:val="22"/>
              </w:rPr>
            </w:pPr>
            <w:r>
              <w:rPr>
                <w:color w:val="000000"/>
                <w:sz w:val="22"/>
              </w:rPr>
              <w:t>76,79,82,85,88,91,96, 99, 02,06,08,10,11</w:t>
            </w:r>
          </w:p>
        </w:tc>
        <w:tc>
          <w:tcPr>
            <w:tcW w:w="1563" w:type="pct"/>
            <w:tcBorders>
              <w:top w:val="single" w:sz="4" w:space="0" w:color="auto"/>
            </w:tcBorders>
          </w:tcPr>
          <w:p w:rsidR="00370815" w:rsidRDefault="00370815" w:rsidP="00370815">
            <w:pPr>
              <w:rPr>
                <w:color w:val="000000"/>
                <w:sz w:val="22"/>
              </w:rPr>
            </w:pPr>
            <w:r>
              <w:rPr>
                <w:color w:val="000000"/>
                <w:sz w:val="22"/>
              </w:rPr>
              <w:t xml:space="preserve">Abundance </w:t>
            </w:r>
          </w:p>
        </w:tc>
        <w:tc>
          <w:tcPr>
            <w:tcW w:w="1041" w:type="pct"/>
            <w:tcBorders>
              <w:top w:val="single" w:sz="4" w:space="0" w:color="auto"/>
            </w:tcBorders>
          </w:tcPr>
          <w:p w:rsidR="00370815" w:rsidRDefault="00881738" w:rsidP="003E4414">
            <w:pPr>
              <w:rPr>
                <w:color w:val="000000"/>
                <w:sz w:val="22"/>
              </w:rPr>
            </w:pPr>
            <w:r>
              <w:rPr>
                <w:color w:val="000000"/>
                <w:sz w:val="22"/>
              </w:rPr>
              <w:t xml:space="preserve">Table </w:t>
            </w:r>
            <w:r w:rsidR="00370815">
              <w:rPr>
                <w:color w:val="000000"/>
                <w:sz w:val="22"/>
              </w:rPr>
              <w:t>3</w:t>
            </w:r>
          </w:p>
        </w:tc>
      </w:tr>
      <w:tr w:rsidR="00370815" w:rsidTr="008264B6">
        <w:tblPrEx>
          <w:tblCellMar>
            <w:left w:w="29" w:type="dxa"/>
            <w:right w:w="29" w:type="dxa"/>
          </w:tblCellMar>
        </w:tblPrEx>
        <w:trPr>
          <w:trHeight w:val="213"/>
        </w:trPr>
        <w:tc>
          <w:tcPr>
            <w:tcW w:w="1343" w:type="pct"/>
            <w:vMerge/>
            <w:tcBorders>
              <w:bottom w:val="single" w:sz="4" w:space="0" w:color="auto"/>
            </w:tcBorders>
          </w:tcPr>
          <w:p w:rsidR="00370815" w:rsidRDefault="00370815" w:rsidP="00702417">
            <w:pPr>
              <w:rPr>
                <w:color w:val="000000"/>
                <w:sz w:val="22"/>
              </w:rPr>
            </w:pPr>
          </w:p>
        </w:tc>
        <w:tc>
          <w:tcPr>
            <w:tcW w:w="1053" w:type="pct"/>
            <w:vMerge/>
            <w:tcBorders>
              <w:bottom w:val="single" w:sz="4" w:space="0" w:color="auto"/>
            </w:tcBorders>
          </w:tcPr>
          <w:p w:rsidR="00370815" w:rsidRDefault="00370815" w:rsidP="00702417">
            <w:pPr>
              <w:rPr>
                <w:color w:val="000000"/>
                <w:sz w:val="22"/>
              </w:rPr>
            </w:pPr>
          </w:p>
        </w:tc>
        <w:tc>
          <w:tcPr>
            <w:tcW w:w="1563" w:type="pct"/>
            <w:tcBorders>
              <w:bottom w:val="single" w:sz="4" w:space="0" w:color="auto"/>
            </w:tcBorders>
          </w:tcPr>
          <w:p w:rsidR="00370815" w:rsidRDefault="00370815" w:rsidP="00702417">
            <w:pPr>
              <w:rPr>
                <w:color w:val="000000"/>
                <w:sz w:val="22"/>
              </w:rPr>
            </w:pPr>
            <w:r>
              <w:rPr>
                <w:color w:val="000000"/>
                <w:sz w:val="22"/>
              </w:rPr>
              <w:t>Length proportion</w:t>
            </w:r>
          </w:p>
        </w:tc>
        <w:tc>
          <w:tcPr>
            <w:tcW w:w="1041" w:type="pct"/>
            <w:tcBorders>
              <w:bottom w:val="single" w:sz="4" w:space="0" w:color="auto"/>
            </w:tcBorders>
          </w:tcPr>
          <w:p w:rsidR="00370815" w:rsidRDefault="00881738" w:rsidP="003E4414">
            <w:pPr>
              <w:rPr>
                <w:color w:val="000000"/>
                <w:sz w:val="22"/>
              </w:rPr>
            </w:pPr>
            <w:r>
              <w:rPr>
                <w:color w:val="000000"/>
                <w:sz w:val="22"/>
              </w:rPr>
              <w:t xml:space="preserve">Table </w:t>
            </w:r>
            <w:r w:rsidR="00370815">
              <w:rPr>
                <w:color w:val="000000"/>
                <w:sz w:val="22"/>
              </w:rPr>
              <w:t>5, Figure 3</w:t>
            </w:r>
          </w:p>
        </w:tc>
      </w:tr>
      <w:tr w:rsidR="00370815" w:rsidTr="008264B6">
        <w:tblPrEx>
          <w:tblCellMar>
            <w:left w:w="29" w:type="dxa"/>
            <w:right w:w="29" w:type="dxa"/>
          </w:tblCellMar>
        </w:tblPrEx>
        <w:trPr>
          <w:trHeight w:val="213"/>
        </w:trPr>
        <w:tc>
          <w:tcPr>
            <w:tcW w:w="1343" w:type="pct"/>
            <w:vMerge w:val="restart"/>
            <w:tcBorders>
              <w:top w:val="single" w:sz="4" w:space="0" w:color="auto"/>
            </w:tcBorders>
          </w:tcPr>
          <w:p w:rsidR="00370815" w:rsidRDefault="00370815" w:rsidP="00702417">
            <w:pPr>
              <w:rPr>
                <w:color w:val="000000"/>
                <w:sz w:val="22"/>
              </w:rPr>
            </w:pPr>
            <w:r>
              <w:rPr>
                <w:color w:val="000000"/>
                <w:sz w:val="22"/>
              </w:rPr>
              <w:t>Winter pot survey</w:t>
            </w:r>
          </w:p>
        </w:tc>
        <w:tc>
          <w:tcPr>
            <w:tcW w:w="1053" w:type="pct"/>
            <w:vMerge w:val="restart"/>
            <w:tcBorders>
              <w:top w:val="single" w:sz="4" w:space="0" w:color="auto"/>
            </w:tcBorders>
          </w:tcPr>
          <w:p w:rsidR="00370815" w:rsidRDefault="00370815" w:rsidP="00702417">
            <w:pPr>
              <w:rPr>
                <w:color w:val="000000"/>
                <w:sz w:val="22"/>
              </w:rPr>
            </w:pPr>
            <w:r>
              <w:rPr>
                <w:color w:val="000000"/>
                <w:sz w:val="22"/>
              </w:rPr>
              <w:t>81-87, 89-91,93,95-00,02-12</w:t>
            </w:r>
          </w:p>
        </w:tc>
        <w:tc>
          <w:tcPr>
            <w:tcW w:w="1563" w:type="pct"/>
            <w:tcBorders>
              <w:top w:val="single" w:sz="4" w:space="0" w:color="auto"/>
            </w:tcBorders>
          </w:tcPr>
          <w:p w:rsidR="00370815" w:rsidRDefault="00370815" w:rsidP="00702417">
            <w:pPr>
              <w:rPr>
                <w:color w:val="000000"/>
                <w:sz w:val="22"/>
              </w:rPr>
            </w:pPr>
            <w:r>
              <w:rPr>
                <w:color w:val="000000"/>
                <w:sz w:val="22"/>
              </w:rPr>
              <w:t>CPUE</w:t>
            </w:r>
          </w:p>
        </w:tc>
        <w:tc>
          <w:tcPr>
            <w:tcW w:w="1041" w:type="pct"/>
            <w:tcBorders>
              <w:top w:val="single" w:sz="4" w:space="0" w:color="auto"/>
            </w:tcBorders>
          </w:tcPr>
          <w:p w:rsidR="00370815" w:rsidRDefault="00881738" w:rsidP="00702417">
            <w:pPr>
              <w:rPr>
                <w:color w:val="000000"/>
                <w:sz w:val="22"/>
              </w:rPr>
            </w:pPr>
            <w:r>
              <w:rPr>
                <w:color w:val="000000"/>
                <w:sz w:val="22"/>
              </w:rPr>
              <w:t xml:space="preserve">Table </w:t>
            </w:r>
            <w:r w:rsidR="002854B8">
              <w:rPr>
                <w:color w:val="000000"/>
                <w:sz w:val="22"/>
              </w:rPr>
              <w:t>2</w:t>
            </w:r>
          </w:p>
        </w:tc>
      </w:tr>
      <w:tr w:rsidR="00370815" w:rsidTr="0063629D">
        <w:tblPrEx>
          <w:tblCellMar>
            <w:left w:w="29" w:type="dxa"/>
            <w:right w:w="29" w:type="dxa"/>
          </w:tblCellMar>
        </w:tblPrEx>
        <w:trPr>
          <w:trHeight w:val="213"/>
        </w:trPr>
        <w:tc>
          <w:tcPr>
            <w:tcW w:w="1343" w:type="pct"/>
            <w:vMerge/>
          </w:tcPr>
          <w:p w:rsidR="00370815" w:rsidRDefault="00370815" w:rsidP="00702417">
            <w:pPr>
              <w:rPr>
                <w:color w:val="000000"/>
                <w:sz w:val="22"/>
              </w:rPr>
            </w:pPr>
          </w:p>
        </w:tc>
        <w:tc>
          <w:tcPr>
            <w:tcW w:w="1053" w:type="pct"/>
            <w:vMerge/>
          </w:tcPr>
          <w:p w:rsidR="00370815" w:rsidRDefault="00370815" w:rsidP="00702417">
            <w:pPr>
              <w:rPr>
                <w:color w:val="000000"/>
                <w:sz w:val="22"/>
              </w:rPr>
            </w:pPr>
          </w:p>
        </w:tc>
        <w:tc>
          <w:tcPr>
            <w:tcW w:w="1563" w:type="pct"/>
          </w:tcPr>
          <w:p w:rsidR="00370815" w:rsidRDefault="00370815" w:rsidP="00702417">
            <w:pPr>
              <w:rPr>
                <w:color w:val="000000"/>
                <w:sz w:val="22"/>
              </w:rPr>
            </w:pPr>
            <w:r>
              <w:rPr>
                <w:color w:val="000000"/>
                <w:sz w:val="22"/>
              </w:rPr>
              <w:t>Length proportion</w:t>
            </w:r>
          </w:p>
        </w:tc>
        <w:tc>
          <w:tcPr>
            <w:tcW w:w="1041" w:type="pct"/>
          </w:tcPr>
          <w:p w:rsidR="00370815" w:rsidRDefault="00881738" w:rsidP="00702417">
            <w:pPr>
              <w:rPr>
                <w:color w:val="000000"/>
                <w:sz w:val="22"/>
              </w:rPr>
            </w:pPr>
            <w:r>
              <w:rPr>
                <w:color w:val="000000"/>
                <w:sz w:val="22"/>
              </w:rPr>
              <w:t xml:space="preserve">Table </w:t>
            </w:r>
            <w:r w:rsidR="00370815">
              <w:rPr>
                <w:color w:val="000000"/>
                <w:sz w:val="22"/>
              </w:rPr>
              <w:t>6</w:t>
            </w:r>
            <w:r w:rsidR="002819CD">
              <w:rPr>
                <w:color w:val="000000"/>
                <w:sz w:val="22"/>
              </w:rPr>
              <w:t>, Figure 3</w:t>
            </w:r>
          </w:p>
        </w:tc>
      </w:tr>
      <w:tr w:rsidR="002819CD" w:rsidTr="002819CD">
        <w:tblPrEx>
          <w:tblCellMar>
            <w:left w:w="29" w:type="dxa"/>
            <w:right w:w="29" w:type="dxa"/>
          </w:tblCellMar>
        </w:tblPrEx>
        <w:trPr>
          <w:trHeight w:val="132"/>
        </w:trPr>
        <w:tc>
          <w:tcPr>
            <w:tcW w:w="1343" w:type="pct"/>
            <w:vMerge w:val="restart"/>
          </w:tcPr>
          <w:p w:rsidR="002819CD" w:rsidRDefault="002819CD" w:rsidP="00702417">
            <w:pPr>
              <w:rPr>
                <w:color w:val="000000"/>
                <w:sz w:val="22"/>
              </w:rPr>
            </w:pPr>
            <w:r>
              <w:rPr>
                <w:color w:val="000000"/>
                <w:sz w:val="22"/>
              </w:rPr>
              <w:t>Summer commercial fishery</w:t>
            </w:r>
          </w:p>
        </w:tc>
        <w:tc>
          <w:tcPr>
            <w:tcW w:w="1053" w:type="pct"/>
            <w:vMerge w:val="restart"/>
          </w:tcPr>
          <w:p w:rsidR="002819CD" w:rsidRDefault="002819CD" w:rsidP="00702417">
            <w:pPr>
              <w:rPr>
                <w:color w:val="000000"/>
                <w:sz w:val="22"/>
              </w:rPr>
            </w:pPr>
            <w:r>
              <w:rPr>
                <w:color w:val="000000"/>
                <w:sz w:val="22"/>
              </w:rPr>
              <w:t>76-90,92-13</w:t>
            </w:r>
          </w:p>
        </w:tc>
        <w:tc>
          <w:tcPr>
            <w:tcW w:w="1563" w:type="pct"/>
          </w:tcPr>
          <w:p w:rsidR="002819CD" w:rsidRDefault="002819CD" w:rsidP="00370815">
            <w:pPr>
              <w:rPr>
                <w:color w:val="000000"/>
                <w:sz w:val="22"/>
              </w:rPr>
            </w:pPr>
            <w:r>
              <w:rPr>
                <w:color w:val="000000"/>
                <w:sz w:val="22"/>
              </w:rPr>
              <w:t>Retained catch</w:t>
            </w:r>
            <w:r w:rsidR="006D011A">
              <w:rPr>
                <w:color w:val="000000"/>
                <w:sz w:val="22"/>
              </w:rPr>
              <w:t xml:space="preserve"> number</w:t>
            </w:r>
          </w:p>
        </w:tc>
        <w:tc>
          <w:tcPr>
            <w:tcW w:w="1041" w:type="pct"/>
          </w:tcPr>
          <w:p w:rsidR="002819CD" w:rsidRDefault="00881738" w:rsidP="00370815">
            <w:pPr>
              <w:rPr>
                <w:color w:val="000000"/>
                <w:sz w:val="22"/>
              </w:rPr>
            </w:pPr>
            <w:r>
              <w:rPr>
                <w:color w:val="000000"/>
                <w:sz w:val="22"/>
              </w:rPr>
              <w:t xml:space="preserve">Table </w:t>
            </w:r>
            <w:r w:rsidR="002819CD">
              <w:rPr>
                <w:color w:val="000000"/>
                <w:sz w:val="22"/>
              </w:rPr>
              <w:t>1</w:t>
            </w:r>
          </w:p>
        </w:tc>
      </w:tr>
      <w:tr w:rsidR="002819CD" w:rsidTr="00370815">
        <w:tblPrEx>
          <w:tblCellMar>
            <w:left w:w="29" w:type="dxa"/>
            <w:right w:w="29" w:type="dxa"/>
          </w:tblCellMar>
        </w:tblPrEx>
        <w:trPr>
          <w:trHeight w:val="131"/>
        </w:trPr>
        <w:tc>
          <w:tcPr>
            <w:tcW w:w="1343" w:type="pct"/>
            <w:vMerge/>
          </w:tcPr>
          <w:p w:rsidR="002819CD" w:rsidRDefault="002819CD" w:rsidP="00702417">
            <w:pPr>
              <w:rPr>
                <w:color w:val="000000"/>
                <w:sz w:val="22"/>
              </w:rPr>
            </w:pPr>
          </w:p>
        </w:tc>
        <w:tc>
          <w:tcPr>
            <w:tcW w:w="1053" w:type="pct"/>
            <w:vMerge/>
          </w:tcPr>
          <w:p w:rsidR="002819CD" w:rsidRDefault="002819CD" w:rsidP="00702417">
            <w:pPr>
              <w:rPr>
                <w:color w:val="000000"/>
                <w:sz w:val="22"/>
              </w:rPr>
            </w:pPr>
          </w:p>
        </w:tc>
        <w:tc>
          <w:tcPr>
            <w:tcW w:w="1563" w:type="pct"/>
          </w:tcPr>
          <w:p w:rsidR="002819CD" w:rsidRDefault="002819CD" w:rsidP="00370815">
            <w:pPr>
              <w:rPr>
                <w:color w:val="000000"/>
                <w:sz w:val="22"/>
              </w:rPr>
            </w:pPr>
            <w:r>
              <w:rPr>
                <w:color w:val="000000"/>
                <w:sz w:val="22"/>
              </w:rPr>
              <w:t>Standardized CPUE,</w:t>
            </w:r>
          </w:p>
        </w:tc>
        <w:tc>
          <w:tcPr>
            <w:tcW w:w="1041" w:type="pct"/>
          </w:tcPr>
          <w:p w:rsidR="002819CD" w:rsidRDefault="00881738" w:rsidP="00370815">
            <w:pPr>
              <w:rPr>
                <w:color w:val="000000"/>
                <w:sz w:val="22"/>
              </w:rPr>
            </w:pPr>
            <w:r>
              <w:rPr>
                <w:color w:val="000000"/>
                <w:sz w:val="22"/>
              </w:rPr>
              <w:t xml:space="preserve">Table </w:t>
            </w:r>
            <w:r w:rsidR="002819CD">
              <w:rPr>
                <w:color w:val="000000"/>
                <w:sz w:val="22"/>
              </w:rPr>
              <w:t>1</w:t>
            </w:r>
          </w:p>
        </w:tc>
      </w:tr>
      <w:tr w:rsidR="002819CD" w:rsidTr="0063629D">
        <w:tblPrEx>
          <w:tblCellMar>
            <w:left w:w="29" w:type="dxa"/>
            <w:right w:w="29" w:type="dxa"/>
          </w:tblCellMar>
        </w:tblPrEx>
        <w:trPr>
          <w:trHeight w:val="319"/>
        </w:trPr>
        <w:tc>
          <w:tcPr>
            <w:tcW w:w="1343" w:type="pct"/>
            <w:vMerge/>
          </w:tcPr>
          <w:p w:rsidR="002819CD" w:rsidRDefault="002819CD" w:rsidP="00702417">
            <w:pPr>
              <w:rPr>
                <w:color w:val="000000"/>
                <w:sz w:val="22"/>
              </w:rPr>
            </w:pPr>
          </w:p>
        </w:tc>
        <w:tc>
          <w:tcPr>
            <w:tcW w:w="1053" w:type="pct"/>
            <w:vMerge/>
          </w:tcPr>
          <w:p w:rsidR="002819CD" w:rsidRDefault="002819CD" w:rsidP="00702417">
            <w:pPr>
              <w:rPr>
                <w:color w:val="000000"/>
                <w:sz w:val="22"/>
              </w:rPr>
            </w:pPr>
          </w:p>
        </w:tc>
        <w:tc>
          <w:tcPr>
            <w:tcW w:w="1563" w:type="pct"/>
          </w:tcPr>
          <w:p w:rsidR="002819CD" w:rsidRDefault="002819CD" w:rsidP="009D298C">
            <w:pPr>
              <w:rPr>
                <w:color w:val="000000"/>
                <w:sz w:val="22"/>
              </w:rPr>
            </w:pPr>
            <w:r>
              <w:rPr>
                <w:color w:val="000000"/>
                <w:sz w:val="22"/>
              </w:rPr>
              <w:t>Length proportion</w:t>
            </w:r>
          </w:p>
        </w:tc>
        <w:tc>
          <w:tcPr>
            <w:tcW w:w="1041" w:type="pct"/>
          </w:tcPr>
          <w:p w:rsidR="002819CD" w:rsidRDefault="00881738" w:rsidP="003E4414">
            <w:pPr>
              <w:rPr>
                <w:color w:val="000000"/>
                <w:sz w:val="22"/>
              </w:rPr>
            </w:pPr>
            <w:r>
              <w:rPr>
                <w:color w:val="000000"/>
                <w:sz w:val="22"/>
              </w:rPr>
              <w:t xml:space="preserve">Table </w:t>
            </w:r>
            <w:r w:rsidR="002819CD">
              <w:rPr>
                <w:color w:val="000000"/>
                <w:sz w:val="22"/>
              </w:rPr>
              <w:t>4, Figure 3</w:t>
            </w:r>
          </w:p>
        </w:tc>
      </w:tr>
      <w:tr w:rsidR="00702417" w:rsidTr="0063629D">
        <w:tblPrEx>
          <w:tblCellMar>
            <w:left w:w="29" w:type="dxa"/>
            <w:right w:w="29" w:type="dxa"/>
          </w:tblCellMar>
        </w:tblPrEx>
        <w:trPr>
          <w:trHeight w:val="288"/>
        </w:trPr>
        <w:tc>
          <w:tcPr>
            <w:tcW w:w="1343" w:type="pct"/>
          </w:tcPr>
          <w:p w:rsidR="00702417" w:rsidRDefault="00657A3A" w:rsidP="00702417">
            <w:pPr>
              <w:rPr>
                <w:color w:val="000000"/>
                <w:sz w:val="22"/>
              </w:rPr>
            </w:pPr>
            <w:r>
              <w:rPr>
                <w:color w:val="000000"/>
                <w:sz w:val="22"/>
              </w:rPr>
              <w:t>Summer commercial Observer</w:t>
            </w:r>
          </w:p>
        </w:tc>
        <w:tc>
          <w:tcPr>
            <w:tcW w:w="1053" w:type="pct"/>
          </w:tcPr>
          <w:p w:rsidR="00702417" w:rsidRDefault="00702417" w:rsidP="00702417">
            <w:pPr>
              <w:rPr>
                <w:color w:val="000000"/>
                <w:sz w:val="22"/>
              </w:rPr>
            </w:pPr>
            <w:r>
              <w:rPr>
                <w:color w:val="000000"/>
                <w:sz w:val="22"/>
              </w:rPr>
              <w:t>87-90,92,94, 2012</w:t>
            </w:r>
            <w:r w:rsidR="00E46A0A">
              <w:rPr>
                <w:color w:val="000000"/>
                <w:sz w:val="22"/>
              </w:rPr>
              <w:t>-2013</w:t>
            </w:r>
          </w:p>
        </w:tc>
        <w:tc>
          <w:tcPr>
            <w:tcW w:w="1563" w:type="pct"/>
          </w:tcPr>
          <w:p w:rsidR="002819CD" w:rsidRDefault="002819CD" w:rsidP="00702417">
            <w:pPr>
              <w:rPr>
                <w:color w:val="000000"/>
                <w:sz w:val="22"/>
              </w:rPr>
            </w:pPr>
            <w:r>
              <w:rPr>
                <w:color w:val="000000"/>
                <w:sz w:val="22"/>
              </w:rPr>
              <w:t xml:space="preserve">Length proportion </w:t>
            </w:r>
          </w:p>
          <w:p w:rsidR="00702417" w:rsidRDefault="00702417" w:rsidP="00702417">
            <w:pPr>
              <w:rPr>
                <w:color w:val="000000"/>
                <w:sz w:val="22"/>
              </w:rPr>
            </w:pPr>
            <w:r>
              <w:rPr>
                <w:color w:val="000000"/>
                <w:sz w:val="22"/>
              </w:rPr>
              <w:t>(sub-legal only)</w:t>
            </w:r>
          </w:p>
        </w:tc>
        <w:tc>
          <w:tcPr>
            <w:tcW w:w="1041" w:type="pct"/>
          </w:tcPr>
          <w:p w:rsidR="00702417" w:rsidRDefault="00881738" w:rsidP="00702417">
            <w:pPr>
              <w:rPr>
                <w:color w:val="000000"/>
                <w:sz w:val="22"/>
              </w:rPr>
            </w:pPr>
            <w:r>
              <w:rPr>
                <w:color w:val="000000"/>
                <w:sz w:val="22"/>
              </w:rPr>
              <w:t xml:space="preserve">Table </w:t>
            </w:r>
            <w:r w:rsidR="006121A6">
              <w:rPr>
                <w:color w:val="000000"/>
                <w:sz w:val="22"/>
              </w:rPr>
              <w:t>7</w:t>
            </w:r>
            <w:r w:rsidR="00657A3A">
              <w:rPr>
                <w:color w:val="000000"/>
                <w:sz w:val="22"/>
              </w:rPr>
              <w:t>, Figure 3</w:t>
            </w:r>
          </w:p>
        </w:tc>
      </w:tr>
      <w:tr w:rsidR="00370815" w:rsidTr="00370815">
        <w:tblPrEx>
          <w:tblCellMar>
            <w:left w:w="29" w:type="dxa"/>
            <w:right w:w="29" w:type="dxa"/>
          </w:tblCellMar>
        </w:tblPrEx>
        <w:trPr>
          <w:trHeight w:val="320"/>
        </w:trPr>
        <w:tc>
          <w:tcPr>
            <w:tcW w:w="1343" w:type="pct"/>
            <w:vMerge w:val="restart"/>
          </w:tcPr>
          <w:p w:rsidR="00370815" w:rsidRDefault="00370815" w:rsidP="002819CD">
            <w:pPr>
              <w:rPr>
                <w:color w:val="000000"/>
                <w:sz w:val="22"/>
              </w:rPr>
            </w:pPr>
            <w:r>
              <w:rPr>
                <w:color w:val="000000"/>
                <w:sz w:val="22"/>
              </w:rPr>
              <w:t>Winter subsistence fishery</w:t>
            </w:r>
          </w:p>
        </w:tc>
        <w:tc>
          <w:tcPr>
            <w:tcW w:w="1053" w:type="pct"/>
            <w:vMerge w:val="restart"/>
          </w:tcPr>
          <w:p w:rsidR="00370815" w:rsidRDefault="00370815" w:rsidP="00702417">
            <w:pPr>
              <w:rPr>
                <w:color w:val="000000"/>
                <w:sz w:val="22"/>
              </w:rPr>
            </w:pPr>
            <w:r>
              <w:rPr>
                <w:color w:val="000000"/>
                <w:sz w:val="22"/>
              </w:rPr>
              <w:t>76-13</w:t>
            </w:r>
          </w:p>
        </w:tc>
        <w:tc>
          <w:tcPr>
            <w:tcW w:w="1563" w:type="pct"/>
          </w:tcPr>
          <w:p w:rsidR="00370815" w:rsidRDefault="00370815" w:rsidP="002819CD">
            <w:pPr>
              <w:rPr>
                <w:color w:val="000000"/>
                <w:sz w:val="22"/>
              </w:rPr>
            </w:pPr>
            <w:r>
              <w:rPr>
                <w:color w:val="000000"/>
                <w:sz w:val="22"/>
              </w:rPr>
              <w:t>Number</w:t>
            </w:r>
            <w:r w:rsidR="002819CD">
              <w:rPr>
                <w:color w:val="000000"/>
                <w:sz w:val="22"/>
              </w:rPr>
              <w:t xml:space="preserve"> of crab caught </w:t>
            </w:r>
          </w:p>
        </w:tc>
        <w:tc>
          <w:tcPr>
            <w:tcW w:w="1041" w:type="pct"/>
          </w:tcPr>
          <w:p w:rsidR="00370815" w:rsidRDefault="00881738" w:rsidP="00702417">
            <w:pPr>
              <w:rPr>
                <w:color w:val="000000"/>
                <w:sz w:val="22"/>
              </w:rPr>
            </w:pPr>
            <w:r>
              <w:rPr>
                <w:color w:val="000000"/>
                <w:sz w:val="22"/>
              </w:rPr>
              <w:t xml:space="preserve">Table </w:t>
            </w:r>
            <w:r w:rsidR="002819CD">
              <w:rPr>
                <w:color w:val="000000"/>
                <w:sz w:val="22"/>
              </w:rPr>
              <w:t>2</w:t>
            </w:r>
          </w:p>
        </w:tc>
      </w:tr>
      <w:tr w:rsidR="00370815" w:rsidTr="002854B8">
        <w:tblPrEx>
          <w:tblCellMar>
            <w:left w:w="29" w:type="dxa"/>
            <w:right w:w="29" w:type="dxa"/>
          </w:tblCellMar>
        </w:tblPrEx>
        <w:trPr>
          <w:trHeight w:val="319"/>
        </w:trPr>
        <w:tc>
          <w:tcPr>
            <w:tcW w:w="1343" w:type="pct"/>
            <w:vMerge/>
          </w:tcPr>
          <w:p w:rsidR="00370815" w:rsidRDefault="00370815" w:rsidP="00702417">
            <w:pPr>
              <w:rPr>
                <w:color w:val="000000"/>
                <w:sz w:val="22"/>
              </w:rPr>
            </w:pPr>
          </w:p>
        </w:tc>
        <w:tc>
          <w:tcPr>
            <w:tcW w:w="1053" w:type="pct"/>
            <w:vMerge/>
          </w:tcPr>
          <w:p w:rsidR="00370815" w:rsidRDefault="00370815" w:rsidP="00702417">
            <w:pPr>
              <w:rPr>
                <w:color w:val="000000"/>
                <w:sz w:val="22"/>
              </w:rPr>
            </w:pPr>
          </w:p>
        </w:tc>
        <w:tc>
          <w:tcPr>
            <w:tcW w:w="1563" w:type="pct"/>
          </w:tcPr>
          <w:p w:rsidR="00370815" w:rsidRDefault="002819CD" w:rsidP="00702417">
            <w:pPr>
              <w:rPr>
                <w:color w:val="000000"/>
                <w:sz w:val="22"/>
              </w:rPr>
            </w:pPr>
            <w:r>
              <w:rPr>
                <w:color w:val="000000"/>
                <w:sz w:val="22"/>
              </w:rPr>
              <w:t>Retained catch</w:t>
            </w:r>
            <w:r w:rsidR="006D011A">
              <w:rPr>
                <w:color w:val="000000"/>
                <w:sz w:val="22"/>
              </w:rPr>
              <w:t xml:space="preserve"> number</w:t>
            </w:r>
          </w:p>
        </w:tc>
        <w:tc>
          <w:tcPr>
            <w:tcW w:w="1041" w:type="pct"/>
          </w:tcPr>
          <w:p w:rsidR="00370815" w:rsidRDefault="00881738" w:rsidP="00702417">
            <w:pPr>
              <w:rPr>
                <w:color w:val="000000"/>
                <w:sz w:val="22"/>
              </w:rPr>
            </w:pPr>
            <w:r>
              <w:rPr>
                <w:color w:val="000000"/>
                <w:sz w:val="22"/>
              </w:rPr>
              <w:t xml:space="preserve">Table </w:t>
            </w:r>
            <w:r w:rsidR="002819CD">
              <w:rPr>
                <w:color w:val="000000"/>
                <w:sz w:val="22"/>
              </w:rPr>
              <w:t>2</w:t>
            </w:r>
          </w:p>
        </w:tc>
      </w:tr>
      <w:tr w:rsidR="002819CD" w:rsidTr="002854B8">
        <w:tblPrEx>
          <w:tblCellMar>
            <w:left w:w="29" w:type="dxa"/>
            <w:right w:w="29" w:type="dxa"/>
          </w:tblCellMar>
        </w:tblPrEx>
        <w:trPr>
          <w:trHeight w:val="288"/>
        </w:trPr>
        <w:tc>
          <w:tcPr>
            <w:tcW w:w="1343" w:type="pct"/>
          </w:tcPr>
          <w:p w:rsidR="002819CD" w:rsidRDefault="002819CD" w:rsidP="00702417">
            <w:pPr>
              <w:rPr>
                <w:color w:val="000000"/>
                <w:sz w:val="22"/>
              </w:rPr>
            </w:pPr>
            <w:r>
              <w:rPr>
                <w:color w:val="000000"/>
                <w:sz w:val="22"/>
              </w:rPr>
              <w:t>Winter commercial fishery</w:t>
            </w:r>
          </w:p>
        </w:tc>
        <w:tc>
          <w:tcPr>
            <w:tcW w:w="1053" w:type="pct"/>
          </w:tcPr>
          <w:p w:rsidR="002819CD" w:rsidRDefault="002819CD" w:rsidP="00702417">
            <w:pPr>
              <w:rPr>
                <w:color w:val="000000"/>
                <w:sz w:val="22"/>
              </w:rPr>
            </w:pPr>
            <w:r>
              <w:rPr>
                <w:color w:val="000000"/>
                <w:sz w:val="22"/>
              </w:rPr>
              <w:t>78-13</w:t>
            </w:r>
          </w:p>
        </w:tc>
        <w:tc>
          <w:tcPr>
            <w:tcW w:w="1563" w:type="pct"/>
          </w:tcPr>
          <w:p w:rsidR="002819CD" w:rsidRDefault="002819CD" w:rsidP="00702417">
            <w:pPr>
              <w:rPr>
                <w:color w:val="000000"/>
                <w:sz w:val="22"/>
              </w:rPr>
            </w:pPr>
            <w:r>
              <w:rPr>
                <w:color w:val="000000"/>
                <w:sz w:val="22"/>
              </w:rPr>
              <w:t xml:space="preserve">Retained catch </w:t>
            </w:r>
            <w:r w:rsidR="006D011A">
              <w:rPr>
                <w:color w:val="000000"/>
                <w:sz w:val="22"/>
              </w:rPr>
              <w:t>number</w:t>
            </w:r>
          </w:p>
        </w:tc>
        <w:tc>
          <w:tcPr>
            <w:tcW w:w="1041" w:type="pct"/>
          </w:tcPr>
          <w:p w:rsidR="002819CD" w:rsidRDefault="00881738" w:rsidP="007C4BEF">
            <w:pPr>
              <w:tabs>
                <w:tab w:val="right" w:pos="1903"/>
              </w:tabs>
              <w:rPr>
                <w:color w:val="000000"/>
                <w:sz w:val="22"/>
              </w:rPr>
            </w:pPr>
            <w:r>
              <w:rPr>
                <w:color w:val="000000"/>
                <w:sz w:val="22"/>
              </w:rPr>
              <w:t xml:space="preserve">Table </w:t>
            </w:r>
            <w:r w:rsidR="002819CD">
              <w:rPr>
                <w:color w:val="000000"/>
                <w:sz w:val="22"/>
              </w:rPr>
              <w:t>2</w:t>
            </w:r>
          </w:p>
        </w:tc>
      </w:tr>
      <w:tr w:rsidR="00702417" w:rsidTr="0063629D">
        <w:tblPrEx>
          <w:tblCellMar>
            <w:left w:w="29" w:type="dxa"/>
            <w:right w:w="29" w:type="dxa"/>
          </w:tblCellMar>
        </w:tblPrEx>
        <w:trPr>
          <w:trHeight w:val="288"/>
        </w:trPr>
        <w:tc>
          <w:tcPr>
            <w:tcW w:w="1343" w:type="pct"/>
            <w:tcBorders>
              <w:bottom w:val="single" w:sz="4" w:space="0" w:color="auto"/>
            </w:tcBorders>
          </w:tcPr>
          <w:p w:rsidR="00702417" w:rsidRDefault="002854B8" w:rsidP="00702417">
            <w:pPr>
              <w:rPr>
                <w:color w:val="000000"/>
                <w:sz w:val="22"/>
              </w:rPr>
            </w:pPr>
            <w:r>
              <w:rPr>
                <w:color w:val="000000"/>
                <w:sz w:val="22"/>
              </w:rPr>
              <w:t xml:space="preserve">Tagging recovery </w:t>
            </w:r>
          </w:p>
        </w:tc>
        <w:tc>
          <w:tcPr>
            <w:tcW w:w="1053" w:type="pct"/>
            <w:tcBorders>
              <w:bottom w:val="single" w:sz="4" w:space="0" w:color="auto"/>
            </w:tcBorders>
          </w:tcPr>
          <w:p w:rsidR="00702417" w:rsidRDefault="00700E85" w:rsidP="00702417">
            <w:pPr>
              <w:rPr>
                <w:color w:val="000000"/>
                <w:sz w:val="22"/>
              </w:rPr>
            </w:pPr>
            <w:r>
              <w:rPr>
                <w:color w:val="000000"/>
                <w:sz w:val="22"/>
              </w:rPr>
              <w:t>80-1</w:t>
            </w:r>
            <w:r w:rsidR="003E4414">
              <w:rPr>
                <w:color w:val="000000"/>
                <w:sz w:val="22"/>
              </w:rPr>
              <w:t>3</w:t>
            </w:r>
          </w:p>
        </w:tc>
        <w:tc>
          <w:tcPr>
            <w:tcW w:w="1563" w:type="pct"/>
            <w:tcBorders>
              <w:bottom w:val="single" w:sz="4" w:space="0" w:color="auto"/>
            </w:tcBorders>
          </w:tcPr>
          <w:p w:rsidR="00702417" w:rsidRDefault="002854B8" w:rsidP="00702417">
            <w:pPr>
              <w:rPr>
                <w:color w:val="000000"/>
                <w:sz w:val="22"/>
              </w:rPr>
            </w:pPr>
            <w:r>
              <w:rPr>
                <w:color w:val="000000"/>
                <w:sz w:val="22"/>
              </w:rPr>
              <w:t>Recovered tagged crab</w:t>
            </w:r>
          </w:p>
        </w:tc>
        <w:tc>
          <w:tcPr>
            <w:tcW w:w="1041" w:type="pct"/>
            <w:tcBorders>
              <w:bottom w:val="single" w:sz="4" w:space="0" w:color="auto"/>
            </w:tcBorders>
          </w:tcPr>
          <w:p w:rsidR="00702417" w:rsidRDefault="00881738" w:rsidP="007C4BEF">
            <w:pPr>
              <w:tabs>
                <w:tab w:val="right" w:pos="1903"/>
              </w:tabs>
              <w:rPr>
                <w:color w:val="000000"/>
                <w:sz w:val="22"/>
              </w:rPr>
            </w:pPr>
            <w:r>
              <w:rPr>
                <w:color w:val="000000"/>
                <w:sz w:val="22"/>
              </w:rPr>
              <w:t xml:space="preserve">Table </w:t>
            </w:r>
            <w:r w:rsidR="002854B8">
              <w:rPr>
                <w:color w:val="000000"/>
                <w:sz w:val="22"/>
              </w:rPr>
              <w:t>9</w:t>
            </w:r>
            <w:r w:rsidR="007C4BEF">
              <w:rPr>
                <w:color w:val="000000"/>
                <w:sz w:val="22"/>
              </w:rPr>
              <w:tab/>
            </w:r>
          </w:p>
        </w:tc>
      </w:tr>
    </w:tbl>
    <w:p w:rsidR="002854B8" w:rsidRPr="002854B8" w:rsidRDefault="002854B8" w:rsidP="002854B8">
      <w:pPr>
        <w:pStyle w:val="ListParagraph"/>
        <w:spacing w:after="120"/>
        <w:ind w:left="0"/>
        <w:jc w:val="both"/>
        <w:rPr>
          <w:sz w:val="20"/>
          <w:szCs w:val="20"/>
        </w:rPr>
      </w:pPr>
      <w:r w:rsidRPr="002854B8">
        <w:rPr>
          <w:sz w:val="20"/>
          <w:szCs w:val="20"/>
        </w:rPr>
        <w:t>*: Triennial trawl surveys were conducted by the NMFS (1976-1991, 2010) and by the ADF&amp;G (1996-2011) (Table 3). The NMFS survey was conducted using the 83-112 Eastern Otter Trawl, whereas the ADF&amp;G survey was conducted using the 400 Eastern Otter Trawl</w:t>
      </w:r>
      <w:r w:rsidR="00563EC2">
        <w:rPr>
          <w:sz w:val="20"/>
          <w:szCs w:val="20"/>
        </w:rPr>
        <w:t xml:space="preserve"> (Soong 2008)</w:t>
      </w:r>
      <w:r w:rsidR="00581F43">
        <w:rPr>
          <w:sz w:val="20"/>
          <w:szCs w:val="20"/>
        </w:rPr>
        <w:t xml:space="preserve">. </w:t>
      </w:r>
      <w:r w:rsidRPr="002854B8">
        <w:rPr>
          <w:sz w:val="20"/>
          <w:szCs w:val="20"/>
        </w:rPr>
        <w:t>In both surveys, survey design was based on 10×10nm square, except for the NMFS survey in 2010 where survey grid was 20×20nm. Abundance of crabs were estimated by area-swept methods (</w:t>
      </w:r>
      <w:proofErr w:type="spellStart"/>
      <w:r w:rsidRPr="002854B8">
        <w:rPr>
          <w:sz w:val="20"/>
          <w:szCs w:val="20"/>
        </w:rPr>
        <w:t>Alverson</w:t>
      </w:r>
      <w:proofErr w:type="spellEnd"/>
      <w:r w:rsidRPr="002854B8">
        <w:rPr>
          <w:sz w:val="20"/>
          <w:szCs w:val="20"/>
        </w:rPr>
        <w:t xml:space="preserve"> and </w:t>
      </w:r>
      <w:proofErr w:type="spellStart"/>
      <w:r w:rsidRPr="002854B8">
        <w:rPr>
          <w:sz w:val="20"/>
          <w:szCs w:val="20"/>
        </w:rPr>
        <w:t>Pereyra</w:t>
      </w:r>
      <w:proofErr w:type="spellEnd"/>
      <w:r w:rsidRPr="002854B8">
        <w:rPr>
          <w:sz w:val="20"/>
          <w:szCs w:val="20"/>
        </w:rPr>
        <w:t xml:space="preserve"> 1969)</w:t>
      </w:r>
      <w:r w:rsidR="00581F43">
        <w:rPr>
          <w:sz w:val="20"/>
          <w:szCs w:val="20"/>
        </w:rPr>
        <w:t xml:space="preserve">. </w:t>
      </w:r>
      <w:r w:rsidRPr="002854B8">
        <w:rPr>
          <w:sz w:val="20"/>
          <w:szCs w:val="20"/>
        </w:rPr>
        <w:t xml:space="preserve">Historical NMFS trawl survey abundance </w:t>
      </w:r>
      <w:r w:rsidR="00563EC2">
        <w:rPr>
          <w:sz w:val="20"/>
          <w:szCs w:val="20"/>
        </w:rPr>
        <w:t xml:space="preserve">(Schwarz 1984, Stevens and </w:t>
      </w:r>
      <w:proofErr w:type="spellStart"/>
      <w:r w:rsidR="00563EC2">
        <w:rPr>
          <w:sz w:val="20"/>
          <w:szCs w:val="20"/>
        </w:rPr>
        <w:t>MaIntosh</w:t>
      </w:r>
      <w:proofErr w:type="spellEnd"/>
      <w:r w:rsidR="00563EC2">
        <w:rPr>
          <w:sz w:val="20"/>
          <w:szCs w:val="20"/>
        </w:rPr>
        <w:t xml:space="preserve"> 1986, Stevens 1989, 1992; </w:t>
      </w:r>
      <w:proofErr w:type="spellStart"/>
      <w:r w:rsidR="00563EC2">
        <w:rPr>
          <w:sz w:val="20"/>
          <w:szCs w:val="20"/>
        </w:rPr>
        <w:t>Wolotira</w:t>
      </w:r>
      <w:proofErr w:type="spellEnd"/>
      <w:r w:rsidR="00563EC2">
        <w:rPr>
          <w:sz w:val="20"/>
          <w:szCs w:val="20"/>
        </w:rPr>
        <w:t xml:space="preserve"> et al 1977) </w:t>
      </w:r>
      <w:r w:rsidRPr="002854B8">
        <w:rPr>
          <w:sz w:val="20"/>
          <w:szCs w:val="20"/>
        </w:rPr>
        <w:t xml:space="preserve">was re-estimated from the original raw data in 2013 (Robert Foy, NMFS personal communication). </w:t>
      </w:r>
    </w:p>
    <w:p w:rsidR="00BA3EE5" w:rsidRDefault="00BA3EE5" w:rsidP="00BA3EE5">
      <w:pPr>
        <w:pStyle w:val="ListParagraph"/>
        <w:spacing w:after="120"/>
        <w:ind w:left="0"/>
        <w:jc w:val="both"/>
      </w:pPr>
    </w:p>
    <w:p w:rsidR="0063629D" w:rsidRDefault="0063629D" w:rsidP="008264B6">
      <w:pPr>
        <w:pStyle w:val="ListParagraph"/>
        <w:spacing w:after="120"/>
        <w:ind w:left="0"/>
        <w:jc w:val="both"/>
      </w:pPr>
      <w:r>
        <w:t xml:space="preserve">Data </w:t>
      </w:r>
      <w:r w:rsidR="00E46A0A">
        <w:t xml:space="preserve">available but </w:t>
      </w:r>
      <w:r>
        <w:t>not used for assessment</w:t>
      </w:r>
    </w:p>
    <w:tbl>
      <w:tblPr>
        <w:tblW w:w="4984" w:type="pct"/>
        <w:tblCellMar>
          <w:left w:w="30" w:type="dxa"/>
          <w:right w:w="30" w:type="dxa"/>
        </w:tblCellMar>
        <w:tblLook w:val="0000" w:firstRow="0" w:lastRow="0" w:firstColumn="0" w:lastColumn="0" w:noHBand="0" w:noVBand="0"/>
      </w:tblPr>
      <w:tblGrid>
        <w:gridCol w:w="2530"/>
        <w:gridCol w:w="1983"/>
        <w:gridCol w:w="1996"/>
        <w:gridCol w:w="2881"/>
      </w:tblGrid>
      <w:tr w:rsidR="0063629D" w:rsidTr="006A2E61">
        <w:trPr>
          <w:trHeight w:val="346"/>
        </w:trPr>
        <w:tc>
          <w:tcPr>
            <w:tcW w:w="1347" w:type="pct"/>
            <w:tcBorders>
              <w:top w:val="single" w:sz="4" w:space="0" w:color="auto"/>
              <w:bottom w:val="single" w:sz="4" w:space="0" w:color="auto"/>
            </w:tcBorders>
          </w:tcPr>
          <w:p w:rsidR="0063629D" w:rsidRDefault="0063629D" w:rsidP="003944AD">
            <w:pPr>
              <w:rPr>
                <w:color w:val="000000"/>
                <w:sz w:val="22"/>
              </w:rPr>
            </w:pPr>
            <w:r>
              <w:rPr>
                <w:color w:val="000000"/>
                <w:sz w:val="22"/>
              </w:rPr>
              <w:t>Data</w:t>
            </w:r>
            <w:r w:rsidR="006D011A">
              <w:rPr>
                <w:color w:val="000000"/>
                <w:sz w:val="22"/>
              </w:rPr>
              <w:t xml:space="preserve"> Source</w:t>
            </w:r>
          </w:p>
        </w:tc>
        <w:tc>
          <w:tcPr>
            <w:tcW w:w="1056" w:type="pct"/>
            <w:tcBorders>
              <w:top w:val="single" w:sz="4" w:space="0" w:color="auto"/>
              <w:bottom w:val="single" w:sz="4" w:space="0" w:color="auto"/>
            </w:tcBorders>
          </w:tcPr>
          <w:p w:rsidR="0063629D" w:rsidRDefault="0063629D" w:rsidP="003944AD">
            <w:pPr>
              <w:rPr>
                <w:color w:val="000000"/>
                <w:sz w:val="22"/>
              </w:rPr>
            </w:pPr>
            <w:r>
              <w:rPr>
                <w:color w:val="000000"/>
                <w:sz w:val="22"/>
              </w:rPr>
              <w:t>Years</w:t>
            </w:r>
          </w:p>
        </w:tc>
        <w:tc>
          <w:tcPr>
            <w:tcW w:w="1063" w:type="pct"/>
            <w:tcBorders>
              <w:top w:val="single" w:sz="4" w:space="0" w:color="auto"/>
              <w:bottom w:val="single" w:sz="4" w:space="0" w:color="auto"/>
            </w:tcBorders>
          </w:tcPr>
          <w:p w:rsidR="0063629D" w:rsidRDefault="0063629D" w:rsidP="003944AD">
            <w:pPr>
              <w:rPr>
                <w:color w:val="000000"/>
                <w:sz w:val="22"/>
              </w:rPr>
            </w:pPr>
            <w:r>
              <w:rPr>
                <w:color w:val="000000"/>
                <w:sz w:val="22"/>
              </w:rPr>
              <w:t>Data Types</w:t>
            </w:r>
          </w:p>
        </w:tc>
        <w:tc>
          <w:tcPr>
            <w:tcW w:w="1534" w:type="pct"/>
            <w:tcBorders>
              <w:top w:val="single" w:sz="4" w:space="0" w:color="auto"/>
              <w:bottom w:val="single" w:sz="4" w:space="0" w:color="auto"/>
            </w:tcBorders>
          </w:tcPr>
          <w:p w:rsidR="0063629D" w:rsidRDefault="0063629D" w:rsidP="006D011A">
            <w:pPr>
              <w:rPr>
                <w:color w:val="000000"/>
                <w:sz w:val="22"/>
              </w:rPr>
            </w:pPr>
            <w:r>
              <w:rPr>
                <w:color w:val="000000"/>
                <w:sz w:val="22"/>
              </w:rPr>
              <w:t>Reason  not used</w:t>
            </w:r>
          </w:p>
        </w:tc>
      </w:tr>
      <w:tr w:rsidR="002819CD" w:rsidTr="006A2E61">
        <w:tblPrEx>
          <w:tblCellMar>
            <w:left w:w="29" w:type="dxa"/>
            <w:right w:w="29" w:type="dxa"/>
          </w:tblCellMar>
        </w:tblPrEx>
        <w:trPr>
          <w:trHeight w:val="213"/>
        </w:trPr>
        <w:tc>
          <w:tcPr>
            <w:tcW w:w="1347" w:type="pct"/>
            <w:vMerge w:val="restart"/>
          </w:tcPr>
          <w:p w:rsidR="002819CD" w:rsidRDefault="002819CD" w:rsidP="003944AD">
            <w:pPr>
              <w:rPr>
                <w:color w:val="000000"/>
                <w:sz w:val="22"/>
              </w:rPr>
            </w:pPr>
            <w:r>
              <w:rPr>
                <w:color w:val="000000"/>
                <w:sz w:val="22"/>
              </w:rPr>
              <w:t>Summer pot survey</w:t>
            </w:r>
          </w:p>
        </w:tc>
        <w:tc>
          <w:tcPr>
            <w:tcW w:w="1056" w:type="pct"/>
            <w:vMerge w:val="restart"/>
          </w:tcPr>
          <w:p w:rsidR="002819CD" w:rsidRDefault="002819CD" w:rsidP="003944AD">
            <w:pPr>
              <w:rPr>
                <w:color w:val="000000"/>
                <w:sz w:val="22"/>
              </w:rPr>
            </w:pPr>
            <w:r>
              <w:rPr>
                <w:color w:val="000000"/>
                <w:sz w:val="22"/>
              </w:rPr>
              <w:t>80-82,85</w:t>
            </w:r>
          </w:p>
        </w:tc>
        <w:tc>
          <w:tcPr>
            <w:tcW w:w="1063" w:type="pct"/>
          </w:tcPr>
          <w:p w:rsidR="002819CD" w:rsidRDefault="002819CD" w:rsidP="002819CD">
            <w:pPr>
              <w:rPr>
                <w:color w:val="000000"/>
                <w:sz w:val="22"/>
              </w:rPr>
            </w:pPr>
            <w:r>
              <w:rPr>
                <w:color w:val="000000"/>
                <w:sz w:val="22"/>
              </w:rPr>
              <w:t xml:space="preserve">Abundance </w:t>
            </w:r>
          </w:p>
        </w:tc>
        <w:tc>
          <w:tcPr>
            <w:tcW w:w="1534" w:type="pct"/>
            <w:vMerge w:val="restart"/>
          </w:tcPr>
          <w:p w:rsidR="002819CD" w:rsidRDefault="002819CD" w:rsidP="003944AD">
            <w:pPr>
              <w:rPr>
                <w:color w:val="000000"/>
                <w:sz w:val="22"/>
              </w:rPr>
            </w:pPr>
            <w:r>
              <w:rPr>
                <w:color w:val="000000"/>
                <w:sz w:val="22"/>
              </w:rPr>
              <w:t>Uncertainties on how estimates were made.</w:t>
            </w:r>
          </w:p>
        </w:tc>
      </w:tr>
      <w:tr w:rsidR="002819CD" w:rsidTr="006A2E61">
        <w:tblPrEx>
          <w:tblCellMar>
            <w:left w:w="29" w:type="dxa"/>
            <w:right w:w="29" w:type="dxa"/>
          </w:tblCellMar>
        </w:tblPrEx>
        <w:trPr>
          <w:trHeight w:val="213"/>
        </w:trPr>
        <w:tc>
          <w:tcPr>
            <w:tcW w:w="1347" w:type="pct"/>
            <w:vMerge/>
          </w:tcPr>
          <w:p w:rsidR="002819CD" w:rsidRDefault="002819CD" w:rsidP="003944AD">
            <w:pPr>
              <w:rPr>
                <w:color w:val="000000"/>
                <w:sz w:val="22"/>
              </w:rPr>
            </w:pPr>
          </w:p>
        </w:tc>
        <w:tc>
          <w:tcPr>
            <w:tcW w:w="1056" w:type="pct"/>
            <w:vMerge/>
          </w:tcPr>
          <w:p w:rsidR="002819CD" w:rsidRDefault="002819CD" w:rsidP="003944AD">
            <w:pPr>
              <w:rPr>
                <w:color w:val="000000"/>
                <w:sz w:val="22"/>
              </w:rPr>
            </w:pPr>
          </w:p>
        </w:tc>
        <w:tc>
          <w:tcPr>
            <w:tcW w:w="1063" w:type="pct"/>
          </w:tcPr>
          <w:p w:rsidR="002819CD" w:rsidRDefault="002819CD" w:rsidP="003944AD">
            <w:pPr>
              <w:rPr>
                <w:color w:val="000000"/>
                <w:sz w:val="22"/>
              </w:rPr>
            </w:pPr>
            <w:r>
              <w:rPr>
                <w:color w:val="000000"/>
                <w:sz w:val="22"/>
              </w:rPr>
              <w:t>Length proportion</w:t>
            </w:r>
          </w:p>
        </w:tc>
        <w:tc>
          <w:tcPr>
            <w:tcW w:w="1534" w:type="pct"/>
            <w:vMerge/>
          </w:tcPr>
          <w:p w:rsidR="002819CD" w:rsidRDefault="002819CD" w:rsidP="003944AD">
            <w:pPr>
              <w:rPr>
                <w:color w:val="000000"/>
                <w:sz w:val="22"/>
              </w:rPr>
            </w:pPr>
          </w:p>
        </w:tc>
      </w:tr>
      <w:tr w:rsidR="0063629D" w:rsidTr="006A2E61">
        <w:tblPrEx>
          <w:tblCellMar>
            <w:left w:w="29" w:type="dxa"/>
            <w:right w:w="29" w:type="dxa"/>
          </w:tblCellMar>
        </w:tblPrEx>
        <w:trPr>
          <w:trHeight w:val="288"/>
        </w:trPr>
        <w:tc>
          <w:tcPr>
            <w:tcW w:w="1347" w:type="pct"/>
          </w:tcPr>
          <w:p w:rsidR="0063629D" w:rsidRDefault="0063629D" w:rsidP="003944AD">
            <w:pPr>
              <w:rPr>
                <w:color w:val="000000"/>
                <w:sz w:val="22"/>
              </w:rPr>
            </w:pPr>
            <w:r>
              <w:rPr>
                <w:color w:val="000000"/>
                <w:sz w:val="22"/>
              </w:rPr>
              <w:t>Summer preseason survey</w:t>
            </w:r>
          </w:p>
        </w:tc>
        <w:tc>
          <w:tcPr>
            <w:tcW w:w="1056" w:type="pct"/>
          </w:tcPr>
          <w:p w:rsidR="0063629D" w:rsidRDefault="0063629D" w:rsidP="003944AD">
            <w:pPr>
              <w:rPr>
                <w:color w:val="000000"/>
                <w:sz w:val="22"/>
              </w:rPr>
            </w:pPr>
            <w:r>
              <w:rPr>
                <w:color w:val="000000"/>
                <w:sz w:val="22"/>
              </w:rPr>
              <w:t>95</w:t>
            </w:r>
          </w:p>
        </w:tc>
        <w:tc>
          <w:tcPr>
            <w:tcW w:w="1063" w:type="pct"/>
          </w:tcPr>
          <w:p w:rsidR="0063629D" w:rsidRDefault="002819CD" w:rsidP="003944AD">
            <w:pPr>
              <w:rPr>
                <w:color w:val="000000"/>
                <w:sz w:val="22"/>
              </w:rPr>
            </w:pPr>
            <w:r>
              <w:rPr>
                <w:color w:val="000000"/>
                <w:sz w:val="22"/>
              </w:rPr>
              <w:t>Length proportion</w:t>
            </w:r>
          </w:p>
        </w:tc>
        <w:tc>
          <w:tcPr>
            <w:tcW w:w="1534" w:type="pct"/>
          </w:tcPr>
          <w:p w:rsidR="0063629D" w:rsidRDefault="0063629D" w:rsidP="003944AD">
            <w:pPr>
              <w:rPr>
                <w:color w:val="000000"/>
                <w:sz w:val="22"/>
              </w:rPr>
            </w:pPr>
            <w:r>
              <w:rPr>
                <w:color w:val="000000"/>
                <w:sz w:val="22"/>
              </w:rPr>
              <w:t>Just one year of data</w:t>
            </w:r>
          </w:p>
        </w:tc>
      </w:tr>
      <w:tr w:rsidR="002819CD" w:rsidTr="006A2E61">
        <w:tblPrEx>
          <w:tblCellMar>
            <w:left w:w="29" w:type="dxa"/>
            <w:right w:w="29" w:type="dxa"/>
          </w:tblCellMar>
        </w:tblPrEx>
        <w:trPr>
          <w:trHeight w:val="288"/>
        </w:trPr>
        <w:tc>
          <w:tcPr>
            <w:tcW w:w="1347" w:type="pct"/>
            <w:tcBorders>
              <w:bottom w:val="single" w:sz="4" w:space="0" w:color="auto"/>
            </w:tcBorders>
          </w:tcPr>
          <w:p w:rsidR="002819CD" w:rsidRDefault="002819CD" w:rsidP="003944AD">
            <w:pPr>
              <w:rPr>
                <w:color w:val="000000"/>
                <w:sz w:val="22"/>
              </w:rPr>
            </w:pPr>
            <w:r>
              <w:rPr>
                <w:color w:val="000000"/>
                <w:sz w:val="22"/>
              </w:rPr>
              <w:t>Summer subsistence fishery</w:t>
            </w:r>
          </w:p>
        </w:tc>
        <w:tc>
          <w:tcPr>
            <w:tcW w:w="1056" w:type="pct"/>
            <w:tcBorders>
              <w:bottom w:val="single" w:sz="4" w:space="0" w:color="auto"/>
            </w:tcBorders>
          </w:tcPr>
          <w:p w:rsidR="002819CD" w:rsidRDefault="002819CD" w:rsidP="003944AD">
            <w:pPr>
              <w:rPr>
                <w:color w:val="000000"/>
                <w:sz w:val="22"/>
              </w:rPr>
            </w:pPr>
            <w:r>
              <w:rPr>
                <w:color w:val="000000"/>
                <w:sz w:val="22"/>
              </w:rPr>
              <w:t>2005-2013</w:t>
            </w:r>
          </w:p>
        </w:tc>
        <w:tc>
          <w:tcPr>
            <w:tcW w:w="1063" w:type="pct"/>
            <w:tcBorders>
              <w:bottom w:val="single" w:sz="4" w:space="0" w:color="auto"/>
            </w:tcBorders>
          </w:tcPr>
          <w:p w:rsidR="002819CD" w:rsidRDefault="002819CD" w:rsidP="003944AD">
            <w:pPr>
              <w:rPr>
                <w:color w:val="000000"/>
                <w:sz w:val="22"/>
              </w:rPr>
            </w:pPr>
            <w:r>
              <w:rPr>
                <w:color w:val="000000"/>
                <w:sz w:val="22"/>
              </w:rPr>
              <w:t xml:space="preserve">retained catch </w:t>
            </w:r>
          </w:p>
        </w:tc>
        <w:tc>
          <w:tcPr>
            <w:tcW w:w="1534" w:type="pct"/>
            <w:tcBorders>
              <w:bottom w:val="single" w:sz="4" w:space="0" w:color="auto"/>
            </w:tcBorders>
          </w:tcPr>
          <w:p w:rsidR="002819CD" w:rsidRDefault="006A2E61" w:rsidP="003944AD">
            <w:pPr>
              <w:rPr>
                <w:color w:val="000000"/>
                <w:sz w:val="22"/>
              </w:rPr>
            </w:pPr>
            <w:r>
              <w:rPr>
                <w:color w:val="000000"/>
                <w:sz w:val="22"/>
              </w:rPr>
              <w:t>Too few</w:t>
            </w:r>
            <w:r w:rsidR="002854B8">
              <w:rPr>
                <w:color w:val="000000"/>
                <w:sz w:val="22"/>
              </w:rPr>
              <w:t xml:space="preserve"> catch</w:t>
            </w:r>
            <w:r>
              <w:rPr>
                <w:color w:val="000000"/>
                <w:sz w:val="22"/>
              </w:rPr>
              <w:t>es</w:t>
            </w:r>
            <w:r w:rsidR="002854B8">
              <w:rPr>
                <w:color w:val="000000"/>
                <w:sz w:val="22"/>
              </w:rPr>
              <w:t xml:space="preserve"> compared to commercial </w:t>
            </w:r>
          </w:p>
        </w:tc>
      </w:tr>
    </w:tbl>
    <w:p w:rsidR="005169B4" w:rsidRDefault="005169B4" w:rsidP="00D647D4">
      <w:pPr>
        <w:spacing w:after="120"/>
        <w:jc w:val="both"/>
      </w:pPr>
    </w:p>
    <w:p w:rsidR="006A2E61" w:rsidRDefault="005169B4" w:rsidP="008264B6">
      <w:pPr>
        <w:spacing w:after="120"/>
        <w:jc w:val="both"/>
      </w:pPr>
      <w:r>
        <w:t>4. Catches in other fisheries</w:t>
      </w:r>
      <w:r w:rsidR="006D011A">
        <w:t>: None.</w:t>
      </w:r>
    </w:p>
    <w:p w:rsidR="005169B4" w:rsidRPr="00D647D4" w:rsidRDefault="005169B4" w:rsidP="008264B6">
      <w:pPr>
        <w:pStyle w:val="ListParagraph"/>
      </w:pPr>
    </w:p>
    <w:p w:rsidR="00D941DC" w:rsidRDefault="00581F43" w:rsidP="00707668">
      <w:pPr>
        <w:pStyle w:val="ListParagraph"/>
        <w:spacing w:after="120"/>
        <w:ind w:hanging="360"/>
        <w:jc w:val="both"/>
      </w:pPr>
      <w:r>
        <w:t>.</w:t>
      </w:r>
    </w:p>
    <w:p w:rsidR="00EA17FE" w:rsidRDefault="00EA17FE" w:rsidP="008264B6">
      <w:pPr>
        <w:pStyle w:val="ListParagraph"/>
        <w:spacing w:after="120"/>
        <w:ind w:hanging="360"/>
        <w:jc w:val="both"/>
      </w:pPr>
    </w:p>
    <w:p w:rsidR="007837CE" w:rsidRDefault="00537C25" w:rsidP="00707668">
      <w:pPr>
        <w:pStyle w:val="ListParagraph"/>
        <w:numPr>
          <w:ilvl w:val="0"/>
          <w:numId w:val="3"/>
        </w:numPr>
        <w:spacing w:after="120"/>
        <w:ind w:left="360"/>
        <w:jc w:val="both"/>
      </w:pPr>
      <w:r>
        <w:t>Other miscellaneous data:  None.</w:t>
      </w:r>
    </w:p>
    <w:p w:rsidR="00741D3E" w:rsidRDefault="00741D3E" w:rsidP="002854B8">
      <w:pPr>
        <w:spacing w:after="120"/>
        <w:jc w:val="both"/>
      </w:pPr>
    </w:p>
    <w:p w:rsidR="002854B8" w:rsidRDefault="002854B8" w:rsidP="002854B8">
      <w:pPr>
        <w:spacing w:after="120"/>
        <w:jc w:val="both"/>
      </w:pPr>
      <w:r>
        <w:t xml:space="preserve">Data aggregated </w:t>
      </w:r>
    </w:p>
    <w:p w:rsidR="002854B8" w:rsidRDefault="002854B8" w:rsidP="002854B8">
      <w:pPr>
        <w:spacing w:line="360" w:lineRule="auto"/>
        <w:ind w:left="360"/>
      </w:pPr>
      <w:r>
        <w:t>Growth-per-molt</w:t>
      </w:r>
      <w:r w:rsidR="006F6CCF">
        <w:t>, estimate</w:t>
      </w:r>
      <w:r>
        <w:t>d from tagging data (1991-2007) (Table 8)</w:t>
      </w:r>
    </w:p>
    <w:p w:rsidR="00585BCE" w:rsidRDefault="00585BCE" w:rsidP="002854B8">
      <w:pPr>
        <w:spacing w:line="360" w:lineRule="auto"/>
        <w:ind w:left="360"/>
      </w:pPr>
      <w:r>
        <w:t>Proportion</w:t>
      </w:r>
      <w:r w:rsidR="006D011A">
        <w:t>s</w:t>
      </w:r>
      <w:r>
        <w:t xml:space="preserve"> of legal size crab</w:t>
      </w:r>
      <w:r w:rsidR="006D011A">
        <w:t xml:space="preserve"> in crab length classes</w:t>
      </w:r>
      <w:r>
        <w:t xml:space="preserve">, </w:t>
      </w:r>
      <w:r w:rsidR="002854B8">
        <w:t>estimated from trawl survey and observer data. (Table 9)</w:t>
      </w:r>
    </w:p>
    <w:p w:rsidR="002237E0" w:rsidRDefault="002237E0"/>
    <w:p w:rsidR="00537C25" w:rsidRDefault="00537C25" w:rsidP="00485E00">
      <w:pPr>
        <w:spacing w:line="360" w:lineRule="auto"/>
      </w:pPr>
    </w:p>
    <w:p w:rsidR="004F297E" w:rsidRPr="007A481A" w:rsidRDefault="00F5323E" w:rsidP="008264B6">
      <w:pPr>
        <w:pStyle w:val="ListParagraph"/>
        <w:spacing w:line="360" w:lineRule="auto"/>
        <w:ind w:left="360"/>
        <w:rPr>
          <w:b/>
          <w:i/>
          <w:sz w:val="28"/>
          <w:szCs w:val="28"/>
        </w:rPr>
      </w:pPr>
      <w:r w:rsidRPr="007A481A">
        <w:rPr>
          <w:b/>
          <w:i/>
          <w:sz w:val="28"/>
          <w:szCs w:val="28"/>
        </w:rPr>
        <w:t>Analytic Approach</w:t>
      </w:r>
    </w:p>
    <w:p w:rsidR="005865C8" w:rsidRPr="007440FE" w:rsidRDefault="008F2E90" w:rsidP="000A03C9">
      <w:pPr>
        <w:pStyle w:val="ListParagraph"/>
        <w:numPr>
          <w:ilvl w:val="0"/>
          <w:numId w:val="5"/>
        </w:numPr>
        <w:spacing w:line="360" w:lineRule="auto"/>
        <w:jc w:val="both"/>
        <w:rPr>
          <w:b/>
        </w:rPr>
      </w:pPr>
      <w:r w:rsidRPr="007440FE">
        <w:rPr>
          <w:b/>
        </w:rPr>
        <w:t>History of the modeling approach</w:t>
      </w:r>
      <w:r w:rsidR="005865C8" w:rsidRPr="007440FE">
        <w:rPr>
          <w:b/>
        </w:rPr>
        <w:t>.</w:t>
      </w:r>
    </w:p>
    <w:p w:rsidR="00076A1D" w:rsidRDefault="007440FE" w:rsidP="00076A1D">
      <w:pPr>
        <w:ind w:left="720"/>
        <w:jc w:val="both"/>
      </w:pPr>
      <w:r>
        <w:t xml:space="preserve">The Norton Sound red king crab </w:t>
      </w:r>
      <w:r w:rsidR="00EB0639">
        <w:t xml:space="preserve">stock </w:t>
      </w:r>
      <w:r w:rsidR="006D011A">
        <w:t xml:space="preserve">IS </w:t>
      </w:r>
      <w:r>
        <w:t>assessed using a</w:t>
      </w:r>
      <w:r w:rsidR="007D7BB6" w:rsidRPr="007D7BB6">
        <w:t xml:space="preserve"> length</w:t>
      </w:r>
      <w:r>
        <w:t xml:space="preserve">-based synthesis model (Zheng et al. </w:t>
      </w:r>
      <w:r w:rsidR="007D7BB6">
        <w:t>1998)</w:t>
      </w:r>
      <w:r w:rsidR="00581F43">
        <w:t xml:space="preserve">. </w:t>
      </w:r>
    </w:p>
    <w:p w:rsidR="00B25431" w:rsidRDefault="00B25431" w:rsidP="00076A1D">
      <w:pPr>
        <w:ind w:left="720"/>
        <w:jc w:val="both"/>
      </w:pPr>
    </w:p>
    <w:p w:rsidR="00242AD2" w:rsidRDefault="00B25431" w:rsidP="00242AD2">
      <w:pPr>
        <w:ind w:left="720"/>
        <w:jc w:val="both"/>
      </w:pPr>
      <w:r>
        <w:t>Since adoption of the model</w:t>
      </w:r>
      <w:r w:rsidR="00060052">
        <w:t xml:space="preserve"> a</w:t>
      </w:r>
      <w:r>
        <w:t xml:space="preserve">, the major challenge was </w:t>
      </w:r>
      <w:r w:rsidR="00060052">
        <w:t xml:space="preserve">the </w:t>
      </w:r>
      <w:r>
        <w:t xml:space="preserve">apparent conflict between </w:t>
      </w:r>
      <w:r w:rsidR="00060052">
        <w:t xml:space="preserve">the </w:t>
      </w:r>
      <w:r>
        <w:t>model and observed data, e</w:t>
      </w:r>
      <w:r w:rsidR="00242AD2">
        <w:t xml:space="preserve">specially the model </w:t>
      </w:r>
      <w:r>
        <w:t>overestimating the abundance/proportion of large length classes, which resulted in overestimation of the projected biomass</w:t>
      </w:r>
      <w:r w:rsidR="00FE72BA">
        <w:t xml:space="preserve"> (Figure</w:t>
      </w:r>
      <w:r w:rsidR="00242AD2">
        <w:t xml:space="preserve"> 12)</w:t>
      </w:r>
      <w:r w:rsidR="00581F43">
        <w:t>.</w:t>
      </w:r>
      <w:r>
        <w:t xml:space="preserve">  This problem has been de</w:t>
      </w:r>
      <w:r w:rsidR="001A3474">
        <w:t xml:space="preserve">alt with </w:t>
      </w:r>
      <w:r w:rsidR="00964D6D">
        <w:t xml:space="preserve">using the </w:t>
      </w:r>
      <w:r w:rsidR="001A3474">
        <w:t xml:space="preserve">following approaches: </w:t>
      </w:r>
      <w:r w:rsidR="00F07E65">
        <w:t>(</w:t>
      </w:r>
      <w:r>
        <w:t xml:space="preserve">1) increase M of the last length class, </w:t>
      </w:r>
      <w:r w:rsidR="00F07E65">
        <w:t>(</w:t>
      </w:r>
      <w:r w:rsidR="00242AD2">
        <w:t xml:space="preserve">2) implement a </w:t>
      </w:r>
      <w:r>
        <w:t>d</w:t>
      </w:r>
      <w:r w:rsidR="0093016E">
        <w:t>ome-s</w:t>
      </w:r>
      <w:r>
        <w:t>hape</w:t>
      </w:r>
      <w:r w:rsidR="0093016E">
        <w:t>d</w:t>
      </w:r>
      <w:r w:rsidR="00242AD2">
        <w:t xml:space="preserve"> </w:t>
      </w:r>
      <w:r>
        <w:t>catch selectivi</w:t>
      </w:r>
      <w:r w:rsidR="00242AD2">
        <w:t>ty for winter pot survey/catch</w:t>
      </w:r>
      <w:r>
        <w:t>)</w:t>
      </w:r>
      <w:r w:rsidR="00242AD2">
        <w:t>, (</w:t>
      </w:r>
      <w:r w:rsidR="00964D6D">
        <w:t>3</w:t>
      </w:r>
      <w:r>
        <w:t>) reduce effective sample size of length composition data</w:t>
      </w:r>
      <w:r w:rsidR="00242AD2">
        <w:t>, and (4) increase M.</w:t>
      </w:r>
      <w:r w:rsidR="00F07E65">
        <w:t xml:space="preserve"> </w:t>
      </w:r>
      <w:r w:rsidR="00413A5B">
        <w:t xml:space="preserve">Although </w:t>
      </w:r>
      <w:r w:rsidR="00F07E65">
        <w:t xml:space="preserve">all </w:t>
      </w:r>
      <w:r w:rsidR="0093016E">
        <w:t>three</w:t>
      </w:r>
      <w:r w:rsidR="00F07E65">
        <w:t xml:space="preserve"> approaches improve model fits and projections, </w:t>
      </w:r>
      <w:r w:rsidR="00413A5B">
        <w:t xml:space="preserve">none of those approaches are without major criticisms. </w:t>
      </w:r>
      <w:r w:rsidR="0093016E">
        <w:t>A</w:t>
      </w:r>
      <w:r w:rsidR="00F07E65">
        <w:t xml:space="preserve">pproaches (1) and (2) have unusual biological/fishery assumptions without supportive data. </w:t>
      </w:r>
      <w:r w:rsidR="0093016E">
        <w:t>A</w:t>
      </w:r>
      <w:r w:rsidR="00F07E65">
        <w:t xml:space="preserve">pproach (3) </w:t>
      </w:r>
      <w:r w:rsidR="00413A5B">
        <w:t xml:space="preserve">is biologically simpler and reasonable approach; however, it greatly increases </w:t>
      </w:r>
      <w:r w:rsidR="0093016E">
        <w:t xml:space="preserve">the </w:t>
      </w:r>
      <w:r w:rsidR="00413A5B">
        <w:t xml:space="preserve">OFL and ABC, without any supportive evidence that the population </w:t>
      </w:r>
      <w:r w:rsidR="0093016E">
        <w:t xml:space="preserve">can </w:t>
      </w:r>
      <w:r w:rsidR="00413A5B">
        <w:t xml:space="preserve">withstand </w:t>
      </w:r>
      <w:r w:rsidR="0093016E">
        <w:t xml:space="preserve">a </w:t>
      </w:r>
      <w:r w:rsidR="00413A5B">
        <w:t>higher exploitation rate</w:t>
      </w:r>
      <w:r w:rsidR="00581F43">
        <w:t xml:space="preserve">. </w:t>
      </w:r>
      <w:r w:rsidR="00242AD2">
        <w:t xml:space="preserve"> </w:t>
      </w:r>
      <w:r w:rsidR="001A3474">
        <w:t xml:space="preserve">Attempts to estimate M directly from the </w:t>
      </w:r>
      <w:r w:rsidR="008047A3">
        <w:t>model itself</w:t>
      </w:r>
      <w:r w:rsidR="00242AD2">
        <w:t xml:space="preserve"> </w:t>
      </w:r>
      <w:r w:rsidR="008047A3">
        <w:t>failed</w:t>
      </w:r>
      <w:r w:rsidR="00242AD2">
        <w:t xml:space="preserve">, because of confounding effects between molting probability and natural mortality. </w:t>
      </w:r>
    </w:p>
    <w:p w:rsidR="00D563A9" w:rsidRDefault="00D563A9" w:rsidP="00242AD2">
      <w:pPr>
        <w:ind w:left="720"/>
        <w:jc w:val="both"/>
      </w:pPr>
    </w:p>
    <w:p w:rsidR="00D563A9" w:rsidRDefault="00D563A9" w:rsidP="00D563A9">
      <w:pPr>
        <w:ind w:left="720"/>
        <w:jc w:val="both"/>
      </w:pPr>
      <w:r>
        <w:t xml:space="preserve">At the 2013-2014 crab modeling workshop, extensive examination of the model was conducted, including revision of historical survey abundance data, inclusion and exclusion of data (e.g., exclusion of summer pot survey data, inclusion/exclusion of winter pot survey CPUE), reduction of the number of parameters (e.g., molting probability, selectivity), and  reevaluation of growth transition matrix. </w:t>
      </w:r>
    </w:p>
    <w:p w:rsidR="00D563A9" w:rsidRDefault="00D563A9" w:rsidP="00242AD2">
      <w:pPr>
        <w:ind w:left="720"/>
        <w:jc w:val="both"/>
      </w:pPr>
    </w:p>
    <w:p w:rsidR="001A3474" w:rsidRDefault="00D563A9" w:rsidP="00413A5B">
      <w:pPr>
        <w:jc w:val="both"/>
      </w:pPr>
      <w:r>
        <w:tab/>
        <w:t xml:space="preserve">Here is chronology of model modifications </w:t>
      </w:r>
    </w:p>
    <w:p w:rsidR="00D563A9" w:rsidRDefault="00D563A9" w:rsidP="00413A5B">
      <w:pPr>
        <w:jc w:val="both"/>
      </w:pPr>
      <w:r>
        <w:tab/>
      </w:r>
    </w:p>
    <w:p w:rsidR="00D563A9" w:rsidRDefault="00D563A9" w:rsidP="00413A5B">
      <w:pPr>
        <w:jc w:val="both"/>
      </w:pPr>
      <w:r>
        <w:tab/>
        <w:t>2010</w:t>
      </w:r>
    </w:p>
    <w:p w:rsidR="00D563A9" w:rsidRDefault="00B37056" w:rsidP="00BA7394">
      <w:pPr>
        <w:ind w:left="720"/>
        <w:jc w:val="both"/>
      </w:pPr>
      <w:r>
        <w:lastRenderedPageBreak/>
        <w:t xml:space="preserve">1) </w:t>
      </w:r>
      <w:r w:rsidR="006E52AD">
        <w:t xml:space="preserve">M =0.18, </w:t>
      </w:r>
    </w:p>
    <w:p w:rsidR="00D563A9" w:rsidRDefault="00B37056" w:rsidP="00BA7394">
      <w:pPr>
        <w:ind w:left="720"/>
        <w:jc w:val="both"/>
      </w:pPr>
      <w:r>
        <w:t xml:space="preserve">2) </w:t>
      </w:r>
      <w:r w:rsidR="006E52AD">
        <w:t xml:space="preserve">include summer commercial discards mortality, </w:t>
      </w:r>
    </w:p>
    <w:p w:rsidR="00D563A9" w:rsidRDefault="00B37056" w:rsidP="00BA7394">
      <w:pPr>
        <w:ind w:left="720"/>
        <w:jc w:val="both"/>
      </w:pPr>
      <w:r>
        <w:t xml:space="preserve">3) </w:t>
      </w:r>
      <w:r w:rsidR="006E7796">
        <w:t>weight of fishin</w:t>
      </w:r>
      <w:r w:rsidR="006B7BB5">
        <w:t xml:space="preserve">g effort </w:t>
      </w:r>
      <w:r w:rsidR="006E52AD">
        <w:t xml:space="preserve">= </w:t>
      </w:r>
      <w:r w:rsidR="006B7BB5">
        <w:t>20</w:t>
      </w:r>
      <w:r w:rsidR="00AA6FEF">
        <w:t xml:space="preserve">, </w:t>
      </w:r>
    </w:p>
    <w:p w:rsidR="00D563A9" w:rsidRDefault="00B37056" w:rsidP="00BA7394">
      <w:pPr>
        <w:ind w:left="720"/>
        <w:jc w:val="both"/>
      </w:pPr>
      <w:r>
        <w:t xml:space="preserve">4) </w:t>
      </w:r>
      <w:r w:rsidR="006E7796">
        <w:t xml:space="preserve">the maximum </w:t>
      </w:r>
      <w:r w:rsidR="006E7796" w:rsidRPr="00D45781">
        <w:t xml:space="preserve">effective sample size for commercial catch and winter surveys </w:t>
      </w:r>
      <w:r w:rsidR="00D563A9">
        <w:t xml:space="preserve">= 100, </w:t>
      </w:r>
    </w:p>
    <w:p w:rsidR="00AA6FEF" w:rsidRDefault="00B37056" w:rsidP="00BA7394">
      <w:pPr>
        <w:ind w:left="720"/>
        <w:jc w:val="both"/>
      </w:pPr>
      <w:r>
        <w:t xml:space="preserve">5) </w:t>
      </w:r>
      <w:r w:rsidR="00AA6FEF">
        <w:t xml:space="preserve">M of the last length class = </w:t>
      </w:r>
      <w:r w:rsidR="00AA3578">
        <w:t>0.28</w:t>
      </w:r>
      <w:r w:rsidR="00A873AA">
        <w:t>8</w:t>
      </w:r>
      <w:r w:rsidR="00AA6FEF">
        <w:t xml:space="preserve">. </w:t>
      </w:r>
    </w:p>
    <w:p w:rsidR="00AA6FEF" w:rsidRDefault="00AA6FEF" w:rsidP="00BA7394">
      <w:pPr>
        <w:ind w:left="720"/>
        <w:jc w:val="both"/>
      </w:pPr>
    </w:p>
    <w:p w:rsidR="00D563A9" w:rsidRDefault="00D563A9" w:rsidP="00BA7394">
      <w:pPr>
        <w:ind w:left="720"/>
        <w:jc w:val="both"/>
      </w:pPr>
      <w:r>
        <w:t>2012</w:t>
      </w:r>
    </w:p>
    <w:p w:rsidR="00D563A9" w:rsidRDefault="00B37056" w:rsidP="00AA6FEF">
      <w:pPr>
        <w:ind w:left="720"/>
        <w:jc w:val="both"/>
      </w:pPr>
      <w:r>
        <w:t xml:space="preserve">1) </w:t>
      </w:r>
      <w:r w:rsidR="00AA6FEF">
        <w:t xml:space="preserve">M of the last length class = 0.648, </w:t>
      </w:r>
    </w:p>
    <w:p w:rsidR="00D563A9" w:rsidRDefault="00B37056" w:rsidP="00AA6FEF">
      <w:pPr>
        <w:ind w:left="720"/>
        <w:jc w:val="both"/>
      </w:pPr>
      <w:r>
        <w:t xml:space="preserve">2) </w:t>
      </w:r>
      <w:r w:rsidR="00AA6FEF">
        <w:t xml:space="preserve">the maximum </w:t>
      </w:r>
      <w:r w:rsidR="00AA6FEF" w:rsidRPr="00D45781">
        <w:t xml:space="preserve">effective sample size for commercial catch and winter surveys </w:t>
      </w:r>
      <w:r w:rsidR="00AA6FEF">
        <w:t>= 50</w:t>
      </w:r>
      <w:r>
        <w:t xml:space="preserve"> </w:t>
      </w:r>
    </w:p>
    <w:p w:rsidR="00AA6FEF" w:rsidRDefault="00B37056" w:rsidP="00AA6FEF">
      <w:pPr>
        <w:ind w:left="720"/>
        <w:jc w:val="both"/>
      </w:pPr>
      <w:r>
        <w:t>3) weight of fishing effort = 50.</w:t>
      </w:r>
    </w:p>
    <w:p w:rsidR="00B37056" w:rsidRDefault="00B37056" w:rsidP="00AA6FEF">
      <w:pPr>
        <w:ind w:left="720"/>
        <w:jc w:val="both"/>
      </w:pPr>
    </w:p>
    <w:p w:rsidR="00D563A9" w:rsidRDefault="00B37056" w:rsidP="00AA6FEF">
      <w:pPr>
        <w:ind w:left="720"/>
        <w:jc w:val="both"/>
      </w:pPr>
      <w:r>
        <w:t>2013</w:t>
      </w:r>
      <w:r w:rsidR="00EA17FE">
        <w:t xml:space="preserve"> </w:t>
      </w:r>
    </w:p>
    <w:p w:rsidR="00D563A9" w:rsidRDefault="00EA17FE" w:rsidP="00AA6FEF">
      <w:pPr>
        <w:ind w:left="720"/>
        <w:jc w:val="both"/>
      </w:pPr>
      <w:r>
        <w:t>1) replace</w:t>
      </w:r>
      <w:r w:rsidR="0093016E">
        <w:t xml:space="preserve"> likelihood</w:t>
      </w:r>
      <w:r>
        <w:t xml:space="preserve"> of </w:t>
      </w:r>
      <w:r w:rsidR="00B37056">
        <w:t xml:space="preserve">commercial catch effort to </w:t>
      </w:r>
      <w:r w:rsidR="00D563A9">
        <w:t xml:space="preserve">that of </w:t>
      </w:r>
      <w:r w:rsidR="00B37056">
        <w:t xml:space="preserve">standardized commercial catch </w:t>
      </w:r>
      <w:r w:rsidR="0093016E">
        <w:t>CPUE</w:t>
      </w:r>
      <w:r w:rsidR="00B37056">
        <w:t xml:space="preserve"> with w</w:t>
      </w:r>
      <w:r>
        <w:t xml:space="preserve">eight = 1.0, </w:t>
      </w:r>
    </w:p>
    <w:p w:rsidR="00D563A9" w:rsidRDefault="00EA17FE" w:rsidP="00AA6FEF">
      <w:pPr>
        <w:ind w:left="720"/>
        <w:jc w:val="both"/>
      </w:pPr>
      <w:r>
        <w:t xml:space="preserve">2) eliminate </w:t>
      </w:r>
      <w:r w:rsidR="00B37056">
        <w:t xml:space="preserve">summer pot survey data from likelihood, </w:t>
      </w:r>
    </w:p>
    <w:p w:rsidR="00D563A9" w:rsidRDefault="00B37056" w:rsidP="00AA6FEF">
      <w:pPr>
        <w:ind w:left="720"/>
        <w:jc w:val="both"/>
      </w:pPr>
      <w:r>
        <w:t xml:space="preserve">3) estimate survey </w:t>
      </w:r>
      <w:r w:rsidR="0093016E">
        <w:t xml:space="preserve">selectivity </w:t>
      </w:r>
      <w:r>
        <w:t xml:space="preserve">of 1976-1991 NMFS survey with maximum of 1.0, and </w:t>
      </w:r>
    </w:p>
    <w:p w:rsidR="00B37056" w:rsidRDefault="00D563A9" w:rsidP="00AA6FEF">
      <w:pPr>
        <w:ind w:left="720"/>
        <w:jc w:val="both"/>
      </w:pPr>
      <w:r>
        <w:t xml:space="preserve">4) </w:t>
      </w:r>
      <w:r w:rsidR="00B37056">
        <w:t>reduc</w:t>
      </w:r>
      <w:r>
        <w:t>e</w:t>
      </w:r>
      <w:r w:rsidR="0093016E">
        <w:t xml:space="preserve"> </w:t>
      </w:r>
      <w:r w:rsidR="00B37056">
        <w:t xml:space="preserve">the maximum </w:t>
      </w:r>
      <w:r w:rsidR="00B37056" w:rsidRPr="00D45781">
        <w:t xml:space="preserve">effective sample size for commercial catch and winter surveys </w:t>
      </w:r>
      <w:r w:rsidR="00B37056">
        <w:t>= 20.</w:t>
      </w:r>
    </w:p>
    <w:p w:rsidR="007B512D" w:rsidRDefault="007B512D" w:rsidP="00B37056">
      <w:pPr>
        <w:jc w:val="both"/>
      </w:pPr>
    </w:p>
    <w:p w:rsidR="00076A1D" w:rsidRDefault="004619C5" w:rsidP="00076A1D">
      <w:pPr>
        <w:ind w:left="720"/>
        <w:jc w:val="both"/>
      </w:pPr>
      <w:r>
        <w:t>T</w:t>
      </w:r>
      <w:r w:rsidR="00076A1D">
        <w:t xml:space="preserve">he model </w:t>
      </w:r>
      <w:r>
        <w:t xml:space="preserve">described here has been adjusted to accommodate </w:t>
      </w:r>
      <w:r w:rsidR="005A40C2">
        <w:t xml:space="preserve">1) </w:t>
      </w:r>
      <w:r w:rsidR="0093016E">
        <w:t>revised</w:t>
      </w:r>
      <w:r w:rsidR="00E92B59">
        <w:t xml:space="preserve"> </w:t>
      </w:r>
      <w:r w:rsidR="005A40C2">
        <w:t>functional form</w:t>
      </w:r>
      <w:r>
        <w:t>s</w:t>
      </w:r>
      <w:r w:rsidR="005A40C2">
        <w:t xml:space="preserve">  </w:t>
      </w:r>
      <w:r>
        <w:t xml:space="preserve">for </w:t>
      </w:r>
      <w:r w:rsidR="005A40C2">
        <w:t>selectivity and</w:t>
      </w:r>
      <w:r w:rsidR="00076A1D">
        <w:t xml:space="preserve"> molting </w:t>
      </w:r>
      <w:r w:rsidR="005A40C2">
        <w:t>probability to</w:t>
      </w:r>
      <w:r w:rsidR="00076A1D">
        <w:t xml:space="preserve"> impro</w:t>
      </w:r>
      <w:r w:rsidR="00E92B59">
        <w:t xml:space="preserve">ve parameter estimates, 2) </w:t>
      </w:r>
      <w:r w:rsidR="00076A1D">
        <w:t>inclu</w:t>
      </w:r>
      <w:r>
        <w:t xml:space="preserve">sion of </w:t>
      </w:r>
      <w:r w:rsidR="0093016E">
        <w:t>the</w:t>
      </w:r>
      <w:r>
        <w:t xml:space="preserve"> </w:t>
      </w:r>
      <w:r w:rsidR="00076A1D">
        <w:t xml:space="preserve"> winter pot survey </w:t>
      </w:r>
      <w:r w:rsidR="0093016E">
        <w:t>CPUE</w:t>
      </w:r>
      <w:r w:rsidR="00E92B59">
        <w:t>,</w:t>
      </w:r>
      <w:r w:rsidR="00076A1D">
        <w:t xml:space="preserve"> </w:t>
      </w:r>
      <w:r>
        <w:t xml:space="preserve">and </w:t>
      </w:r>
      <w:r w:rsidR="00076A1D">
        <w:t xml:space="preserve">3) </w:t>
      </w:r>
      <w:r w:rsidR="00E92B59">
        <w:t xml:space="preserve">inclusion </w:t>
      </w:r>
      <w:r>
        <w:t xml:space="preserve"> of</w:t>
      </w:r>
      <w:r w:rsidR="00076A1D">
        <w:t xml:space="preserve"> </w:t>
      </w:r>
      <w:r>
        <w:t xml:space="preserve">the </w:t>
      </w:r>
      <w:r w:rsidR="00076A1D">
        <w:t xml:space="preserve">growth transition matrix </w:t>
      </w:r>
      <w:r w:rsidR="0093016E">
        <w:t xml:space="preserve">estimated </w:t>
      </w:r>
      <w:r w:rsidR="00076A1D">
        <w:t>from tagging data</w:t>
      </w:r>
      <w:r w:rsidR="00581F43">
        <w:t>.</w:t>
      </w:r>
    </w:p>
    <w:p w:rsidR="00076A1D" w:rsidRPr="007D7BB6" w:rsidRDefault="00076A1D" w:rsidP="008264B6">
      <w:pPr>
        <w:ind w:left="720"/>
      </w:pPr>
    </w:p>
    <w:p w:rsidR="006E7796" w:rsidRPr="006F6CCF" w:rsidRDefault="00F5323E" w:rsidP="000A03C9">
      <w:pPr>
        <w:pStyle w:val="ListParagraph"/>
        <w:numPr>
          <w:ilvl w:val="0"/>
          <w:numId w:val="5"/>
        </w:numPr>
        <w:spacing w:line="360" w:lineRule="auto"/>
        <w:jc w:val="both"/>
        <w:rPr>
          <w:b/>
        </w:rPr>
      </w:pPr>
      <w:r w:rsidRPr="00444865">
        <w:rPr>
          <w:b/>
        </w:rPr>
        <w:t xml:space="preserve">Model </w:t>
      </w:r>
      <w:r w:rsidR="00391098">
        <w:rPr>
          <w:b/>
        </w:rPr>
        <w:t>Description</w:t>
      </w:r>
    </w:p>
    <w:p w:rsidR="00465F79" w:rsidRDefault="00DB30DD" w:rsidP="000A03C9">
      <w:pPr>
        <w:pStyle w:val="ListParagraph"/>
        <w:numPr>
          <w:ilvl w:val="0"/>
          <w:numId w:val="8"/>
        </w:numPr>
        <w:spacing w:after="120"/>
        <w:ind w:left="1080"/>
        <w:contextualSpacing w:val="0"/>
        <w:jc w:val="both"/>
      </w:pPr>
      <w:r>
        <w:t xml:space="preserve">Description of overall modeling approach: </w:t>
      </w:r>
    </w:p>
    <w:p w:rsidR="002E09E9" w:rsidRDefault="001968D1" w:rsidP="00465F79">
      <w:pPr>
        <w:pStyle w:val="ListParagraph"/>
        <w:spacing w:after="120"/>
        <w:ind w:left="1080"/>
        <w:contextualSpacing w:val="0"/>
        <w:jc w:val="both"/>
      </w:pPr>
      <w:r>
        <w:t xml:space="preserve">The model </w:t>
      </w:r>
      <w:r w:rsidR="00A873AA">
        <w:t xml:space="preserve">is a male-only </w:t>
      </w:r>
      <w:r w:rsidR="00DB30DD">
        <w:t xml:space="preserve">size structured model that </w:t>
      </w:r>
      <w:r w:rsidR="008F3270" w:rsidRPr="00BD3CF5">
        <w:t>combine</w:t>
      </w:r>
      <w:r w:rsidR="007E2957">
        <w:t>s</w:t>
      </w:r>
      <w:r w:rsidR="008F3270" w:rsidRPr="00BD3CF5">
        <w:t xml:space="preserve"> multiple sources of survey, catch, and mark-recovery data </w:t>
      </w:r>
      <w:r w:rsidR="008F3270">
        <w:t>using a</w:t>
      </w:r>
      <w:r w:rsidR="008F3270" w:rsidRPr="00BD3CF5">
        <w:t xml:space="preserve"> maximum likelihood approach to e</w:t>
      </w:r>
      <w:r w:rsidR="00563EC2">
        <w:t xml:space="preserve">stimate abundance, recruitment, </w:t>
      </w:r>
      <w:proofErr w:type="spellStart"/>
      <w:r w:rsidR="000370F0">
        <w:t>catchability</w:t>
      </w:r>
      <w:proofErr w:type="spellEnd"/>
      <w:r w:rsidR="00A729C8" w:rsidRPr="00BD3CF5">
        <w:t xml:space="preserve"> of the commercial pot gear</w:t>
      </w:r>
      <w:r w:rsidR="007E2957">
        <w:t>,</w:t>
      </w:r>
      <w:r w:rsidR="00A729C8">
        <w:t xml:space="preserve">  </w:t>
      </w:r>
      <w:r w:rsidR="0058665B">
        <w:t xml:space="preserve">commercial and survey </w:t>
      </w:r>
      <w:r w:rsidR="005907DF">
        <w:t>selectivity</w:t>
      </w:r>
      <w:r w:rsidR="0058665B">
        <w:t>,</w:t>
      </w:r>
      <w:r w:rsidR="00A729C8">
        <w:t xml:space="preserve"> molting probabilit</w:t>
      </w:r>
      <w:r w:rsidR="006331EA">
        <w:t>y</w:t>
      </w:r>
      <w:r w:rsidR="0058665B">
        <w:t xml:space="preserve"> and growth</w:t>
      </w:r>
      <w:r w:rsidR="006331EA">
        <w:t xml:space="preserve">. </w:t>
      </w:r>
      <w:r w:rsidR="007440FE">
        <w:t xml:space="preserve"> (See </w:t>
      </w:r>
      <w:r w:rsidR="000865A5">
        <w:t>Appendix A</w:t>
      </w:r>
      <w:r w:rsidR="007440FE">
        <w:t xml:space="preserve"> for full model description)</w:t>
      </w:r>
      <w:r w:rsidR="000865A5">
        <w:t>.</w:t>
      </w:r>
      <w:r w:rsidR="00EF6835">
        <w:t xml:space="preserve">  Model cycle is July 1</w:t>
      </w:r>
      <w:r w:rsidR="00EF6835" w:rsidRPr="00EF6835">
        <w:rPr>
          <w:vertAlign w:val="superscript"/>
        </w:rPr>
        <w:t>st</w:t>
      </w:r>
      <w:r w:rsidR="00EF6835">
        <w:t xml:space="preserve"> to June 30</w:t>
      </w:r>
      <w:r w:rsidR="00EF6835" w:rsidRPr="00EF6835">
        <w:rPr>
          <w:vertAlign w:val="superscript"/>
        </w:rPr>
        <w:t>th</w:t>
      </w:r>
      <w:r w:rsidR="00EF6835">
        <w:t xml:space="preserve"> of following year. </w:t>
      </w:r>
    </w:p>
    <w:p w:rsidR="00631A30" w:rsidRDefault="007440FE" w:rsidP="00631A30">
      <w:pPr>
        <w:pStyle w:val="ListParagraph"/>
        <w:spacing w:after="120"/>
        <w:jc w:val="both"/>
      </w:pPr>
      <w:r>
        <w:t>b-f. See A</w:t>
      </w:r>
      <w:r w:rsidR="00631A30">
        <w:t>ppendix</w:t>
      </w:r>
      <w:r>
        <w:t xml:space="preserve"> A</w:t>
      </w:r>
      <w:r w:rsidR="00631A30">
        <w:t>.</w:t>
      </w:r>
    </w:p>
    <w:p w:rsidR="00631A30" w:rsidRDefault="00631A30" w:rsidP="00631A30">
      <w:pPr>
        <w:pStyle w:val="ListParagraph"/>
        <w:spacing w:after="120"/>
        <w:jc w:val="both"/>
      </w:pPr>
    </w:p>
    <w:p w:rsidR="00B55AF7" w:rsidRDefault="00B55AF7" w:rsidP="000A03C9">
      <w:pPr>
        <w:pStyle w:val="ListParagraph"/>
        <w:numPr>
          <w:ilvl w:val="0"/>
          <w:numId w:val="9"/>
        </w:numPr>
        <w:spacing w:after="120"/>
        <w:ind w:left="1080"/>
        <w:jc w:val="both"/>
      </w:pPr>
      <w:r>
        <w:t>Critical assumptions of the model:</w:t>
      </w:r>
    </w:p>
    <w:p w:rsidR="00707668" w:rsidRDefault="00707668" w:rsidP="00707668">
      <w:pPr>
        <w:pStyle w:val="ListParagraph"/>
        <w:spacing w:after="120"/>
        <w:ind w:left="1080"/>
        <w:jc w:val="both"/>
      </w:pPr>
    </w:p>
    <w:p w:rsidR="00465F79" w:rsidRDefault="00465F79" w:rsidP="000A03C9">
      <w:pPr>
        <w:numPr>
          <w:ilvl w:val="0"/>
          <w:numId w:val="15"/>
        </w:numPr>
        <w:tabs>
          <w:tab w:val="left" w:pos="720"/>
          <w:tab w:val="left" w:pos="1440"/>
        </w:tabs>
        <w:spacing w:after="120"/>
        <w:jc w:val="both"/>
      </w:pPr>
      <w:r>
        <w:t>Male crab mature at 94mm</w:t>
      </w:r>
      <w:r w:rsidR="006331EA">
        <w:t xml:space="preserve"> CL</w:t>
      </w:r>
      <w:r>
        <w:t xml:space="preserve">. </w:t>
      </w:r>
    </w:p>
    <w:p w:rsidR="00465F79" w:rsidRPr="00AA049C" w:rsidRDefault="00522D64" w:rsidP="00465F79">
      <w:pPr>
        <w:tabs>
          <w:tab w:val="left" w:pos="720"/>
          <w:tab w:val="left" w:pos="1440"/>
        </w:tabs>
        <w:spacing w:after="120"/>
        <w:ind w:left="1440"/>
        <w:jc w:val="both"/>
        <w:rPr>
          <w:sz w:val="20"/>
          <w:szCs w:val="20"/>
        </w:rPr>
      </w:pPr>
      <w:r w:rsidRPr="008264B6">
        <w:rPr>
          <w:sz w:val="20"/>
          <w:szCs w:val="20"/>
        </w:rPr>
        <w:t>The b</w:t>
      </w:r>
      <w:r w:rsidR="00465F79" w:rsidRPr="00522D64">
        <w:rPr>
          <w:sz w:val="20"/>
          <w:szCs w:val="20"/>
        </w:rPr>
        <w:t>as</w:t>
      </w:r>
      <w:r w:rsidRPr="008264B6">
        <w:rPr>
          <w:sz w:val="20"/>
          <w:szCs w:val="20"/>
        </w:rPr>
        <w:t>i</w:t>
      </w:r>
      <w:r w:rsidR="00465F79" w:rsidRPr="00522D64">
        <w:rPr>
          <w:sz w:val="20"/>
          <w:szCs w:val="20"/>
        </w:rPr>
        <w:t>s</w:t>
      </w:r>
      <w:r w:rsidR="00465F79" w:rsidRPr="00AA049C">
        <w:rPr>
          <w:sz w:val="20"/>
          <w:szCs w:val="20"/>
        </w:rPr>
        <w:t xml:space="preserve"> for this assumption have not been located</w:t>
      </w:r>
      <w:r w:rsidR="00581F43">
        <w:rPr>
          <w:sz w:val="20"/>
          <w:szCs w:val="20"/>
        </w:rPr>
        <w:t xml:space="preserve">. </w:t>
      </w:r>
      <w:r w:rsidR="00465F79" w:rsidRPr="00AA049C">
        <w:rPr>
          <w:sz w:val="20"/>
          <w:szCs w:val="20"/>
        </w:rPr>
        <w:t xml:space="preserve">No formal study has been conducted to test this assumption. </w:t>
      </w:r>
    </w:p>
    <w:p w:rsidR="00956100" w:rsidRDefault="00241A52" w:rsidP="00956100">
      <w:pPr>
        <w:numPr>
          <w:ilvl w:val="0"/>
          <w:numId w:val="15"/>
        </w:numPr>
        <w:tabs>
          <w:tab w:val="left" w:pos="720"/>
          <w:tab w:val="left" w:pos="1440"/>
        </w:tabs>
        <w:spacing w:after="120"/>
        <w:jc w:val="both"/>
      </w:pPr>
      <w:r>
        <w:t>Instantaneous n</w:t>
      </w:r>
      <w:r w:rsidR="00631A30" w:rsidRPr="003C7AC1">
        <w:t>atural m</w:t>
      </w:r>
      <w:r>
        <w:t xml:space="preserve">ortality </w:t>
      </w:r>
      <w:r w:rsidRPr="00241A52">
        <w:rPr>
          <w:i/>
        </w:rPr>
        <w:t>M</w:t>
      </w:r>
      <w:r>
        <w:t xml:space="preserve"> is </w:t>
      </w:r>
      <w:r w:rsidR="00AE4901">
        <w:t>0.18</w:t>
      </w:r>
      <w:r w:rsidR="007440FE">
        <w:t xml:space="preserve"> </w:t>
      </w:r>
      <w:r w:rsidR="00ED7CDA">
        <w:t xml:space="preserve">for all </w:t>
      </w:r>
      <w:r w:rsidR="007E35CD">
        <w:t>length class</w:t>
      </w:r>
      <w:r w:rsidR="00ED7CDA">
        <w:t>es</w:t>
      </w:r>
      <w:r w:rsidR="007E35CD">
        <w:t xml:space="preserve">, except for the </w:t>
      </w:r>
      <w:r w:rsidR="007E35CD" w:rsidRPr="007E35CD">
        <w:t xml:space="preserve">last length group </w:t>
      </w:r>
      <w:r w:rsidR="00ED7CDA">
        <w:t>(&gt; 123mm)</w:t>
      </w:r>
      <w:r w:rsidR="00AE4901">
        <w:t xml:space="preserve"> where M =0.648</w:t>
      </w:r>
      <w:r w:rsidR="007077DA">
        <w:t xml:space="preserve"> </w:t>
      </w:r>
      <w:r w:rsidR="00AE4901">
        <w:t>(0.18 × 3</w:t>
      </w:r>
      <w:r w:rsidR="00ED7CDA">
        <w:t>.6)</w:t>
      </w:r>
      <w:r w:rsidR="00581F43">
        <w:t xml:space="preserve">. </w:t>
      </w:r>
      <w:r w:rsidR="00C73814">
        <w:t xml:space="preserve">M is constant over time. </w:t>
      </w:r>
    </w:p>
    <w:p w:rsidR="004F297E" w:rsidRDefault="000A6F7D" w:rsidP="00C73814">
      <w:pPr>
        <w:tabs>
          <w:tab w:val="left" w:pos="720"/>
          <w:tab w:val="left" w:pos="1440"/>
        </w:tabs>
        <w:spacing w:after="120"/>
        <w:ind w:left="1440"/>
        <w:jc w:val="both"/>
        <w:rPr>
          <w:rFonts w:ascii="TimesNewRomanPSMT" w:hAnsi="TimesNewRomanPSMT" w:cs="TimesNewRomanPSMT"/>
          <w:sz w:val="20"/>
          <w:szCs w:val="20"/>
        </w:rPr>
      </w:pPr>
      <w:r w:rsidRPr="007E35CD">
        <w:rPr>
          <w:sz w:val="20"/>
          <w:szCs w:val="20"/>
        </w:rPr>
        <w:t xml:space="preserve">This mortality is based on Bristol Bay red king crab, </w:t>
      </w:r>
      <w:r w:rsidR="00631A30" w:rsidRPr="007E35CD">
        <w:rPr>
          <w:sz w:val="20"/>
          <w:szCs w:val="20"/>
        </w:rPr>
        <w:t>estimated with a maximum age 25 and the 1% rule (Zheng 2005)</w:t>
      </w:r>
      <w:r w:rsidR="00C73814">
        <w:rPr>
          <w:sz w:val="20"/>
          <w:szCs w:val="20"/>
        </w:rPr>
        <w:t>, and was adopted for NSRKC by CPT</w:t>
      </w:r>
      <w:r w:rsidR="00581F43">
        <w:rPr>
          <w:sz w:val="20"/>
          <w:szCs w:val="20"/>
        </w:rPr>
        <w:t xml:space="preserve">. </w:t>
      </w:r>
      <w:r w:rsidR="00C73814">
        <w:rPr>
          <w:sz w:val="20"/>
          <w:szCs w:val="20"/>
        </w:rPr>
        <w:t xml:space="preserve">The assumption of the higher M for the last length </w:t>
      </w:r>
      <w:r w:rsidR="00633BE9">
        <w:rPr>
          <w:sz w:val="20"/>
          <w:szCs w:val="20"/>
        </w:rPr>
        <w:t>group</w:t>
      </w:r>
      <w:r w:rsidR="009B3BCF" w:rsidRPr="007E35CD">
        <w:rPr>
          <w:sz w:val="20"/>
          <w:szCs w:val="20"/>
        </w:rPr>
        <w:t xml:space="preserve"> is based </w:t>
      </w:r>
      <w:r w:rsidR="00396561" w:rsidRPr="007E35CD">
        <w:rPr>
          <w:sz w:val="20"/>
          <w:szCs w:val="20"/>
        </w:rPr>
        <w:t xml:space="preserve">not </w:t>
      </w:r>
      <w:r w:rsidR="009B3BCF" w:rsidRPr="007E35CD">
        <w:rPr>
          <w:sz w:val="20"/>
          <w:szCs w:val="20"/>
        </w:rPr>
        <w:t>on</w:t>
      </w:r>
      <w:r w:rsidR="00396561" w:rsidRPr="007E35CD">
        <w:rPr>
          <w:sz w:val="20"/>
          <w:szCs w:val="20"/>
        </w:rPr>
        <w:t xml:space="preserve"> biological data, but rather a working hypothesis </w:t>
      </w:r>
      <w:r w:rsidR="000370F0" w:rsidRPr="007E35CD">
        <w:rPr>
          <w:sz w:val="20"/>
          <w:szCs w:val="20"/>
        </w:rPr>
        <w:t xml:space="preserve">attempting </w:t>
      </w:r>
      <w:r w:rsidR="00396561" w:rsidRPr="007E35CD">
        <w:rPr>
          <w:sz w:val="20"/>
          <w:szCs w:val="20"/>
        </w:rPr>
        <w:t xml:space="preserve">to explain </w:t>
      </w:r>
      <w:r w:rsidR="009B3BCF" w:rsidRPr="007E35CD">
        <w:rPr>
          <w:sz w:val="20"/>
          <w:szCs w:val="20"/>
        </w:rPr>
        <w:t xml:space="preserve">the </w:t>
      </w:r>
      <w:r w:rsidR="00AA049C">
        <w:rPr>
          <w:sz w:val="20"/>
          <w:szCs w:val="20"/>
        </w:rPr>
        <w:t xml:space="preserve">lower than model predicted proportion </w:t>
      </w:r>
      <w:r w:rsidR="00396561" w:rsidRPr="007E35CD">
        <w:rPr>
          <w:sz w:val="20"/>
          <w:szCs w:val="20"/>
        </w:rPr>
        <w:t xml:space="preserve">of this group in </w:t>
      </w:r>
      <w:r w:rsidR="00491532" w:rsidRPr="007E35CD">
        <w:rPr>
          <w:sz w:val="20"/>
          <w:szCs w:val="20"/>
        </w:rPr>
        <w:t xml:space="preserve">summer </w:t>
      </w:r>
      <w:r w:rsidR="00AA049C">
        <w:rPr>
          <w:sz w:val="20"/>
          <w:szCs w:val="20"/>
        </w:rPr>
        <w:t>commercial fisheries (Figures 10, 13</w:t>
      </w:r>
      <w:r w:rsidR="00061069" w:rsidRPr="00522D64">
        <w:rPr>
          <w:sz w:val="20"/>
          <w:szCs w:val="20"/>
        </w:rPr>
        <w:t>)</w:t>
      </w:r>
      <w:r w:rsidR="00581F43">
        <w:rPr>
          <w:sz w:val="20"/>
          <w:szCs w:val="20"/>
        </w:rPr>
        <w:t>.</w:t>
      </w:r>
      <w:r w:rsidR="00061069" w:rsidRPr="007E35CD">
        <w:rPr>
          <w:sz w:val="20"/>
          <w:szCs w:val="20"/>
        </w:rPr>
        <w:t xml:space="preserve">). </w:t>
      </w:r>
      <w:r w:rsidR="004C6D0B" w:rsidRPr="007E35CD">
        <w:rPr>
          <w:sz w:val="20"/>
          <w:szCs w:val="20"/>
        </w:rPr>
        <w:t xml:space="preserve"> </w:t>
      </w:r>
      <w:r w:rsidR="00061069" w:rsidRPr="007E35CD">
        <w:rPr>
          <w:sz w:val="20"/>
          <w:szCs w:val="20"/>
        </w:rPr>
        <w:t>It is possible,</w:t>
      </w:r>
      <w:r w:rsidR="00AA049C">
        <w:rPr>
          <w:sz w:val="20"/>
          <w:szCs w:val="20"/>
        </w:rPr>
        <w:t xml:space="preserve"> that the last length group </w:t>
      </w:r>
      <w:r w:rsidR="00061069" w:rsidRPr="007E35CD">
        <w:rPr>
          <w:sz w:val="20"/>
          <w:szCs w:val="20"/>
        </w:rPr>
        <w:t>move</w:t>
      </w:r>
      <w:r w:rsidR="00AA049C">
        <w:rPr>
          <w:sz w:val="20"/>
          <w:szCs w:val="20"/>
        </w:rPr>
        <w:t>d</w:t>
      </w:r>
      <w:r w:rsidR="00061069" w:rsidRPr="008264B6">
        <w:rPr>
          <w:sz w:val="20"/>
        </w:rPr>
        <w:t xml:space="preserve"> </w:t>
      </w:r>
      <w:r w:rsidR="00F614C0" w:rsidRPr="008264B6">
        <w:rPr>
          <w:sz w:val="20"/>
        </w:rPr>
        <w:t>in</w:t>
      </w:r>
      <w:r w:rsidR="00061069" w:rsidRPr="008264B6">
        <w:rPr>
          <w:sz w:val="20"/>
        </w:rPr>
        <w:t xml:space="preserve">to </w:t>
      </w:r>
      <w:r w:rsidR="00B1099C" w:rsidRPr="008264B6">
        <w:rPr>
          <w:sz w:val="20"/>
        </w:rPr>
        <w:t xml:space="preserve">areas </w:t>
      </w:r>
      <w:r w:rsidR="00061069" w:rsidRPr="008264B6">
        <w:rPr>
          <w:sz w:val="20"/>
        </w:rPr>
        <w:t xml:space="preserve">inaccessible </w:t>
      </w:r>
      <w:r w:rsidR="00B1099C" w:rsidRPr="008264B6">
        <w:rPr>
          <w:sz w:val="20"/>
        </w:rPr>
        <w:t xml:space="preserve">to </w:t>
      </w:r>
      <w:r w:rsidR="00F614C0" w:rsidRPr="008264B6">
        <w:rPr>
          <w:sz w:val="20"/>
        </w:rPr>
        <w:lastRenderedPageBreak/>
        <w:t>commercial fisheries</w:t>
      </w:r>
      <w:r w:rsidR="00AA049C" w:rsidRPr="008264B6">
        <w:rPr>
          <w:sz w:val="20"/>
        </w:rPr>
        <w:t xml:space="preserve"> </w:t>
      </w:r>
      <w:r w:rsidR="006944E8" w:rsidRPr="008264B6">
        <w:rPr>
          <w:sz w:val="20"/>
        </w:rPr>
        <w:t>(CPT review 2010)</w:t>
      </w:r>
      <w:r w:rsidR="00581F43">
        <w:rPr>
          <w:sz w:val="20"/>
          <w:szCs w:val="20"/>
        </w:rPr>
        <w:t xml:space="preserve">. </w:t>
      </w:r>
      <w:r w:rsidR="004C6D0B" w:rsidRPr="008264B6">
        <w:rPr>
          <w:sz w:val="20"/>
        </w:rPr>
        <w:t>However,</w:t>
      </w:r>
      <w:r w:rsidR="00F614C0" w:rsidRPr="008264B6">
        <w:rPr>
          <w:sz w:val="20"/>
        </w:rPr>
        <w:t xml:space="preserve"> this does not </w:t>
      </w:r>
      <w:r w:rsidR="00B875DC" w:rsidRPr="008264B6">
        <w:rPr>
          <w:sz w:val="20"/>
        </w:rPr>
        <w:t>explain the low</w:t>
      </w:r>
      <w:r w:rsidR="00B10BEB" w:rsidRPr="008264B6">
        <w:rPr>
          <w:sz w:val="20"/>
        </w:rPr>
        <w:t xml:space="preserve"> proportion </w:t>
      </w:r>
      <w:r w:rsidR="00F614C0" w:rsidRPr="008264B6">
        <w:rPr>
          <w:sz w:val="20"/>
        </w:rPr>
        <w:t xml:space="preserve">observed in the summer trawl </w:t>
      </w:r>
      <w:r w:rsidR="00B1099C" w:rsidRPr="008264B6">
        <w:rPr>
          <w:sz w:val="20"/>
        </w:rPr>
        <w:t>survey</w:t>
      </w:r>
      <w:r w:rsidR="00B10BEB" w:rsidRPr="008264B6">
        <w:rPr>
          <w:sz w:val="20"/>
        </w:rPr>
        <w:t>,</w:t>
      </w:r>
      <w:r w:rsidR="00B1099C" w:rsidRPr="008264B6">
        <w:rPr>
          <w:sz w:val="20"/>
        </w:rPr>
        <w:t xml:space="preserve"> when all of the </w:t>
      </w:r>
      <w:r w:rsidR="00F614C0" w:rsidRPr="008264B6">
        <w:rPr>
          <w:sz w:val="20"/>
        </w:rPr>
        <w:t>Norton Sound Area was</w:t>
      </w:r>
      <w:r w:rsidR="003D47CA" w:rsidRPr="008264B6">
        <w:rPr>
          <w:sz w:val="20"/>
        </w:rPr>
        <w:t xml:space="preserve"> surveyed</w:t>
      </w:r>
      <w:r w:rsidR="00581F43">
        <w:rPr>
          <w:sz w:val="20"/>
          <w:szCs w:val="20"/>
        </w:rPr>
        <w:t xml:space="preserve">. </w:t>
      </w:r>
      <w:r w:rsidR="00C73814" w:rsidRPr="008264B6">
        <w:rPr>
          <w:sz w:val="20"/>
        </w:rPr>
        <w:t>In addition</w:t>
      </w:r>
      <w:r w:rsidR="00B10BEB" w:rsidRPr="008264B6">
        <w:rPr>
          <w:sz w:val="20"/>
        </w:rPr>
        <w:t xml:space="preserve">, </w:t>
      </w:r>
      <w:r w:rsidR="004C6D0B" w:rsidRPr="008264B6">
        <w:rPr>
          <w:sz w:val="20"/>
        </w:rPr>
        <w:t>lowering the catch selectivity did not</w:t>
      </w:r>
      <w:r w:rsidR="00F614C0" w:rsidRPr="008264B6">
        <w:rPr>
          <w:sz w:val="20"/>
        </w:rPr>
        <w:t xml:space="preserve"> result in lower log likelihood than increasing the mortality (CPT 2010)</w:t>
      </w:r>
      <w:r w:rsidR="00581F43">
        <w:rPr>
          <w:sz w:val="20"/>
          <w:szCs w:val="20"/>
        </w:rPr>
        <w:t xml:space="preserve">. </w:t>
      </w:r>
    </w:p>
    <w:p w:rsidR="00964610" w:rsidRPr="00C73814" w:rsidRDefault="000370F0" w:rsidP="00964610">
      <w:pPr>
        <w:numPr>
          <w:ilvl w:val="0"/>
          <w:numId w:val="15"/>
        </w:numPr>
        <w:tabs>
          <w:tab w:val="left" w:pos="720"/>
          <w:tab w:val="left" w:pos="1440"/>
        </w:tabs>
        <w:spacing w:after="120"/>
        <w:jc w:val="both"/>
      </w:pPr>
      <w:r w:rsidRPr="00C73814">
        <w:t>Trawl s</w:t>
      </w:r>
      <w:r w:rsidR="00C73814">
        <w:t>urvey selectivity</w:t>
      </w:r>
      <w:r w:rsidRPr="00C73814">
        <w:t xml:space="preserve"> is </w:t>
      </w:r>
      <w:r w:rsidR="00FA0097">
        <w:t xml:space="preserve">a </w:t>
      </w:r>
      <w:r w:rsidR="00C1191A">
        <w:t>logistic</w:t>
      </w:r>
      <w:r w:rsidR="00FA0097">
        <w:t xml:space="preserve"> function with</w:t>
      </w:r>
      <w:r w:rsidR="007E35CD" w:rsidRPr="00C73814">
        <w:t xml:space="preserve"> </w:t>
      </w:r>
      <w:r w:rsidR="00D563A9">
        <w:t>0.999</w:t>
      </w:r>
      <w:r w:rsidRPr="00C73814">
        <w:t xml:space="preserve"> for </w:t>
      </w:r>
      <w:r w:rsidR="00105FFD">
        <w:t xml:space="preserve">length classes </w:t>
      </w:r>
      <w:r w:rsidR="00FA0097">
        <w:t>5</w:t>
      </w:r>
      <w:r w:rsidR="00633BE9">
        <w:t>-6</w:t>
      </w:r>
      <w:r w:rsidR="007E35CD" w:rsidRPr="00C73814">
        <w:t xml:space="preserve">. </w:t>
      </w:r>
      <w:r w:rsidR="00C73814" w:rsidRPr="00C73814">
        <w:t xml:space="preserve"> </w:t>
      </w:r>
      <w:r w:rsidR="00964610">
        <w:t xml:space="preserve"> S</w:t>
      </w:r>
      <w:r w:rsidR="00D563A9">
        <w:t xml:space="preserve">electivity is constant over time, separated between NMFS and ADFG survey. </w:t>
      </w:r>
    </w:p>
    <w:p w:rsidR="00C73814" w:rsidRDefault="009F6908" w:rsidP="008264B6">
      <w:pPr>
        <w:tabs>
          <w:tab w:val="left" w:pos="720"/>
          <w:tab w:val="left" w:pos="1440"/>
        </w:tabs>
        <w:ind w:left="1440"/>
        <w:jc w:val="both"/>
        <w:rPr>
          <w:sz w:val="20"/>
          <w:szCs w:val="20"/>
        </w:rPr>
      </w:pPr>
      <w:r w:rsidRPr="008264B6">
        <w:rPr>
          <w:sz w:val="20"/>
        </w:rPr>
        <w:t>This</w:t>
      </w:r>
      <w:r w:rsidR="007E35CD" w:rsidRPr="008264B6">
        <w:rPr>
          <w:sz w:val="20"/>
        </w:rPr>
        <w:t xml:space="preserve"> assumption was not based on biological/mechanistic data and reasoning, but rather an attempt to improve model fit</w:t>
      </w:r>
      <w:r w:rsidR="00581F43">
        <w:rPr>
          <w:sz w:val="20"/>
          <w:szCs w:val="20"/>
        </w:rPr>
        <w:t xml:space="preserve">. </w:t>
      </w:r>
    </w:p>
    <w:p w:rsidR="00D563A9" w:rsidRPr="008264B6" w:rsidRDefault="00D563A9" w:rsidP="008264B6">
      <w:pPr>
        <w:tabs>
          <w:tab w:val="left" w:pos="720"/>
          <w:tab w:val="left" w:pos="1440"/>
        </w:tabs>
        <w:ind w:left="1440"/>
        <w:jc w:val="both"/>
        <w:rPr>
          <w:sz w:val="20"/>
        </w:rPr>
      </w:pPr>
    </w:p>
    <w:p w:rsidR="00015099" w:rsidRDefault="00C73814" w:rsidP="000A03C9">
      <w:pPr>
        <w:numPr>
          <w:ilvl w:val="0"/>
          <w:numId w:val="15"/>
        </w:numPr>
        <w:tabs>
          <w:tab w:val="left" w:pos="720"/>
          <w:tab w:val="left" w:pos="1440"/>
        </w:tabs>
        <w:spacing w:after="120"/>
        <w:jc w:val="both"/>
      </w:pPr>
      <w:r>
        <w:t>W</w:t>
      </w:r>
      <w:r w:rsidR="000370F0">
        <w:t xml:space="preserve">inter </w:t>
      </w:r>
      <w:r>
        <w:t xml:space="preserve">pot </w:t>
      </w:r>
      <w:r w:rsidR="000370F0">
        <w:t>survey</w:t>
      </w:r>
      <w:r w:rsidR="00250C91">
        <w:t xml:space="preserve"> selectivity </w:t>
      </w:r>
      <w:r>
        <w:t xml:space="preserve">is a dome shaped function: </w:t>
      </w:r>
      <w:r w:rsidR="00C1191A">
        <w:t>logistic</w:t>
      </w:r>
      <w:r w:rsidR="00484235">
        <w:t xml:space="preserve"> function for length classes 1-4</w:t>
      </w:r>
      <w:r w:rsidRPr="00C73814">
        <w:t xml:space="preserve">, </w:t>
      </w:r>
      <w:r w:rsidR="00484235">
        <w:t>0</w:t>
      </w:r>
      <w:r w:rsidR="000A2085">
        <w:t>.999</w:t>
      </w:r>
      <w:r w:rsidR="00484235">
        <w:t xml:space="preserve"> for length class 5, </w:t>
      </w:r>
      <w:r w:rsidRPr="00C73814">
        <w:t xml:space="preserve">and </w:t>
      </w:r>
      <w:r w:rsidR="00015099">
        <w:t xml:space="preserve">model estimate </w:t>
      </w:r>
      <w:r w:rsidRPr="00C73814">
        <w:t>for the last length group</w:t>
      </w:r>
      <w:r w:rsidR="00581F43">
        <w:t xml:space="preserve">. </w:t>
      </w:r>
      <w:r w:rsidR="00964610">
        <w:t>Selectivity is constant over time</w:t>
      </w:r>
      <w:r w:rsidR="00581F43">
        <w:t>.</w:t>
      </w:r>
      <w:r w:rsidR="00964610" w:rsidRPr="00C73814">
        <w:t xml:space="preserve"> </w:t>
      </w:r>
    </w:p>
    <w:p w:rsidR="007B512D" w:rsidRDefault="00822A09" w:rsidP="007B512D">
      <w:pPr>
        <w:pStyle w:val="ListParagraph"/>
        <w:tabs>
          <w:tab w:val="left" w:pos="720"/>
        </w:tabs>
        <w:ind w:left="1440"/>
        <w:jc w:val="both"/>
        <w:rPr>
          <w:sz w:val="20"/>
        </w:rPr>
      </w:pPr>
      <w:r w:rsidRPr="008264B6">
        <w:rPr>
          <w:sz w:val="20"/>
        </w:rPr>
        <w:t xml:space="preserve">This assumption is based on a belief (but no empirical data) that very large crab </w:t>
      </w:r>
      <w:r w:rsidR="000A2085">
        <w:rPr>
          <w:sz w:val="20"/>
        </w:rPr>
        <w:t xml:space="preserve">may be </w:t>
      </w:r>
      <w:r w:rsidR="00522D64" w:rsidRPr="008264B6">
        <w:rPr>
          <w:sz w:val="20"/>
          <w:szCs w:val="20"/>
        </w:rPr>
        <w:t>infrequently present</w:t>
      </w:r>
      <w:r w:rsidR="000A2085">
        <w:rPr>
          <w:sz w:val="20"/>
          <w:szCs w:val="20"/>
        </w:rPr>
        <w:t xml:space="preserve"> in the</w:t>
      </w:r>
      <w:r w:rsidR="004749FA" w:rsidRPr="008264B6">
        <w:rPr>
          <w:sz w:val="21"/>
        </w:rPr>
        <w:t xml:space="preserve"> </w:t>
      </w:r>
      <w:proofErr w:type="spellStart"/>
      <w:r w:rsidRPr="008264B6">
        <w:rPr>
          <w:sz w:val="20"/>
        </w:rPr>
        <w:t>nearshore</w:t>
      </w:r>
      <w:proofErr w:type="spellEnd"/>
      <w:r w:rsidRPr="008264B6">
        <w:rPr>
          <w:sz w:val="20"/>
        </w:rPr>
        <w:t xml:space="preserve"> area where the winter surveys occur. </w:t>
      </w:r>
    </w:p>
    <w:p w:rsidR="000A2085" w:rsidRPr="008264B6" w:rsidRDefault="000A2085" w:rsidP="007B512D">
      <w:pPr>
        <w:pStyle w:val="ListParagraph"/>
        <w:tabs>
          <w:tab w:val="left" w:pos="720"/>
        </w:tabs>
        <w:ind w:left="1440"/>
        <w:jc w:val="both"/>
        <w:rPr>
          <w:sz w:val="20"/>
        </w:rPr>
      </w:pPr>
    </w:p>
    <w:p w:rsidR="00964610" w:rsidRDefault="00250C91" w:rsidP="00707668">
      <w:pPr>
        <w:numPr>
          <w:ilvl w:val="0"/>
          <w:numId w:val="15"/>
        </w:numPr>
        <w:tabs>
          <w:tab w:val="left" w:pos="720"/>
          <w:tab w:val="left" w:pos="1440"/>
        </w:tabs>
        <w:spacing w:after="120"/>
        <w:jc w:val="both"/>
      </w:pPr>
      <w:r>
        <w:t>Summer commercial f</w:t>
      </w:r>
      <w:r w:rsidR="00631A30" w:rsidRPr="003C7AC1">
        <w:t>isheries</w:t>
      </w:r>
      <w:r w:rsidR="00626268">
        <w:t xml:space="preserve"> selectivity </w:t>
      </w:r>
      <w:r>
        <w:t>is a</w:t>
      </w:r>
      <w:r w:rsidR="00FA0097">
        <w:t>n</w:t>
      </w:r>
      <w:r>
        <w:t xml:space="preserve"> </w:t>
      </w:r>
      <w:r w:rsidR="00FA0097">
        <w:t xml:space="preserve">asymptotic </w:t>
      </w:r>
      <w:r w:rsidR="00C1191A">
        <w:t>logistic</w:t>
      </w:r>
      <w:r w:rsidR="000370F0">
        <w:t xml:space="preserve"> </w:t>
      </w:r>
      <w:r>
        <w:t xml:space="preserve">function of </w:t>
      </w:r>
      <w:r w:rsidR="000A2085">
        <w:t>0.999</w:t>
      </w:r>
      <w:r w:rsidR="00FA0097">
        <w:t xml:space="preserve"> </w:t>
      </w:r>
      <w:r>
        <w:t xml:space="preserve">at the length class 5 </w:t>
      </w:r>
      <w:r w:rsidR="00FA0097">
        <w:t>and 6</w:t>
      </w:r>
      <w:r w:rsidR="00581F43">
        <w:t xml:space="preserve">. </w:t>
      </w:r>
      <w:r>
        <w:t xml:space="preserve">It </w:t>
      </w:r>
      <w:r w:rsidR="00631A30">
        <w:t>ha</w:t>
      </w:r>
      <w:r w:rsidR="00626268">
        <w:t>s</w:t>
      </w:r>
      <w:r w:rsidR="00B875DC">
        <w:t xml:space="preserve"> two</w:t>
      </w:r>
      <w:r w:rsidR="00631A30">
        <w:t xml:space="preserve"> </w:t>
      </w:r>
      <w:r w:rsidR="008047A3">
        <w:t xml:space="preserve">selectivity </w:t>
      </w:r>
      <w:r w:rsidR="00626268">
        <w:t xml:space="preserve">curves: </w:t>
      </w:r>
      <w:r w:rsidR="000A2085">
        <w:t xml:space="preserve">(1) </w:t>
      </w:r>
      <w:r w:rsidR="008047A3">
        <w:t>1977-1992</w:t>
      </w:r>
      <w:r w:rsidR="00B875DC">
        <w:t>,</w:t>
      </w:r>
      <w:r w:rsidR="002D4F51">
        <w:t xml:space="preserve"> and </w:t>
      </w:r>
      <w:r w:rsidR="000A2085">
        <w:t xml:space="preserve">(2) </w:t>
      </w:r>
      <w:r w:rsidR="00B875DC">
        <w:t>1993</w:t>
      </w:r>
      <w:r w:rsidR="002D4F51">
        <w:t>-present,</w:t>
      </w:r>
      <w:r w:rsidR="00626268">
        <w:t xml:space="preserve"> </w:t>
      </w:r>
      <w:r w:rsidR="00B1099C">
        <w:t>reflect</w:t>
      </w:r>
      <w:r w:rsidR="002D4F51">
        <w:t>ing</w:t>
      </w:r>
      <w:r w:rsidR="00B1099C">
        <w:t xml:space="preserve"> </w:t>
      </w:r>
      <w:r w:rsidR="00631A30">
        <w:t xml:space="preserve">changes in fishing vessel composition and pot </w:t>
      </w:r>
      <w:r w:rsidR="002D4F51">
        <w:t>configuration</w:t>
      </w:r>
      <w:r w:rsidR="00581F43">
        <w:t xml:space="preserve">. </w:t>
      </w:r>
      <w:r w:rsidR="008047A3">
        <w:t xml:space="preserve"> </w:t>
      </w:r>
    </w:p>
    <w:p w:rsidR="00EC5423" w:rsidRPr="00EC5423" w:rsidRDefault="00964610" w:rsidP="00EC5423">
      <w:pPr>
        <w:tabs>
          <w:tab w:val="left" w:pos="720"/>
          <w:tab w:val="left" w:pos="1440"/>
        </w:tabs>
        <w:spacing w:after="120"/>
        <w:ind w:left="1440"/>
        <w:jc w:val="both"/>
        <w:rPr>
          <w:sz w:val="20"/>
          <w:szCs w:val="20"/>
        </w:rPr>
      </w:pPr>
      <w:r w:rsidRPr="00964610">
        <w:rPr>
          <w:sz w:val="20"/>
          <w:szCs w:val="20"/>
        </w:rPr>
        <w:t>Since 2005 commer</w:t>
      </w:r>
      <w:r>
        <w:rPr>
          <w:sz w:val="20"/>
          <w:szCs w:val="20"/>
        </w:rPr>
        <w:t xml:space="preserve">cial buyers accept only legal crab of </w:t>
      </w:r>
      <w:r w:rsidR="00EC5423">
        <w:rPr>
          <w:sz w:val="20"/>
          <w:szCs w:val="20"/>
        </w:rPr>
        <w:t xml:space="preserve">CW ≥ 5.0 inch and </w:t>
      </w:r>
      <w:r w:rsidR="008047A3">
        <w:rPr>
          <w:sz w:val="20"/>
          <w:szCs w:val="20"/>
        </w:rPr>
        <w:t xml:space="preserve">unknown numbers of </w:t>
      </w:r>
      <w:r w:rsidR="00EC5423">
        <w:rPr>
          <w:sz w:val="20"/>
          <w:szCs w:val="20"/>
        </w:rPr>
        <w:t>legal cr</w:t>
      </w:r>
      <w:r w:rsidR="008047A3">
        <w:rPr>
          <w:sz w:val="20"/>
          <w:szCs w:val="20"/>
        </w:rPr>
        <w:t>ab with CW &lt; 5.0 are discarded</w:t>
      </w:r>
      <w:r w:rsidR="00581F43">
        <w:rPr>
          <w:sz w:val="20"/>
          <w:szCs w:val="20"/>
        </w:rPr>
        <w:t xml:space="preserve">. </w:t>
      </w:r>
      <w:r w:rsidR="008047A3">
        <w:rPr>
          <w:sz w:val="20"/>
          <w:szCs w:val="20"/>
        </w:rPr>
        <w:t xml:space="preserve"> Further, since 2008, commercial pots are required to install escapement rings for sublegal crabs</w:t>
      </w:r>
      <w:r w:rsidR="00581F43">
        <w:rPr>
          <w:sz w:val="20"/>
          <w:szCs w:val="20"/>
        </w:rPr>
        <w:t xml:space="preserve">. </w:t>
      </w:r>
      <w:r w:rsidR="008047A3">
        <w:rPr>
          <w:sz w:val="20"/>
          <w:szCs w:val="20"/>
        </w:rPr>
        <w:t>Hence o</w:t>
      </w:r>
      <w:r w:rsidR="00EC5423">
        <w:rPr>
          <w:sz w:val="20"/>
          <w:szCs w:val="20"/>
        </w:rPr>
        <w:t>ne can argue that the catch selectivity changed in 2005</w:t>
      </w:r>
      <w:r w:rsidR="00581F43">
        <w:rPr>
          <w:sz w:val="20"/>
          <w:szCs w:val="20"/>
        </w:rPr>
        <w:t xml:space="preserve">. </w:t>
      </w:r>
      <w:r w:rsidR="00EC5423">
        <w:rPr>
          <w:sz w:val="20"/>
          <w:szCs w:val="20"/>
        </w:rPr>
        <w:t xml:space="preserve">However, the model was not able to accurately estimate </w:t>
      </w:r>
      <w:r w:rsidR="008047A3">
        <w:rPr>
          <w:sz w:val="20"/>
          <w:szCs w:val="20"/>
        </w:rPr>
        <w:t xml:space="preserve">selectivity </w:t>
      </w:r>
      <w:r w:rsidR="00EC5423">
        <w:rPr>
          <w:sz w:val="20"/>
          <w:szCs w:val="20"/>
        </w:rPr>
        <w:t>par</w:t>
      </w:r>
      <w:r w:rsidR="008047A3">
        <w:rPr>
          <w:sz w:val="20"/>
          <w:szCs w:val="20"/>
        </w:rPr>
        <w:t>ameters for 2005-2013</w:t>
      </w:r>
      <w:r w:rsidR="00581F43">
        <w:rPr>
          <w:sz w:val="20"/>
          <w:szCs w:val="20"/>
        </w:rPr>
        <w:t xml:space="preserve">. </w:t>
      </w:r>
      <w:r w:rsidR="000A2085">
        <w:rPr>
          <w:sz w:val="20"/>
          <w:szCs w:val="20"/>
        </w:rPr>
        <w:t xml:space="preserve"> </w:t>
      </w:r>
      <w:r w:rsidR="008047A3">
        <w:rPr>
          <w:sz w:val="20"/>
          <w:szCs w:val="20"/>
        </w:rPr>
        <w:t xml:space="preserve">Consequently, </w:t>
      </w:r>
      <w:r w:rsidR="00EC5423">
        <w:rPr>
          <w:sz w:val="20"/>
          <w:szCs w:val="20"/>
        </w:rPr>
        <w:t>selectivity for both 1993-2004 and 2005-2013 were combined</w:t>
      </w:r>
      <w:r w:rsidR="00581F43">
        <w:rPr>
          <w:sz w:val="20"/>
          <w:szCs w:val="20"/>
        </w:rPr>
        <w:t>.</w:t>
      </w:r>
      <w:r w:rsidR="00EC5423">
        <w:rPr>
          <w:sz w:val="20"/>
          <w:szCs w:val="20"/>
        </w:rPr>
        <w:t xml:space="preserve">   </w:t>
      </w:r>
    </w:p>
    <w:p w:rsidR="000370F0" w:rsidRDefault="000370F0" w:rsidP="000A03C9">
      <w:pPr>
        <w:numPr>
          <w:ilvl w:val="0"/>
          <w:numId w:val="15"/>
        </w:numPr>
        <w:tabs>
          <w:tab w:val="left" w:pos="720"/>
          <w:tab w:val="left" w:pos="1440"/>
        </w:tabs>
        <w:spacing w:after="120"/>
        <w:jc w:val="both"/>
      </w:pPr>
      <w:r>
        <w:t>Winter commercial and subsistence fishery selectivity and length-shell condi</w:t>
      </w:r>
      <w:r w:rsidR="00B1099C">
        <w:t xml:space="preserve">tions are the same as those of </w:t>
      </w:r>
      <w:r w:rsidR="00EB0639">
        <w:t xml:space="preserve">the </w:t>
      </w:r>
      <w:r w:rsidR="00B1099C">
        <w:t>w</w:t>
      </w:r>
      <w:r>
        <w:t>inter pot survey</w:t>
      </w:r>
      <w:r w:rsidR="00581F43">
        <w:t xml:space="preserve">. </w:t>
      </w:r>
      <w:r w:rsidR="005A40C2">
        <w:t>All wint</w:t>
      </w:r>
      <w:r w:rsidR="007B512D">
        <w:t>er commercial and subsistence harvests occur after February 1</w:t>
      </w:r>
      <w:r w:rsidR="007B512D" w:rsidRPr="007B512D">
        <w:rPr>
          <w:vertAlign w:val="superscript"/>
        </w:rPr>
        <w:t>st</w:t>
      </w:r>
      <w:r w:rsidR="007B512D">
        <w:t xml:space="preserve">. </w:t>
      </w:r>
    </w:p>
    <w:p w:rsidR="006D2274" w:rsidRPr="008047A3" w:rsidRDefault="00EB0639" w:rsidP="00AB1EDF">
      <w:pPr>
        <w:pStyle w:val="ListParagraph"/>
        <w:tabs>
          <w:tab w:val="left" w:pos="720"/>
        </w:tabs>
        <w:ind w:left="1440"/>
        <w:rPr>
          <w:sz w:val="20"/>
          <w:szCs w:val="20"/>
        </w:rPr>
      </w:pPr>
      <w:r w:rsidRPr="008047A3">
        <w:rPr>
          <w:sz w:val="20"/>
          <w:szCs w:val="20"/>
        </w:rPr>
        <w:t>W</w:t>
      </w:r>
      <w:r w:rsidR="00883081" w:rsidRPr="008047A3">
        <w:rPr>
          <w:sz w:val="20"/>
          <w:szCs w:val="20"/>
        </w:rPr>
        <w:t>inter commercial king crab pot</w:t>
      </w:r>
      <w:r w:rsidRPr="008047A3">
        <w:rPr>
          <w:sz w:val="20"/>
          <w:szCs w:val="20"/>
        </w:rPr>
        <w:t>s</w:t>
      </w:r>
      <w:r w:rsidR="00883081" w:rsidRPr="008047A3">
        <w:rPr>
          <w:sz w:val="20"/>
          <w:szCs w:val="20"/>
        </w:rPr>
        <w:t xml:space="preserve"> can be any dimension (5AAC 34.925(d))</w:t>
      </w:r>
      <w:r w:rsidR="00581F43">
        <w:rPr>
          <w:sz w:val="20"/>
          <w:szCs w:val="20"/>
        </w:rPr>
        <w:t xml:space="preserve">. </w:t>
      </w:r>
      <w:r w:rsidR="00CC6D19" w:rsidRPr="008047A3">
        <w:rPr>
          <w:sz w:val="20"/>
          <w:szCs w:val="20"/>
        </w:rPr>
        <w:t xml:space="preserve">No data exists about </w:t>
      </w:r>
      <w:r w:rsidR="00964610" w:rsidRPr="008047A3">
        <w:rPr>
          <w:sz w:val="20"/>
          <w:szCs w:val="20"/>
        </w:rPr>
        <w:t>length composition of crab harvested in commercial and subsistence fishery</w:t>
      </w:r>
      <w:r w:rsidR="00581F43">
        <w:rPr>
          <w:sz w:val="20"/>
          <w:szCs w:val="20"/>
        </w:rPr>
        <w:t>.</w:t>
      </w:r>
      <w:r w:rsidR="00883081" w:rsidRPr="008047A3">
        <w:rPr>
          <w:sz w:val="20"/>
          <w:szCs w:val="20"/>
        </w:rPr>
        <w:t xml:space="preserve"> </w:t>
      </w:r>
      <w:r w:rsidR="00C909BD">
        <w:rPr>
          <w:sz w:val="20"/>
          <w:szCs w:val="20"/>
        </w:rPr>
        <w:t xml:space="preserve"> </w:t>
      </w:r>
      <w:r w:rsidR="00883081" w:rsidRPr="008047A3">
        <w:rPr>
          <w:sz w:val="20"/>
          <w:szCs w:val="20"/>
        </w:rPr>
        <w:t>However, because commercial fishers are also subsistence fishers, it is reasonable to assume that the commercial fishers used crab pots that they als</w:t>
      </w:r>
      <w:r w:rsidR="00C909BD">
        <w:rPr>
          <w:sz w:val="20"/>
          <w:szCs w:val="20"/>
        </w:rPr>
        <w:t>o used for subsistence harvest.  H</w:t>
      </w:r>
      <w:r w:rsidR="00883081" w:rsidRPr="008047A3">
        <w:rPr>
          <w:sz w:val="20"/>
          <w:szCs w:val="20"/>
        </w:rPr>
        <w:t>ence both fisheries have the same selectivity.</w:t>
      </w:r>
    </w:p>
    <w:p w:rsidR="00AB1EDF" w:rsidRPr="008264B6" w:rsidRDefault="00AB1EDF" w:rsidP="00AB1EDF">
      <w:pPr>
        <w:pStyle w:val="ListParagraph"/>
        <w:tabs>
          <w:tab w:val="left" w:pos="720"/>
        </w:tabs>
        <w:ind w:left="1440"/>
        <w:rPr>
          <w:sz w:val="20"/>
        </w:rPr>
      </w:pPr>
    </w:p>
    <w:p w:rsidR="006D2274" w:rsidRPr="00AB1EDF" w:rsidRDefault="00631A30" w:rsidP="006D2274">
      <w:pPr>
        <w:pStyle w:val="ListParagraph"/>
        <w:numPr>
          <w:ilvl w:val="0"/>
          <w:numId w:val="15"/>
        </w:numPr>
        <w:tabs>
          <w:tab w:val="left" w:pos="720"/>
        </w:tabs>
        <w:rPr>
          <w:sz w:val="21"/>
          <w:szCs w:val="21"/>
        </w:rPr>
      </w:pPr>
      <w:r w:rsidRPr="003C7AC1">
        <w:t xml:space="preserve">Growth </w:t>
      </w:r>
      <w:r w:rsidR="00822A09">
        <w:t>increments</w:t>
      </w:r>
      <w:r w:rsidR="000B72B8">
        <w:t>, which are estimated based on tag recovery data,</w:t>
      </w:r>
      <w:r w:rsidR="00822A09">
        <w:t xml:space="preserve"> are </w:t>
      </w:r>
      <w:r w:rsidRPr="003C7AC1">
        <w:t>a functi</w:t>
      </w:r>
      <w:r w:rsidR="00626268">
        <w:t>on of le</w:t>
      </w:r>
      <w:r w:rsidR="00822A09">
        <w:t>ngth and are</w:t>
      </w:r>
      <w:r w:rsidR="00626268">
        <w:t xml:space="preserve"> constant</w:t>
      </w:r>
      <w:r w:rsidR="005A40C2">
        <w:t xml:space="preserve"> over time.</w:t>
      </w:r>
    </w:p>
    <w:p w:rsidR="00AB1EDF" w:rsidRPr="008264B6" w:rsidRDefault="00AB1EDF" w:rsidP="00AB1EDF">
      <w:pPr>
        <w:pStyle w:val="ListParagraph"/>
        <w:tabs>
          <w:tab w:val="left" w:pos="720"/>
        </w:tabs>
        <w:ind w:left="1440"/>
        <w:rPr>
          <w:sz w:val="20"/>
        </w:rPr>
      </w:pPr>
    </w:p>
    <w:p w:rsidR="006D2274" w:rsidRPr="00AB1EDF" w:rsidRDefault="00631A30" w:rsidP="006D2274">
      <w:pPr>
        <w:pStyle w:val="ListParagraph"/>
        <w:numPr>
          <w:ilvl w:val="0"/>
          <w:numId w:val="15"/>
        </w:numPr>
        <w:tabs>
          <w:tab w:val="left" w:pos="720"/>
        </w:tabs>
        <w:rPr>
          <w:sz w:val="21"/>
          <w:szCs w:val="21"/>
        </w:rPr>
      </w:pPr>
      <w:r w:rsidRPr="003C7AC1">
        <w:t>Molting proba</w:t>
      </w:r>
      <w:r w:rsidR="005A40C2">
        <w:t>bility is</w:t>
      </w:r>
      <w:r w:rsidR="00FA0097">
        <w:t xml:space="preserve"> a</w:t>
      </w:r>
      <w:r w:rsidR="00C909BD">
        <w:t>n inverse</w:t>
      </w:r>
      <w:r w:rsidR="000B72B8">
        <w:t xml:space="preserve"> </w:t>
      </w:r>
      <w:r w:rsidR="00C1191A">
        <w:t>logistic</w:t>
      </w:r>
      <w:r w:rsidRPr="003C7AC1">
        <w:t xml:space="preserve"> function of length for males. </w:t>
      </w:r>
    </w:p>
    <w:p w:rsidR="00AB1EDF" w:rsidRPr="008264B6" w:rsidRDefault="00AB1EDF" w:rsidP="00AB1EDF">
      <w:pPr>
        <w:pStyle w:val="ListParagraph"/>
        <w:tabs>
          <w:tab w:val="left" w:pos="720"/>
        </w:tabs>
        <w:ind w:left="1440"/>
        <w:rPr>
          <w:sz w:val="20"/>
        </w:rPr>
      </w:pPr>
    </w:p>
    <w:p w:rsidR="006D2274" w:rsidRPr="00AB1EDF" w:rsidRDefault="00631A30" w:rsidP="006D2274">
      <w:pPr>
        <w:pStyle w:val="ListParagraph"/>
        <w:numPr>
          <w:ilvl w:val="0"/>
          <w:numId w:val="15"/>
        </w:numPr>
        <w:tabs>
          <w:tab w:val="left" w:pos="720"/>
        </w:tabs>
        <w:rPr>
          <w:sz w:val="21"/>
          <w:szCs w:val="21"/>
        </w:rPr>
      </w:pPr>
      <w:r>
        <w:t xml:space="preserve"> </w:t>
      </w:r>
      <w:r w:rsidR="000B72B8">
        <w:t xml:space="preserve">The </w:t>
      </w:r>
      <w:r>
        <w:t xml:space="preserve">summer </w:t>
      </w:r>
      <w:r w:rsidR="000B72B8">
        <w:t xml:space="preserve">directed </w:t>
      </w:r>
      <w:r>
        <w:t>f</w:t>
      </w:r>
      <w:r w:rsidRPr="003C7AC1">
        <w:t xml:space="preserve">ishing season </w:t>
      </w:r>
      <w:r>
        <w:t>is</w:t>
      </w:r>
      <w:r w:rsidRPr="003C7AC1">
        <w:t xml:space="preserve"> short.</w:t>
      </w:r>
    </w:p>
    <w:p w:rsidR="00AB1EDF" w:rsidRPr="008264B6" w:rsidRDefault="00AB1EDF" w:rsidP="00AB1EDF">
      <w:pPr>
        <w:pStyle w:val="ListParagraph"/>
        <w:tabs>
          <w:tab w:val="left" w:pos="720"/>
        </w:tabs>
        <w:ind w:left="1440"/>
        <w:rPr>
          <w:sz w:val="20"/>
        </w:rPr>
      </w:pPr>
    </w:p>
    <w:p w:rsidR="008047A3" w:rsidRPr="008047A3" w:rsidRDefault="00015099" w:rsidP="008047A3">
      <w:pPr>
        <w:pStyle w:val="ListParagraph"/>
        <w:numPr>
          <w:ilvl w:val="0"/>
          <w:numId w:val="15"/>
        </w:numPr>
        <w:tabs>
          <w:tab w:val="left" w:pos="720"/>
        </w:tabs>
        <w:rPr>
          <w:sz w:val="21"/>
          <w:szCs w:val="21"/>
        </w:rPr>
      </w:pPr>
      <w:r>
        <w:t xml:space="preserve">Discard </w:t>
      </w:r>
      <w:r w:rsidR="00241A52">
        <w:t>h</w:t>
      </w:r>
      <w:r w:rsidR="00631A30">
        <w:t>an</w:t>
      </w:r>
      <w:r w:rsidR="007440FE">
        <w:t>dling mort</w:t>
      </w:r>
      <w:r w:rsidR="00C909BD">
        <w:t xml:space="preserve">ality </w:t>
      </w:r>
      <w:r w:rsidR="001A7556">
        <w:t xml:space="preserve">in </w:t>
      </w:r>
      <w:r w:rsidR="00EC5423">
        <w:t>all fisher</w:t>
      </w:r>
      <w:r w:rsidR="001A7556">
        <w:t>ies</w:t>
      </w:r>
      <w:r w:rsidR="00EC5423">
        <w:t xml:space="preserve"> is</w:t>
      </w:r>
      <w:r w:rsidR="00C909BD">
        <w:t xml:space="preserve"> </w:t>
      </w:r>
      <w:r w:rsidR="00631A30">
        <w:t>20%.</w:t>
      </w:r>
      <w:r w:rsidR="00822A09">
        <w:t xml:space="preserve"> </w:t>
      </w:r>
    </w:p>
    <w:p w:rsidR="008047A3" w:rsidRPr="008264B6" w:rsidRDefault="008047A3" w:rsidP="008047A3">
      <w:pPr>
        <w:tabs>
          <w:tab w:val="left" w:pos="720"/>
        </w:tabs>
        <w:ind w:left="1440"/>
        <w:rPr>
          <w:sz w:val="20"/>
        </w:rPr>
      </w:pPr>
    </w:p>
    <w:p w:rsidR="008047A3" w:rsidRPr="008047A3" w:rsidRDefault="008047A3" w:rsidP="008047A3">
      <w:pPr>
        <w:tabs>
          <w:tab w:val="left" w:pos="720"/>
        </w:tabs>
        <w:rPr>
          <w:sz w:val="21"/>
          <w:szCs w:val="21"/>
        </w:rPr>
      </w:pPr>
      <w:r>
        <w:rPr>
          <w:sz w:val="21"/>
          <w:szCs w:val="21"/>
        </w:rPr>
        <w:tab/>
      </w:r>
      <w:r>
        <w:rPr>
          <w:sz w:val="21"/>
          <w:szCs w:val="21"/>
        </w:rPr>
        <w:tab/>
      </w:r>
      <w:r w:rsidR="00822A09" w:rsidRPr="008047A3">
        <w:rPr>
          <w:sz w:val="20"/>
          <w:szCs w:val="20"/>
        </w:rPr>
        <w:t>N</w:t>
      </w:r>
      <w:r w:rsidR="00015099" w:rsidRPr="008047A3">
        <w:rPr>
          <w:sz w:val="20"/>
          <w:szCs w:val="20"/>
        </w:rPr>
        <w:t>o empirical estimate is available</w:t>
      </w:r>
      <w:r w:rsidR="00015099" w:rsidRPr="008047A3">
        <w:rPr>
          <w:sz w:val="21"/>
          <w:szCs w:val="21"/>
        </w:rPr>
        <w:t>.</w:t>
      </w:r>
    </w:p>
    <w:p w:rsidR="006D2274" w:rsidRDefault="00015099" w:rsidP="00AB1EDF">
      <w:pPr>
        <w:pStyle w:val="ListParagraph"/>
        <w:tabs>
          <w:tab w:val="left" w:pos="720"/>
        </w:tabs>
        <w:ind w:left="1440"/>
        <w:rPr>
          <w:sz w:val="21"/>
          <w:szCs w:val="21"/>
        </w:rPr>
      </w:pPr>
      <w:r w:rsidRPr="006D2274">
        <w:rPr>
          <w:sz w:val="21"/>
          <w:szCs w:val="21"/>
        </w:rPr>
        <w:t xml:space="preserve">    </w:t>
      </w:r>
    </w:p>
    <w:p w:rsidR="00AB1EDF" w:rsidRPr="00066B79" w:rsidRDefault="00631A30" w:rsidP="00B875DC">
      <w:pPr>
        <w:pStyle w:val="ListParagraph"/>
        <w:numPr>
          <w:ilvl w:val="0"/>
          <w:numId w:val="15"/>
        </w:numPr>
        <w:tabs>
          <w:tab w:val="left" w:pos="720"/>
        </w:tabs>
        <w:rPr>
          <w:sz w:val="21"/>
          <w:szCs w:val="21"/>
        </w:rPr>
      </w:pPr>
      <w:r>
        <w:t>Annual retained catch</w:t>
      </w:r>
      <w:r w:rsidR="001A7556">
        <w:t>es</w:t>
      </w:r>
      <w:r>
        <w:t xml:space="preserve"> is measured without error.</w:t>
      </w:r>
    </w:p>
    <w:p w:rsidR="00AB1EDF" w:rsidRPr="008264B6" w:rsidRDefault="00AB1EDF" w:rsidP="00AB1EDF">
      <w:pPr>
        <w:pStyle w:val="ListParagraph"/>
        <w:tabs>
          <w:tab w:val="left" w:pos="720"/>
        </w:tabs>
        <w:ind w:left="1440"/>
        <w:rPr>
          <w:sz w:val="20"/>
        </w:rPr>
      </w:pPr>
    </w:p>
    <w:p w:rsidR="00AB1EDF" w:rsidRPr="00AB1EDF" w:rsidRDefault="00E65CE7" w:rsidP="00AB1EDF">
      <w:pPr>
        <w:pStyle w:val="ListParagraph"/>
        <w:numPr>
          <w:ilvl w:val="0"/>
          <w:numId w:val="15"/>
        </w:numPr>
        <w:tabs>
          <w:tab w:val="left" w:pos="720"/>
        </w:tabs>
        <w:rPr>
          <w:sz w:val="21"/>
          <w:szCs w:val="21"/>
        </w:rPr>
      </w:pPr>
      <w:r>
        <w:t>All legal size crabs (</w:t>
      </w:r>
      <w:r w:rsidR="002D4F51">
        <w:t>≥ 4-</w:t>
      </w:r>
      <w:r w:rsidR="00EB0639">
        <w:t>3</w:t>
      </w:r>
      <w:r w:rsidR="002D4F51">
        <w:t>/4</w:t>
      </w:r>
      <w:r w:rsidR="002D4F51" w:rsidRPr="003C7AC1">
        <w:t xml:space="preserve"> </w:t>
      </w:r>
      <w:r w:rsidR="002D4F51">
        <w:t>inch CW) are taken to the commercial dock.</w:t>
      </w:r>
    </w:p>
    <w:p w:rsidR="00AB1EDF" w:rsidRPr="008264B6" w:rsidRDefault="00AB1EDF" w:rsidP="00AB1EDF">
      <w:pPr>
        <w:pStyle w:val="ListParagraph"/>
        <w:tabs>
          <w:tab w:val="left" w:pos="720"/>
        </w:tabs>
        <w:ind w:left="1440"/>
        <w:rPr>
          <w:sz w:val="20"/>
        </w:rPr>
      </w:pPr>
    </w:p>
    <w:p w:rsidR="00AB1EDF" w:rsidRPr="00BE19F0" w:rsidRDefault="002D4F51" w:rsidP="00EA17FE">
      <w:pPr>
        <w:pStyle w:val="ListParagraph"/>
        <w:tabs>
          <w:tab w:val="left" w:pos="720"/>
        </w:tabs>
        <w:ind w:left="1440"/>
        <w:rPr>
          <w:sz w:val="20"/>
          <w:szCs w:val="20"/>
        </w:rPr>
      </w:pPr>
      <w:r w:rsidRPr="00BE19F0">
        <w:rPr>
          <w:sz w:val="20"/>
          <w:szCs w:val="20"/>
        </w:rPr>
        <w:lastRenderedPageBreak/>
        <w:t xml:space="preserve">Since 2005, </w:t>
      </w:r>
      <w:r w:rsidR="00EA17FE" w:rsidRPr="00BE19F0">
        <w:rPr>
          <w:sz w:val="20"/>
          <w:szCs w:val="20"/>
        </w:rPr>
        <w:t xml:space="preserve">buyers </w:t>
      </w:r>
      <w:r w:rsidR="00F670DA" w:rsidRPr="00BE19F0">
        <w:rPr>
          <w:sz w:val="20"/>
          <w:szCs w:val="20"/>
        </w:rPr>
        <w:t xml:space="preserve">announced that only legal crab with </w:t>
      </w:r>
      <w:r w:rsidR="00A54621" w:rsidRPr="00BE19F0">
        <w:rPr>
          <w:sz w:val="20"/>
          <w:szCs w:val="20"/>
        </w:rPr>
        <w:t xml:space="preserve"> </w:t>
      </w:r>
      <w:r w:rsidRPr="00BE19F0">
        <w:rPr>
          <w:sz w:val="20"/>
          <w:szCs w:val="20"/>
        </w:rPr>
        <w:t xml:space="preserve">≥ 5 </w:t>
      </w:r>
      <w:r w:rsidR="00F670DA" w:rsidRPr="00BE19F0">
        <w:rPr>
          <w:sz w:val="20"/>
          <w:szCs w:val="20"/>
        </w:rPr>
        <w:t xml:space="preserve">inch CW </w:t>
      </w:r>
      <w:r w:rsidRPr="00BE19F0">
        <w:rPr>
          <w:sz w:val="20"/>
          <w:szCs w:val="20"/>
        </w:rPr>
        <w:t xml:space="preserve">are </w:t>
      </w:r>
      <w:r w:rsidR="00F670DA" w:rsidRPr="00BE19F0">
        <w:rPr>
          <w:sz w:val="20"/>
          <w:szCs w:val="20"/>
        </w:rPr>
        <w:t>acceptable for purchase</w:t>
      </w:r>
      <w:r w:rsidR="00581F43">
        <w:rPr>
          <w:sz w:val="20"/>
          <w:szCs w:val="20"/>
        </w:rPr>
        <w:t>.</w:t>
      </w:r>
      <w:r w:rsidR="00F670DA" w:rsidRPr="00BE19F0">
        <w:rPr>
          <w:sz w:val="20"/>
          <w:szCs w:val="20"/>
        </w:rPr>
        <w:t xml:space="preserve">  Since samples are taken at a commercial dock, it was anticipated that this change would lower the proportion of legal crab for length class 4</w:t>
      </w:r>
      <w:r w:rsidR="00581F43">
        <w:rPr>
          <w:sz w:val="20"/>
          <w:szCs w:val="20"/>
        </w:rPr>
        <w:t xml:space="preserve">. </w:t>
      </w:r>
      <w:r w:rsidR="00C909BD">
        <w:rPr>
          <w:sz w:val="20"/>
          <w:szCs w:val="20"/>
        </w:rPr>
        <w:t>However, because inclusion of this factor did not change the results, this factor was not included in the assessment model.</w:t>
      </w:r>
    </w:p>
    <w:p w:rsidR="00AB1EDF" w:rsidRPr="008264B6" w:rsidRDefault="00AB1EDF" w:rsidP="00AB1EDF">
      <w:pPr>
        <w:pStyle w:val="ListParagraph"/>
        <w:tabs>
          <w:tab w:val="left" w:pos="720"/>
        </w:tabs>
        <w:ind w:left="1440"/>
        <w:rPr>
          <w:sz w:val="20"/>
        </w:rPr>
      </w:pPr>
    </w:p>
    <w:p w:rsidR="00AB1EDF" w:rsidRPr="00AB1EDF" w:rsidRDefault="002D4F51" w:rsidP="00AB1EDF">
      <w:pPr>
        <w:pStyle w:val="ListParagraph"/>
        <w:numPr>
          <w:ilvl w:val="0"/>
          <w:numId w:val="15"/>
        </w:numPr>
        <w:tabs>
          <w:tab w:val="left" w:pos="720"/>
        </w:tabs>
        <w:rPr>
          <w:sz w:val="21"/>
          <w:szCs w:val="21"/>
        </w:rPr>
      </w:pPr>
      <w:r>
        <w:t>All sublegal size crab or commercially unacceptable size crab (&lt; 5 inch CW</w:t>
      </w:r>
      <w:r w:rsidR="00AB1EDF">
        <w:t>, since 2005</w:t>
      </w:r>
      <w:r>
        <w:t>) are discarded</w:t>
      </w:r>
      <w:r w:rsidR="00581F43">
        <w:t xml:space="preserve">. </w:t>
      </w:r>
    </w:p>
    <w:p w:rsidR="00AB1EDF" w:rsidRPr="008264B6" w:rsidRDefault="00AB1EDF" w:rsidP="00AB1EDF">
      <w:pPr>
        <w:pStyle w:val="ListParagraph"/>
        <w:tabs>
          <w:tab w:val="left" w:pos="720"/>
        </w:tabs>
        <w:ind w:left="1440"/>
        <w:rPr>
          <w:sz w:val="20"/>
        </w:rPr>
      </w:pPr>
    </w:p>
    <w:p w:rsidR="00522D64" w:rsidRPr="00AB1EDF" w:rsidRDefault="00631A30" w:rsidP="00AB1EDF">
      <w:pPr>
        <w:pStyle w:val="ListParagraph"/>
        <w:numPr>
          <w:ilvl w:val="0"/>
          <w:numId w:val="15"/>
        </w:numPr>
        <w:tabs>
          <w:tab w:val="left" w:pos="720"/>
        </w:tabs>
        <w:rPr>
          <w:sz w:val="21"/>
          <w:szCs w:val="21"/>
        </w:rPr>
      </w:pPr>
      <w:r>
        <w:t>Length compositions have a multinomial error structure</w:t>
      </w:r>
      <w:r w:rsidR="00626268">
        <w:t>,</w:t>
      </w:r>
      <w:r>
        <w:t xml:space="preserve"> and abundance</w:t>
      </w:r>
      <w:r w:rsidR="001A7556">
        <w:t>s</w:t>
      </w:r>
      <w:r>
        <w:t xml:space="preserve"> ha</w:t>
      </w:r>
      <w:r w:rsidR="001A7556">
        <w:t>ve</w:t>
      </w:r>
      <w:r>
        <w:t xml:space="preserve"> a log-normal error structure</w:t>
      </w:r>
      <w:r w:rsidR="00581F43">
        <w:t>.</w:t>
      </w:r>
      <w:r>
        <w:t xml:space="preserve">.  </w:t>
      </w:r>
    </w:p>
    <w:p w:rsidR="005A40C2" w:rsidRDefault="005A40C2" w:rsidP="008264B6">
      <w:pPr>
        <w:tabs>
          <w:tab w:val="left" w:pos="720"/>
          <w:tab w:val="left" w:pos="1440"/>
        </w:tabs>
        <w:spacing w:after="120"/>
      </w:pPr>
    </w:p>
    <w:p w:rsidR="00F13935" w:rsidRDefault="00AB1EDF" w:rsidP="00AB1EDF">
      <w:pPr>
        <w:pStyle w:val="ListParagraph"/>
        <w:numPr>
          <w:ilvl w:val="0"/>
          <w:numId w:val="9"/>
        </w:numPr>
        <w:spacing w:after="120"/>
        <w:ind w:left="1080"/>
        <w:contextualSpacing w:val="0"/>
        <w:jc w:val="both"/>
      </w:pPr>
      <w:r>
        <w:t xml:space="preserve">Changes of assumptions </w:t>
      </w:r>
      <w:r w:rsidR="00B55AF7">
        <w:t>since last assessment:</w:t>
      </w:r>
    </w:p>
    <w:p w:rsidR="00F13935" w:rsidRDefault="005A40C2" w:rsidP="00F13935">
      <w:pPr>
        <w:pStyle w:val="ListParagraph"/>
        <w:spacing w:after="120"/>
        <w:ind w:left="1440"/>
        <w:contextualSpacing w:val="0"/>
        <w:jc w:val="both"/>
      </w:pPr>
      <w:r>
        <w:t xml:space="preserve">None </w:t>
      </w:r>
    </w:p>
    <w:p w:rsidR="005A40C2" w:rsidRDefault="005A40C2" w:rsidP="005A40C2">
      <w:pPr>
        <w:spacing w:after="120"/>
        <w:jc w:val="both"/>
      </w:pPr>
    </w:p>
    <w:p w:rsidR="009E61D6" w:rsidRDefault="00B55AF7" w:rsidP="009E61D6">
      <w:pPr>
        <w:pStyle w:val="ListParagraph"/>
        <w:numPr>
          <w:ilvl w:val="0"/>
          <w:numId w:val="9"/>
        </w:numPr>
        <w:spacing w:after="120"/>
        <w:ind w:left="1080"/>
        <w:jc w:val="both"/>
      </w:pPr>
      <w:r>
        <w:t>Code validation</w:t>
      </w:r>
      <w:r w:rsidR="00581F43">
        <w:t xml:space="preserve">. </w:t>
      </w:r>
      <w:r>
        <w:t xml:space="preserve">Model code </w:t>
      </w:r>
      <w:r w:rsidR="00C13108">
        <w:t>was</w:t>
      </w:r>
      <w:r>
        <w:t xml:space="preserve"> </w:t>
      </w:r>
      <w:r w:rsidR="00484235">
        <w:t xml:space="preserve">reviewed </w:t>
      </w:r>
      <w:r w:rsidR="00BE19F0">
        <w:t xml:space="preserve">at </w:t>
      </w:r>
      <w:r w:rsidR="00C13108">
        <w:t xml:space="preserve">the </w:t>
      </w:r>
      <w:r w:rsidR="00BE19F0">
        <w:t>CPT modeling workshop in 2013 and 20</w:t>
      </w:r>
      <w:r w:rsidR="00522D64">
        <w:t>14</w:t>
      </w:r>
      <w:r w:rsidR="00581F43">
        <w:t>.</w:t>
      </w:r>
      <w:r w:rsidR="00BE19F0">
        <w:t>201</w:t>
      </w:r>
      <w:r w:rsidR="00C13108">
        <w:t>4</w:t>
      </w:r>
      <w:r w:rsidR="00BE19F0">
        <w:t xml:space="preserve">.  It </w:t>
      </w:r>
      <w:r w:rsidR="00484235">
        <w:t xml:space="preserve">is </w:t>
      </w:r>
      <w:r>
        <w:t>available from the author</w:t>
      </w:r>
      <w:r w:rsidR="00484235">
        <w:t>s</w:t>
      </w:r>
      <w:r>
        <w:t>.</w:t>
      </w:r>
    </w:p>
    <w:p w:rsidR="00444865" w:rsidRPr="000865A5" w:rsidRDefault="00444865" w:rsidP="009E61D6">
      <w:pPr>
        <w:pStyle w:val="ListParagraph"/>
        <w:spacing w:after="120"/>
        <w:ind w:left="1080"/>
        <w:jc w:val="both"/>
      </w:pPr>
    </w:p>
    <w:p w:rsidR="002F0FDA" w:rsidRPr="008264B6" w:rsidRDefault="007E2957" w:rsidP="008264B6">
      <w:pPr>
        <w:pStyle w:val="ListParagraph"/>
        <w:spacing w:line="360" w:lineRule="auto"/>
        <w:jc w:val="both"/>
        <w:rPr>
          <w:b/>
        </w:rPr>
      </w:pPr>
      <w:r w:rsidRPr="00444865">
        <w:rPr>
          <w:b/>
        </w:rPr>
        <w:t xml:space="preserve">Model </w:t>
      </w:r>
      <w:r>
        <w:rPr>
          <w:b/>
        </w:rPr>
        <w:t>Selection and Evaluation</w:t>
      </w:r>
    </w:p>
    <w:p w:rsidR="008A2A27" w:rsidRDefault="00B2399A" w:rsidP="008A2A27">
      <w:pPr>
        <w:pStyle w:val="ListParagraph"/>
        <w:numPr>
          <w:ilvl w:val="0"/>
          <w:numId w:val="10"/>
        </w:numPr>
        <w:jc w:val="both"/>
      </w:pPr>
      <w:r>
        <w:t>Description of alternative model configurations.</w:t>
      </w:r>
    </w:p>
    <w:p w:rsidR="008A2A27" w:rsidRDefault="008A2A27" w:rsidP="008A2A27">
      <w:pPr>
        <w:pStyle w:val="ListParagraph"/>
        <w:jc w:val="both"/>
      </w:pPr>
    </w:p>
    <w:p w:rsidR="001C29AD" w:rsidRDefault="00C13108" w:rsidP="008A2A27">
      <w:pPr>
        <w:pStyle w:val="ListParagraph"/>
        <w:jc w:val="both"/>
      </w:pPr>
      <w:r>
        <w:t xml:space="preserve"> Based on recommendations provided at </w:t>
      </w:r>
      <w:r w:rsidR="00BE19F0">
        <w:t xml:space="preserve">the 2014 crab workshop, </w:t>
      </w:r>
      <w:r>
        <w:t>for this assessment the</w:t>
      </w:r>
      <w:r w:rsidR="005169B4">
        <w:t xml:space="preserve"> </w:t>
      </w:r>
      <w:r w:rsidR="00BE19F0">
        <w:t>following alternative model configurations were examined</w:t>
      </w:r>
      <w:r w:rsidR="005169B4">
        <w:t>:</w:t>
      </w:r>
    </w:p>
    <w:p w:rsidR="00484235" w:rsidRDefault="00484235" w:rsidP="00822A09">
      <w:pPr>
        <w:ind w:firstLine="720"/>
        <w:jc w:val="both"/>
      </w:pPr>
    </w:p>
    <w:p w:rsidR="00BE19F0" w:rsidRDefault="00EC2A9B" w:rsidP="00324B78">
      <w:pPr>
        <w:pStyle w:val="ListParagraph"/>
        <w:numPr>
          <w:ilvl w:val="1"/>
          <w:numId w:val="10"/>
        </w:numPr>
        <w:jc w:val="both"/>
      </w:pPr>
      <w:r>
        <w:t xml:space="preserve">Base </w:t>
      </w:r>
      <w:r w:rsidR="00C13108">
        <w:t xml:space="preserve">Model </w:t>
      </w:r>
      <w:r w:rsidR="00BE19F0">
        <w:t xml:space="preserve"> </w:t>
      </w:r>
      <w:r w:rsidR="00C13108">
        <w:t xml:space="preserve">at </w:t>
      </w:r>
      <w:r w:rsidR="00BE19F0">
        <w:t>January 2014 crab workshop</w:t>
      </w:r>
    </w:p>
    <w:p w:rsidR="00EC2A9B" w:rsidRDefault="00EC2A9B" w:rsidP="00EC2A9B">
      <w:pPr>
        <w:pStyle w:val="ListParagraph"/>
        <w:ind w:left="1440"/>
        <w:jc w:val="both"/>
      </w:pPr>
    </w:p>
    <w:p w:rsidR="00231717" w:rsidRDefault="00231717" w:rsidP="00231717">
      <w:pPr>
        <w:pStyle w:val="ListParagraph"/>
        <w:numPr>
          <w:ilvl w:val="1"/>
          <w:numId w:val="10"/>
        </w:numPr>
        <w:contextualSpacing w:val="0"/>
        <w:jc w:val="both"/>
      </w:pPr>
      <w:r>
        <w:t>NMFS and ADF&amp;G trawl survey selectivity</w:t>
      </w:r>
      <w:r w:rsidR="002921B5">
        <w:t xml:space="preserve"> assumed identical</w:t>
      </w:r>
    </w:p>
    <w:p w:rsidR="00231717" w:rsidRDefault="00231717" w:rsidP="00231717">
      <w:pPr>
        <w:jc w:val="both"/>
      </w:pPr>
    </w:p>
    <w:p w:rsidR="00A568E9" w:rsidRDefault="007F52F7" w:rsidP="00A568E9">
      <w:pPr>
        <w:pStyle w:val="ListParagraph"/>
        <w:numPr>
          <w:ilvl w:val="1"/>
          <w:numId w:val="10"/>
        </w:numPr>
        <w:contextualSpacing w:val="0"/>
        <w:jc w:val="both"/>
      </w:pPr>
      <w:r>
        <w:t>Growth transition matrix estimated within the assessment model</w:t>
      </w:r>
    </w:p>
    <w:p w:rsidR="006C152C" w:rsidRDefault="00335252" w:rsidP="006C152C">
      <w:pPr>
        <w:pStyle w:val="ListParagraph"/>
        <w:numPr>
          <w:ilvl w:val="2"/>
          <w:numId w:val="10"/>
        </w:numPr>
        <w:contextualSpacing w:val="0"/>
        <w:jc w:val="both"/>
      </w:pPr>
      <w:r>
        <w:t>Molting probability estimated</w:t>
      </w:r>
    </w:p>
    <w:p w:rsidR="006C152C" w:rsidRDefault="006C152C" w:rsidP="006C152C">
      <w:pPr>
        <w:jc w:val="both"/>
      </w:pPr>
      <w:r>
        <w:t xml:space="preserve">                               </w:t>
      </w:r>
      <w:proofErr w:type="spellStart"/>
      <w:r>
        <w:t>io</w:t>
      </w:r>
      <w:proofErr w:type="spellEnd"/>
      <w:r w:rsidR="00581F43">
        <w:t xml:space="preserve">. </w:t>
      </w:r>
      <w:r>
        <w:t>Molting probability estimated (</w:t>
      </w:r>
      <w:r w:rsidR="00EC2A9B">
        <w:t xml:space="preserve">include </w:t>
      </w:r>
      <w:proofErr w:type="spellStart"/>
      <w:r>
        <w:t>Oldshell</w:t>
      </w:r>
      <w:proofErr w:type="spellEnd"/>
      <w:r>
        <w:t xml:space="preserve"> </w:t>
      </w:r>
      <w:r w:rsidR="00EC2A9B">
        <w:t xml:space="preserve">into </w:t>
      </w:r>
      <w:r>
        <w:t xml:space="preserve">likelihood)  </w:t>
      </w:r>
    </w:p>
    <w:p w:rsidR="007F52F7" w:rsidRDefault="007F52F7" w:rsidP="007F52F7">
      <w:pPr>
        <w:pStyle w:val="ListParagraph"/>
        <w:numPr>
          <w:ilvl w:val="2"/>
          <w:numId w:val="10"/>
        </w:numPr>
        <w:contextualSpacing w:val="0"/>
        <w:jc w:val="both"/>
      </w:pPr>
      <w:r>
        <w:t xml:space="preserve">Molting probability fixed  </w:t>
      </w:r>
      <w:r w:rsidR="002921B5">
        <w:t>at</w:t>
      </w:r>
      <w:r>
        <w:t xml:space="preserve">1.0 for all length classes </w:t>
      </w:r>
    </w:p>
    <w:p w:rsidR="007F52F7" w:rsidRDefault="007F52F7" w:rsidP="007F52F7">
      <w:pPr>
        <w:pStyle w:val="ListParagraph"/>
        <w:ind w:left="2160"/>
        <w:contextualSpacing w:val="0"/>
        <w:jc w:val="both"/>
      </w:pPr>
    </w:p>
    <w:p w:rsidR="007F52F7" w:rsidRDefault="007F52F7" w:rsidP="007F52F7">
      <w:pPr>
        <w:pStyle w:val="ListParagraph"/>
        <w:numPr>
          <w:ilvl w:val="1"/>
          <w:numId w:val="10"/>
        </w:numPr>
        <w:contextualSpacing w:val="0"/>
        <w:jc w:val="both"/>
      </w:pPr>
      <w:r>
        <w:t xml:space="preserve"> Winter survey CPUE</w:t>
      </w:r>
      <w:r w:rsidR="002921B5">
        <w:t xml:space="preserve"> included, in addition to winter survey length composition data</w:t>
      </w:r>
    </w:p>
    <w:p w:rsidR="007F52F7" w:rsidRDefault="007F52F7" w:rsidP="007F52F7">
      <w:pPr>
        <w:pStyle w:val="ListParagraph"/>
        <w:ind w:left="1440"/>
        <w:contextualSpacing w:val="0"/>
        <w:jc w:val="both"/>
      </w:pPr>
    </w:p>
    <w:p w:rsidR="007F52F7" w:rsidRDefault="002921B5" w:rsidP="007F52F7">
      <w:pPr>
        <w:pStyle w:val="ListParagraph"/>
        <w:numPr>
          <w:ilvl w:val="1"/>
          <w:numId w:val="10"/>
        </w:numPr>
        <w:contextualSpacing w:val="0"/>
        <w:jc w:val="both"/>
      </w:pPr>
      <w:r>
        <w:t>All w</w:t>
      </w:r>
      <w:r w:rsidR="007F52F7">
        <w:t>inter survey data (CPUE and length composition)</w:t>
      </w:r>
      <w:r>
        <w:t xml:space="preserve"> excluded</w:t>
      </w:r>
    </w:p>
    <w:p w:rsidR="007F52F7" w:rsidRDefault="007F52F7" w:rsidP="008264B6">
      <w:pPr>
        <w:pStyle w:val="ListParagraph"/>
      </w:pPr>
    </w:p>
    <w:p w:rsidR="007E6412" w:rsidRDefault="007E6412" w:rsidP="007F52F7">
      <w:pPr>
        <w:pStyle w:val="ListParagraph"/>
      </w:pPr>
      <w:r>
        <w:t>Explanations:</w:t>
      </w:r>
    </w:p>
    <w:p w:rsidR="007E6412" w:rsidRDefault="007E6412" w:rsidP="007F52F7">
      <w:pPr>
        <w:pStyle w:val="ListParagraph"/>
      </w:pPr>
    </w:p>
    <w:p w:rsidR="00004317" w:rsidRDefault="005169B4" w:rsidP="0082287C">
      <w:pPr>
        <w:pStyle w:val="ListParagraph"/>
      </w:pPr>
      <w:r>
        <w:t>The g</w:t>
      </w:r>
      <w:r w:rsidR="005B07F1">
        <w:t>rowth</w:t>
      </w:r>
      <w:r w:rsidR="00004317">
        <w:t xml:space="preserve"> matrix and molting probability</w:t>
      </w:r>
    </w:p>
    <w:p w:rsidR="0082287C" w:rsidRDefault="00F65E42" w:rsidP="00335252">
      <w:pPr>
        <w:pStyle w:val="ListParagraph"/>
      </w:pPr>
      <w:r>
        <w:t>The g</w:t>
      </w:r>
      <w:r w:rsidR="005B07F1">
        <w:t>rowth-transition matrix</w:t>
      </w:r>
      <w:r w:rsidR="007E6412">
        <w:t xml:space="preserve"> has been estimated </w:t>
      </w:r>
      <w:r w:rsidR="005169B4">
        <w:t>inside and outside</w:t>
      </w:r>
      <w:r w:rsidR="007E6412">
        <w:t xml:space="preserve"> </w:t>
      </w:r>
      <w:r w:rsidR="002921B5">
        <w:t xml:space="preserve">independently </w:t>
      </w:r>
      <w:r w:rsidR="007E6412">
        <w:t>of the assessment model using tag-recovery data</w:t>
      </w:r>
      <w:r w:rsidR="00581F43">
        <w:t xml:space="preserve">. </w:t>
      </w:r>
      <w:r w:rsidR="00EC2A9B">
        <w:t xml:space="preserve"> </w:t>
      </w:r>
      <w:r w:rsidR="000B6CA3">
        <w:t>H</w:t>
      </w:r>
      <w:r w:rsidR="007E6412">
        <w:t xml:space="preserve">owever, because tag-recovery is confounded with </w:t>
      </w:r>
      <w:r w:rsidR="000B6CA3">
        <w:t>catch selectivity</w:t>
      </w:r>
      <w:r w:rsidR="00B3631B">
        <w:t xml:space="preserve"> </w:t>
      </w:r>
      <w:r w:rsidR="000B6CA3">
        <w:t xml:space="preserve">it is preferable to estimate </w:t>
      </w:r>
      <w:r w:rsidR="00B3631B">
        <w:t xml:space="preserve">the matrix </w:t>
      </w:r>
      <w:r w:rsidR="002921B5">
        <w:t xml:space="preserve">it </w:t>
      </w:r>
      <w:r w:rsidR="000B6CA3">
        <w:t>within the assessment model</w:t>
      </w:r>
      <w:r w:rsidR="00581F43">
        <w:t>.</w:t>
      </w:r>
      <w:r w:rsidR="00EC2A9B">
        <w:t xml:space="preserve"> </w:t>
      </w:r>
      <w:r>
        <w:t xml:space="preserve"> </w:t>
      </w:r>
      <w:r w:rsidR="00EC2A9B">
        <w:t xml:space="preserve">There is some question </w:t>
      </w:r>
      <w:r w:rsidR="000B6CA3">
        <w:t xml:space="preserve">whether molting probability </w:t>
      </w:r>
      <w:r w:rsidR="00B3631B">
        <w:t>was</w:t>
      </w:r>
      <w:r w:rsidR="000B6CA3">
        <w:t xml:space="preserve"> </w:t>
      </w:r>
      <w:r>
        <w:t xml:space="preserve">simultaneously </w:t>
      </w:r>
      <w:r w:rsidR="000B6CA3">
        <w:t>estimable</w:t>
      </w:r>
      <w:r w:rsidR="00581F43">
        <w:t xml:space="preserve">. </w:t>
      </w:r>
      <w:r w:rsidR="00B3631B">
        <w:t>W</w:t>
      </w:r>
      <w:r w:rsidR="005B07F1">
        <w:t>e examine</w:t>
      </w:r>
      <w:r w:rsidR="00B3631B">
        <w:t>d</w:t>
      </w:r>
      <w:r w:rsidR="00335252">
        <w:t xml:space="preserve"> both cases: model 2.i: estimate </w:t>
      </w:r>
      <w:r w:rsidR="00B3631B">
        <w:t>m</w:t>
      </w:r>
      <w:r w:rsidR="006C152C">
        <w:t xml:space="preserve">olting </w:t>
      </w:r>
      <w:r w:rsidR="006C152C">
        <w:lastRenderedPageBreak/>
        <w:t xml:space="preserve">probability </w:t>
      </w:r>
      <w:r w:rsidR="00335252">
        <w:t>using base model likelihood (</w:t>
      </w:r>
      <w:proofErr w:type="spellStart"/>
      <w:r w:rsidR="00335252">
        <w:t>newshell</w:t>
      </w:r>
      <w:proofErr w:type="spellEnd"/>
      <w:r w:rsidR="00335252">
        <w:t xml:space="preserve"> and </w:t>
      </w:r>
      <w:proofErr w:type="spellStart"/>
      <w:r w:rsidR="00335252">
        <w:t>oldshell</w:t>
      </w:r>
      <w:proofErr w:type="spellEnd"/>
      <w:r w:rsidR="00335252">
        <w:t xml:space="preserve"> combined), model 2.io: estimate molting probability revised likelihood (</w:t>
      </w:r>
      <w:proofErr w:type="spellStart"/>
      <w:r w:rsidR="00335252">
        <w:t>newshell</w:t>
      </w:r>
      <w:proofErr w:type="spellEnd"/>
      <w:r w:rsidR="00335252">
        <w:t xml:space="preserve"> and </w:t>
      </w:r>
      <w:proofErr w:type="spellStart"/>
      <w:r w:rsidR="00335252">
        <w:t>oldshell</w:t>
      </w:r>
      <w:proofErr w:type="spellEnd"/>
      <w:r w:rsidR="00335252">
        <w:t xml:space="preserve"> separate), and model 2.ii assume molting probability 1.0 for all length classes. </w:t>
      </w:r>
    </w:p>
    <w:p w:rsidR="005B07F1" w:rsidRDefault="005B07F1" w:rsidP="007F52F7">
      <w:pPr>
        <w:pStyle w:val="ListParagraph"/>
      </w:pPr>
    </w:p>
    <w:p w:rsidR="005B07F1" w:rsidRDefault="005B07F1" w:rsidP="007F52F7">
      <w:pPr>
        <w:pStyle w:val="ListParagraph"/>
      </w:pPr>
      <w:r>
        <w:t>Winter survey data</w:t>
      </w:r>
      <w:r w:rsidR="00004317">
        <w:t xml:space="preserve"> usage</w:t>
      </w:r>
    </w:p>
    <w:p w:rsidR="00231717" w:rsidRDefault="005B07F1" w:rsidP="007F52F7">
      <w:pPr>
        <w:pStyle w:val="ListParagraph"/>
      </w:pPr>
      <w:r>
        <w:t xml:space="preserve">In the </w:t>
      </w:r>
      <w:r w:rsidR="00335252">
        <w:t>base</w:t>
      </w:r>
      <w:r w:rsidR="00B647E7">
        <w:t xml:space="preserve"> </w:t>
      </w:r>
      <w:r>
        <w:t>model</w:t>
      </w:r>
      <w:r w:rsidR="00B647E7">
        <w:t xml:space="preserve"> only length composition data from the winter survey is used.</w:t>
      </w:r>
      <w:r w:rsidR="00C40604">
        <w:t xml:space="preserve"> </w:t>
      </w:r>
      <w:r>
        <w:t xml:space="preserve">At the January 2014 workshop, </w:t>
      </w:r>
      <w:r w:rsidR="00B3631B">
        <w:t xml:space="preserve">an </w:t>
      </w:r>
      <w:r w:rsidR="00B647E7">
        <w:t>omission of associated abundance information was noted as unconventional</w:t>
      </w:r>
      <w:r w:rsidR="00231717">
        <w:t xml:space="preserve"> and </w:t>
      </w:r>
      <w:r w:rsidR="00B647E7">
        <w:t xml:space="preserve">it </w:t>
      </w:r>
      <w:r w:rsidR="00231717">
        <w:t xml:space="preserve">was recommended to either (1) include </w:t>
      </w:r>
      <w:r w:rsidR="00B647E7">
        <w:t xml:space="preserve">the </w:t>
      </w:r>
      <w:r w:rsidR="00231717">
        <w:t xml:space="preserve">pot survey CPUE data as an index of abundance or (2) remove </w:t>
      </w:r>
      <w:r w:rsidR="00B647E7">
        <w:t xml:space="preserve">all </w:t>
      </w:r>
      <w:r w:rsidR="00231717">
        <w:t>winter pot survey data</w:t>
      </w:r>
      <w:r w:rsidR="00B647E7">
        <w:t xml:space="preserve"> from the model</w:t>
      </w:r>
      <w:r w:rsidR="00231717">
        <w:t>.</w:t>
      </w:r>
      <w:r w:rsidR="00B647E7">
        <w:t xml:space="preserve"> For this assessment we have</w:t>
      </w:r>
      <w:r w:rsidR="00C40604">
        <w:t xml:space="preserve"> explored both of those options</w:t>
      </w:r>
      <w:r w:rsidR="00B647E7">
        <w:t>.</w:t>
      </w:r>
      <w:r w:rsidR="00231717">
        <w:t xml:space="preserve"> </w:t>
      </w:r>
    </w:p>
    <w:p w:rsidR="00231717" w:rsidRDefault="00231717" w:rsidP="007F52F7">
      <w:pPr>
        <w:pStyle w:val="ListParagraph"/>
      </w:pPr>
    </w:p>
    <w:p w:rsidR="00231717" w:rsidRDefault="00231717" w:rsidP="007F52F7">
      <w:pPr>
        <w:pStyle w:val="ListParagraph"/>
      </w:pPr>
      <w:r>
        <w:t xml:space="preserve">Trawl survey </w:t>
      </w:r>
      <w:r w:rsidR="00C40604">
        <w:t>selectivity</w:t>
      </w:r>
    </w:p>
    <w:p w:rsidR="00231717" w:rsidRDefault="00231717" w:rsidP="007F52F7">
      <w:pPr>
        <w:pStyle w:val="ListParagraph"/>
      </w:pPr>
      <w:r>
        <w:t xml:space="preserve">At </w:t>
      </w:r>
      <w:r w:rsidR="00B647E7">
        <w:t xml:space="preserve">the </w:t>
      </w:r>
      <w:r>
        <w:t xml:space="preserve">September 2013 meeting, </w:t>
      </w:r>
      <w:r w:rsidR="00B647E7">
        <w:t xml:space="preserve">the </w:t>
      </w:r>
      <w:r w:rsidR="00C40604">
        <w:t xml:space="preserve">CPT recommended </w:t>
      </w:r>
      <w:r w:rsidR="003F7D44">
        <w:t xml:space="preserve">separate </w:t>
      </w:r>
      <w:r>
        <w:t>NMFS and ADF&amp;G trawl survey selectivity</w:t>
      </w:r>
      <w:r w:rsidR="003F7D44">
        <w:t xml:space="preserve"> curves</w:t>
      </w:r>
      <w:r>
        <w:t xml:space="preserve">, which </w:t>
      </w:r>
      <w:r w:rsidR="003F7D44">
        <w:t xml:space="preserve">approach </w:t>
      </w:r>
      <w:r>
        <w:t>was implemented at the January 2014 workshop</w:t>
      </w:r>
      <w:r w:rsidR="00581F43">
        <w:t xml:space="preserve">. </w:t>
      </w:r>
      <w:r w:rsidR="003F7D44">
        <w:t>Here we compare results of that approach with those of the other alternative models.</w:t>
      </w:r>
      <w:r>
        <w:t xml:space="preserve"> </w:t>
      </w:r>
    </w:p>
    <w:p w:rsidR="004815D4" w:rsidRDefault="00231717" w:rsidP="008264B6">
      <w:pPr>
        <w:jc w:val="both"/>
      </w:pPr>
      <w:r>
        <w:t xml:space="preserve">  </w:t>
      </w:r>
    </w:p>
    <w:p w:rsidR="002A486A" w:rsidRDefault="00296D7A" w:rsidP="00707668">
      <w:pPr>
        <w:pStyle w:val="ListParagraph"/>
        <w:numPr>
          <w:ilvl w:val="0"/>
          <w:numId w:val="10"/>
        </w:numPr>
        <w:spacing w:after="120"/>
        <w:contextualSpacing w:val="0"/>
        <w:jc w:val="both"/>
      </w:pPr>
      <w:r>
        <w:t>Evaluation of alternative model results</w:t>
      </w:r>
    </w:p>
    <w:p w:rsidR="00034150" w:rsidRDefault="00034150" w:rsidP="00546BCB">
      <w:pPr>
        <w:spacing w:after="120"/>
        <w:jc w:val="both"/>
      </w:pPr>
    </w:p>
    <w:p w:rsidR="00546BCB" w:rsidRPr="002A486A" w:rsidRDefault="00546BCB" w:rsidP="00546BCB">
      <w:pPr>
        <w:spacing w:after="120"/>
        <w:jc w:val="both"/>
      </w:pPr>
      <w:r>
        <w:t xml:space="preserve">Log-likelihood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621"/>
        <w:gridCol w:w="576"/>
        <w:gridCol w:w="797"/>
        <w:gridCol w:w="846"/>
        <w:gridCol w:w="537"/>
        <w:gridCol w:w="596"/>
        <w:gridCol w:w="547"/>
        <w:gridCol w:w="567"/>
        <w:gridCol w:w="567"/>
        <w:gridCol w:w="586"/>
        <w:gridCol w:w="597"/>
        <w:gridCol w:w="657"/>
        <w:gridCol w:w="557"/>
      </w:tblGrid>
      <w:tr w:rsidR="008264B6" w:rsidTr="00E40683">
        <w:trPr>
          <w:trHeight w:val="20"/>
        </w:trPr>
        <w:tc>
          <w:tcPr>
            <w:tcW w:w="0" w:type="auto"/>
            <w:shd w:val="clear" w:color="auto" w:fill="auto"/>
            <w:vAlign w:val="center"/>
          </w:tcPr>
          <w:p w:rsidR="00CC4481" w:rsidRPr="008264B6" w:rsidRDefault="00CC4481" w:rsidP="00214DEB">
            <w:pPr>
              <w:jc w:val="center"/>
              <w:rPr>
                <w:color w:val="000000"/>
                <w:sz w:val="18"/>
              </w:rPr>
            </w:pPr>
            <w:r w:rsidRPr="008264B6">
              <w:rPr>
                <w:color w:val="000000"/>
                <w:sz w:val="18"/>
              </w:rPr>
              <w:t>Scenario</w:t>
            </w:r>
          </w:p>
        </w:tc>
        <w:tc>
          <w:tcPr>
            <w:tcW w:w="0" w:type="auto"/>
            <w:vAlign w:val="center"/>
          </w:tcPr>
          <w:p w:rsidR="00CC4481" w:rsidRPr="008264B6" w:rsidRDefault="00CC4481" w:rsidP="00214DEB">
            <w:pPr>
              <w:pStyle w:val="ListParagraph"/>
              <w:ind w:left="0"/>
              <w:jc w:val="center"/>
              <w:rPr>
                <w:sz w:val="18"/>
              </w:rPr>
            </w:pPr>
            <w:r w:rsidRPr="008264B6">
              <w:rPr>
                <w:sz w:val="18"/>
              </w:rPr>
              <w:t>Total</w:t>
            </w:r>
          </w:p>
        </w:tc>
        <w:tc>
          <w:tcPr>
            <w:tcW w:w="0" w:type="auto"/>
            <w:vAlign w:val="center"/>
          </w:tcPr>
          <w:p w:rsidR="00CC4481" w:rsidRPr="008264B6" w:rsidRDefault="00CC4481" w:rsidP="00214DEB">
            <w:pPr>
              <w:pStyle w:val="ListParagraph"/>
              <w:ind w:left="0"/>
              <w:jc w:val="center"/>
              <w:rPr>
                <w:sz w:val="18"/>
              </w:rPr>
            </w:pPr>
            <w:r w:rsidRPr="008264B6">
              <w:rPr>
                <w:sz w:val="18"/>
              </w:rPr>
              <w:t>TBA</w:t>
            </w:r>
          </w:p>
        </w:tc>
        <w:tc>
          <w:tcPr>
            <w:tcW w:w="0" w:type="auto"/>
            <w:vAlign w:val="center"/>
          </w:tcPr>
          <w:p w:rsidR="00CC4481" w:rsidRPr="008264B6" w:rsidRDefault="00CC4481" w:rsidP="00214DEB">
            <w:pPr>
              <w:jc w:val="center"/>
              <w:rPr>
                <w:color w:val="000000"/>
                <w:sz w:val="18"/>
              </w:rPr>
            </w:pPr>
            <w:r w:rsidRPr="008264B6">
              <w:rPr>
                <w:color w:val="000000"/>
                <w:sz w:val="18"/>
              </w:rPr>
              <w:t>CCPUE</w:t>
            </w:r>
          </w:p>
        </w:tc>
        <w:tc>
          <w:tcPr>
            <w:tcW w:w="0" w:type="auto"/>
            <w:vAlign w:val="center"/>
          </w:tcPr>
          <w:p w:rsidR="00CC4481" w:rsidRPr="008264B6" w:rsidRDefault="00CC4481" w:rsidP="00214DEB">
            <w:pPr>
              <w:jc w:val="center"/>
              <w:rPr>
                <w:color w:val="000000"/>
                <w:sz w:val="18"/>
              </w:rPr>
            </w:pPr>
            <w:r w:rsidRPr="008264B6">
              <w:rPr>
                <w:color w:val="000000"/>
                <w:sz w:val="18"/>
              </w:rPr>
              <w:t>WCPUE</w:t>
            </w:r>
          </w:p>
        </w:tc>
        <w:tc>
          <w:tcPr>
            <w:tcW w:w="0" w:type="auto"/>
            <w:vAlign w:val="center"/>
          </w:tcPr>
          <w:p w:rsidR="00CC4481" w:rsidRPr="008264B6" w:rsidRDefault="00CC4481" w:rsidP="00CC4481">
            <w:pPr>
              <w:jc w:val="center"/>
              <w:rPr>
                <w:color w:val="000000"/>
                <w:sz w:val="18"/>
              </w:rPr>
            </w:pPr>
            <w:r w:rsidRPr="008264B6">
              <w:rPr>
                <w:color w:val="000000"/>
                <w:sz w:val="18"/>
              </w:rPr>
              <w:t>TLP</w:t>
            </w:r>
          </w:p>
        </w:tc>
        <w:tc>
          <w:tcPr>
            <w:tcW w:w="0" w:type="auto"/>
            <w:vAlign w:val="center"/>
          </w:tcPr>
          <w:p w:rsidR="00CC4481" w:rsidRPr="008264B6" w:rsidRDefault="00CC4481" w:rsidP="00CC4481">
            <w:pPr>
              <w:jc w:val="center"/>
              <w:rPr>
                <w:color w:val="000000"/>
                <w:sz w:val="18"/>
              </w:rPr>
            </w:pPr>
            <w:r w:rsidRPr="008264B6">
              <w:rPr>
                <w:color w:val="000000"/>
                <w:sz w:val="18"/>
              </w:rPr>
              <w:t>WLP</w:t>
            </w:r>
          </w:p>
        </w:tc>
        <w:tc>
          <w:tcPr>
            <w:tcW w:w="0" w:type="auto"/>
            <w:vAlign w:val="center"/>
          </w:tcPr>
          <w:p w:rsidR="00CC4481" w:rsidRPr="008264B6" w:rsidRDefault="00CC4481" w:rsidP="00214DEB">
            <w:pPr>
              <w:jc w:val="center"/>
              <w:rPr>
                <w:color w:val="000000"/>
                <w:sz w:val="18"/>
              </w:rPr>
            </w:pPr>
            <w:r w:rsidRPr="008264B6">
              <w:rPr>
                <w:color w:val="000000"/>
                <w:sz w:val="18"/>
              </w:rPr>
              <w:t>CLP</w:t>
            </w:r>
          </w:p>
        </w:tc>
        <w:tc>
          <w:tcPr>
            <w:tcW w:w="0" w:type="auto"/>
            <w:vAlign w:val="center"/>
          </w:tcPr>
          <w:p w:rsidR="00CC4481" w:rsidRPr="008264B6" w:rsidRDefault="00CC4481" w:rsidP="00214DEB">
            <w:pPr>
              <w:jc w:val="center"/>
              <w:rPr>
                <w:color w:val="000000"/>
                <w:sz w:val="18"/>
              </w:rPr>
            </w:pPr>
            <w:r w:rsidRPr="008264B6">
              <w:rPr>
                <w:color w:val="000000"/>
                <w:sz w:val="18"/>
              </w:rPr>
              <w:t>REC</w:t>
            </w:r>
          </w:p>
        </w:tc>
        <w:tc>
          <w:tcPr>
            <w:tcW w:w="0" w:type="auto"/>
            <w:vAlign w:val="center"/>
          </w:tcPr>
          <w:p w:rsidR="00CC4481" w:rsidRPr="008264B6" w:rsidRDefault="00CC4481" w:rsidP="00214DEB">
            <w:pPr>
              <w:jc w:val="center"/>
              <w:rPr>
                <w:color w:val="000000"/>
                <w:sz w:val="18"/>
              </w:rPr>
            </w:pPr>
            <w:r w:rsidRPr="008264B6">
              <w:rPr>
                <w:color w:val="000000"/>
                <w:sz w:val="18"/>
              </w:rPr>
              <w:t>OBS</w:t>
            </w:r>
          </w:p>
        </w:tc>
        <w:tc>
          <w:tcPr>
            <w:tcW w:w="0" w:type="auto"/>
            <w:vAlign w:val="center"/>
          </w:tcPr>
          <w:p w:rsidR="00CC4481" w:rsidRPr="008264B6" w:rsidRDefault="00CC4481" w:rsidP="00214DEB">
            <w:pPr>
              <w:jc w:val="center"/>
              <w:rPr>
                <w:color w:val="000000"/>
                <w:sz w:val="18"/>
              </w:rPr>
            </w:pPr>
            <w:r w:rsidRPr="008264B6">
              <w:rPr>
                <w:color w:val="000000"/>
                <w:sz w:val="18"/>
              </w:rPr>
              <w:t>TAG</w:t>
            </w:r>
          </w:p>
        </w:tc>
        <w:tc>
          <w:tcPr>
            <w:tcW w:w="0" w:type="auto"/>
          </w:tcPr>
          <w:p w:rsidR="00CC4481" w:rsidRPr="008264B6" w:rsidRDefault="004D3DD8" w:rsidP="00214DEB">
            <w:pPr>
              <w:jc w:val="center"/>
              <w:rPr>
                <w:color w:val="000000"/>
                <w:sz w:val="18"/>
              </w:rPr>
            </w:pPr>
            <w:r w:rsidRPr="008264B6">
              <w:rPr>
                <w:color w:val="000000"/>
                <w:sz w:val="18"/>
              </w:rPr>
              <w:t>B</w:t>
            </w:r>
            <w:r w:rsidR="00CC4481" w:rsidRPr="008264B6">
              <w:rPr>
                <w:color w:val="000000"/>
                <w:sz w:val="18"/>
                <w:vertAlign w:val="subscript"/>
              </w:rPr>
              <w:t>MSY</w:t>
            </w:r>
          </w:p>
        </w:tc>
        <w:tc>
          <w:tcPr>
            <w:tcW w:w="0" w:type="auto"/>
          </w:tcPr>
          <w:p w:rsidR="00CC4481" w:rsidRPr="008264B6" w:rsidRDefault="00CC4481" w:rsidP="00CC4481">
            <w:pPr>
              <w:rPr>
                <w:color w:val="000000"/>
                <w:sz w:val="18"/>
              </w:rPr>
            </w:pPr>
            <w:r w:rsidRPr="008264B6">
              <w:rPr>
                <w:color w:val="000000"/>
                <w:sz w:val="18"/>
              </w:rPr>
              <w:t>MMB</w:t>
            </w:r>
          </w:p>
        </w:tc>
        <w:tc>
          <w:tcPr>
            <w:tcW w:w="0" w:type="auto"/>
          </w:tcPr>
          <w:p w:rsidR="00CC4481" w:rsidRPr="008264B6" w:rsidRDefault="00CC4481" w:rsidP="00214DEB">
            <w:pPr>
              <w:jc w:val="center"/>
              <w:rPr>
                <w:color w:val="000000"/>
                <w:sz w:val="18"/>
              </w:rPr>
            </w:pPr>
            <w:r w:rsidRPr="008264B6">
              <w:rPr>
                <w:color w:val="000000"/>
                <w:sz w:val="18"/>
              </w:rPr>
              <w:t>OFL</w:t>
            </w:r>
          </w:p>
        </w:tc>
      </w:tr>
      <w:tr w:rsidR="008264B6" w:rsidTr="00E40683">
        <w:trPr>
          <w:trHeight w:val="20"/>
        </w:trPr>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0</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61.5</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7.0</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-21.4</w:t>
            </w:r>
          </w:p>
        </w:tc>
        <w:tc>
          <w:tcPr>
            <w:tcW w:w="0" w:type="auto"/>
          </w:tcPr>
          <w:p w:rsidR="00CC4481" w:rsidRPr="008264B6" w:rsidRDefault="00CC4481" w:rsidP="005C578B">
            <w:pPr>
              <w:jc w:val="center"/>
              <w:rPr>
                <w:color w:val="000000"/>
                <w:sz w:val="18"/>
              </w:rPr>
            </w:pP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13.8</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18.9</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23.8</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8.8</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10.6</w:t>
            </w:r>
          </w:p>
        </w:tc>
        <w:tc>
          <w:tcPr>
            <w:tcW w:w="0" w:type="auto"/>
          </w:tcPr>
          <w:p w:rsidR="00CC4481" w:rsidRPr="008264B6" w:rsidRDefault="00CC4481" w:rsidP="005C578B">
            <w:pPr>
              <w:jc w:val="center"/>
              <w:rPr>
                <w:color w:val="000000"/>
                <w:sz w:val="18"/>
              </w:rPr>
            </w:pPr>
          </w:p>
        </w:tc>
        <w:tc>
          <w:tcPr>
            <w:tcW w:w="0" w:type="auto"/>
          </w:tcPr>
          <w:p w:rsidR="00CC4481" w:rsidRPr="008264B6" w:rsidRDefault="00CC4481" w:rsidP="005C578B">
            <w:pPr>
              <w:jc w:val="center"/>
              <w:rPr>
                <w:color w:val="000000"/>
                <w:sz w:val="18"/>
              </w:rPr>
            </w:pPr>
            <w:r w:rsidRPr="008264B6">
              <w:rPr>
                <w:color w:val="000000"/>
                <w:sz w:val="18"/>
              </w:rPr>
              <w:t>4.2</w:t>
            </w:r>
          </w:p>
        </w:tc>
        <w:tc>
          <w:tcPr>
            <w:tcW w:w="0" w:type="auto"/>
          </w:tcPr>
          <w:p w:rsidR="00CC4481" w:rsidRPr="008264B6" w:rsidRDefault="00CC4481" w:rsidP="005C578B">
            <w:pPr>
              <w:jc w:val="center"/>
              <w:rPr>
                <w:color w:val="000000"/>
                <w:sz w:val="18"/>
              </w:rPr>
            </w:pPr>
            <w:r w:rsidRPr="008264B6">
              <w:rPr>
                <w:color w:val="000000"/>
                <w:sz w:val="18"/>
              </w:rPr>
              <w:t>3.7</w:t>
            </w:r>
          </w:p>
        </w:tc>
        <w:tc>
          <w:tcPr>
            <w:tcW w:w="0" w:type="auto"/>
          </w:tcPr>
          <w:p w:rsidR="00CC4481" w:rsidRPr="008264B6" w:rsidRDefault="00CC4481" w:rsidP="005C578B">
            <w:pPr>
              <w:jc w:val="center"/>
              <w:rPr>
                <w:color w:val="000000"/>
                <w:sz w:val="18"/>
              </w:rPr>
            </w:pPr>
            <w:r w:rsidRPr="008264B6">
              <w:rPr>
                <w:color w:val="000000"/>
                <w:sz w:val="18"/>
              </w:rPr>
              <w:t>0.45</w:t>
            </w:r>
          </w:p>
        </w:tc>
      </w:tr>
      <w:tr w:rsidR="008264B6" w:rsidTr="00E40683">
        <w:trPr>
          <w:trHeight w:val="20"/>
        </w:trPr>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1</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61.5</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7.0</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-21.4</w:t>
            </w:r>
          </w:p>
        </w:tc>
        <w:tc>
          <w:tcPr>
            <w:tcW w:w="0" w:type="auto"/>
          </w:tcPr>
          <w:p w:rsidR="00CC4481" w:rsidRPr="008264B6" w:rsidRDefault="00CC4481" w:rsidP="005C578B">
            <w:pPr>
              <w:jc w:val="center"/>
              <w:rPr>
                <w:color w:val="000000"/>
                <w:sz w:val="18"/>
              </w:rPr>
            </w:pP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13.8</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18.9</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23.8</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8.8</w:t>
            </w:r>
          </w:p>
        </w:tc>
        <w:tc>
          <w:tcPr>
            <w:tcW w:w="0" w:type="auto"/>
            <w:shd w:val="clear" w:color="auto" w:fill="auto"/>
            <w:vAlign w:val="center"/>
          </w:tcPr>
          <w:p w:rsidR="00CC4481" w:rsidRPr="008264B6" w:rsidRDefault="00CC4481" w:rsidP="005C578B">
            <w:pPr>
              <w:jc w:val="center"/>
              <w:rPr>
                <w:color w:val="000000"/>
                <w:sz w:val="20"/>
              </w:rPr>
            </w:pPr>
            <w:r w:rsidRPr="008264B6">
              <w:rPr>
                <w:color w:val="000000"/>
                <w:sz w:val="18"/>
              </w:rPr>
              <w:t>10.6</w:t>
            </w:r>
          </w:p>
        </w:tc>
        <w:tc>
          <w:tcPr>
            <w:tcW w:w="0" w:type="auto"/>
          </w:tcPr>
          <w:p w:rsidR="00CC4481" w:rsidRPr="008264B6" w:rsidRDefault="00CC4481" w:rsidP="005C578B">
            <w:pPr>
              <w:jc w:val="center"/>
              <w:rPr>
                <w:color w:val="000000"/>
                <w:sz w:val="18"/>
              </w:rPr>
            </w:pPr>
          </w:p>
        </w:tc>
        <w:tc>
          <w:tcPr>
            <w:tcW w:w="0" w:type="auto"/>
          </w:tcPr>
          <w:p w:rsidR="00CC4481" w:rsidRPr="008264B6" w:rsidRDefault="00CC4481" w:rsidP="005C578B">
            <w:pPr>
              <w:jc w:val="center"/>
              <w:rPr>
                <w:color w:val="000000"/>
                <w:sz w:val="18"/>
              </w:rPr>
            </w:pPr>
            <w:r w:rsidRPr="008264B6">
              <w:rPr>
                <w:color w:val="000000"/>
                <w:sz w:val="18"/>
              </w:rPr>
              <w:t>4.2</w:t>
            </w:r>
          </w:p>
        </w:tc>
        <w:tc>
          <w:tcPr>
            <w:tcW w:w="0" w:type="auto"/>
          </w:tcPr>
          <w:p w:rsidR="00CC4481" w:rsidRPr="008264B6" w:rsidRDefault="00CC4481" w:rsidP="005C578B">
            <w:pPr>
              <w:jc w:val="center"/>
              <w:rPr>
                <w:color w:val="000000"/>
                <w:sz w:val="18"/>
              </w:rPr>
            </w:pPr>
            <w:r w:rsidRPr="008264B6">
              <w:rPr>
                <w:color w:val="000000"/>
                <w:sz w:val="18"/>
              </w:rPr>
              <w:t>3.7</w:t>
            </w:r>
          </w:p>
        </w:tc>
        <w:tc>
          <w:tcPr>
            <w:tcW w:w="0" w:type="auto"/>
          </w:tcPr>
          <w:p w:rsidR="00CC4481" w:rsidRPr="008264B6" w:rsidRDefault="00CC4481" w:rsidP="005C578B">
            <w:pPr>
              <w:jc w:val="center"/>
              <w:rPr>
                <w:color w:val="000000"/>
                <w:sz w:val="18"/>
              </w:rPr>
            </w:pPr>
            <w:r w:rsidRPr="008264B6">
              <w:rPr>
                <w:color w:val="000000"/>
                <w:sz w:val="18"/>
              </w:rPr>
              <w:t>0.46</w:t>
            </w:r>
          </w:p>
        </w:tc>
      </w:tr>
      <w:tr w:rsidR="008264B6" w:rsidTr="00E40683">
        <w:trPr>
          <w:trHeight w:val="20"/>
        </w:trPr>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2.i</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141.9</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6.9</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-21.5</w:t>
            </w:r>
          </w:p>
        </w:tc>
        <w:tc>
          <w:tcPr>
            <w:tcW w:w="0" w:type="auto"/>
          </w:tcPr>
          <w:p w:rsidR="00CC4481" w:rsidRPr="008264B6" w:rsidRDefault="00CC4481" w:rsidP="005C578B">
            <w:pPr>
              <w:jc w:val="center"/>
              <w:rPr>
                <w:color w:val="000000"/>
                <w:sz w:val="18"/>
              </w:rPr>
            </w:pP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15.3</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25.9</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21.1</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9.5</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10.7</w:t>
            </w:r>
          </w:p>
        </w:tc>
        <w:tc>
          <w:tcPr>
            <w:tcW w:w="0" w:type="auto"/>
          </w:tcPr>
          <w:p w:rsidR="00CC4481" w:rsidRPr="008264B6" w:rsidRDefault="00CC4481" w:rsidP="005C578B">
            <w:pPr>
              <w:jc w:val="center"/>
              <w:rPr>
                <w:color w:val="000000"/>
                <w:sz w:val="18"/>
              </w:rPr>
            </w:pPr>
            <w:r w:rsidRPr="008264B6">
              <w:rPr>
                <w:color w:val="000000"/>
                <w:sz w:val="18"/>
              </w:rPr>
              <w:t>74.0</w:t>
            </w:r>
          </w:p>
        </w:tc>
        <w:tc>
          <w:tcPr>
            <w:tcW w:w="0" w:type="auto"/>
          </w:tcPr>
          <w:p w:rsidR="00CC4481" w:rsidRPr="008264B6" w:rsidRDefault="00CC4481" w:rsidP="005C578B">
            <w:pPr>
              <w:jc w:val="center"/>
              <w:rPr>
                <w:color w:val="000000"/>
                <w:sz w:val="18"/>
              </w:rPr>
            </w:pPr>
            <w:r w:rsidRPr="008264B6">
              <w:rPr>
                <w:color w:val="000000"/>
                <w:sz w:val="18"/>
              </w:rPr>
              <w:t>4.2</w:t>
            </w:r>
          </w:p>
        </w:tc>
        <w:tc>
          <w:tcPr>
            <w:tcW w:w="0" w:type="auto"/>
          </w:tcPr>
          <w:p w:rsidR="00CC4481" w:rsidRPr="008264B6" w:rsidRDefault="00CC4481" w:rsidP="005C578B">
            <w:pPr>
              <w:jc w:val="center"/>
              <w:rPr>
                <w:color w:val="000000"/>
                <w:sz w:val="18"/>
              </w:rPr>
            </w:pPr>
            <w:r w:rsidRPr="008264B6">
              <w:rPr>
                <w:color w:val="000000"/>
                <w:sz w:val="18"/>
              </w:rPr>
              <w:t>3.7</w:t>
            </w:r>
          </w:p>
        </w:tc>
        <w:tc>
          <w:tcPr>
            <w:tcW w:w="0" w:type="auto"/>
          </w:tcPr>
          <w:p w:rsidR="00CC4481" w:rsidRPr="008264B6" w:rsidRDefault="00CC4481" w:rsidP="005C578B">
            <w:pPr>
              <w:jc w:val="center"/>
              <w:rPr>
                <w:color w:val="000000"/>
                <w:sz w:val="18"/>
              </w:rPr>
            </w:pPr>
            <w:r w:rsidRPr="008264B6">
              <w:rPr>
                <w:color w:val="000000"/>
                <w:sz w:val="18"/>
              </w:rPr>
              <w:t>0.46</w:t>
            </w:r>
          </w:p>
        </w:tc>
      </w:tr>
      <w:tr w:rsidR="008264B6" w:rsidTr="00E40683">
        <w:trPr>
          <w:trHeight w:val="20"/>
        </w:trPr>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2.io</w:t>
            </w:r>
          </w:p>
        </w:tc>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213.6</w:t>
            </w:r>
          </w:p>
        </w:tc>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6.5</w:t>
            </w:r>
          </w:p>
        </w:tc>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-22.3</w:t>
            </w:r>
          </w:p>
        </w:tc>
        <w:tc>
          <w:tcPr>
            <w:tcW w:w="0" w:type="auto"/>
          </w:tcPr>
          <w:p w:rsidR="00DA1258" w:rsidRPr="008264B6" w:rsidRDefault="00DA1258" w:rsidP="005C578B">
            <w:pPr>
              <w:jc w:val="center"/>
              <w:rPr>
                <w:color w:val="000000"/>
                <w:sz w:val="18"/>
              </w:rPr>
            </w:pPr>
          </w:p>
        </w:tc>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16.4</w:t>
            </w:r>
          </w:p>
        </w:tc>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50.6</w:t>
            </w:r>
          </w:p>
        </w:tc>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53.4</w:t>
            </w:r>
          </w:p>
        </w:tc>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11.9</w:t>
            </w:r>
          </w:p>
        </w:tc>
        <w:tc>
          <w:tcPr>
            <w:tcW w:w="0" w:type="auto"/>
            <w:shd w:val="clear" w:color="auto" w:fill="auto"/>
            <w:vAlign w:val="center"/>
          </w:tcPr>
          <w:p w:rsidR="00DA1258" w:rsidRPr="008264B6" w:rsidRDefault="00DA1258" w:rsidP="005C578B">
            <w:pPr>
              <w:jc w:val="center"/>
              <w:rPr>
                <w:color w:val="000000"/>
                <w:sz w:val="18"/>
              </w:rPr>
            </w:pPr>
            <w:r w:rsidRPr="008264B6">
              <w:rPr>
                <w:color w:val="000000"/>
                <w:sz w:val="18"/>
              </w:rPr>
              <w:t>23.0</w:t>
            </w:r>
          </w:p>
        </w:tc>
        <w:tc>
          <w:tcPr>
            <w:tcW w:w="0" w:type="auto"/>
          </w:tcPr>
          <w:p w:rsidR="00DA1258" w:rsidRPr="008264B6" w:rsidRDefault="00DA1258" w:rsidP="005C578B">
            <w:pPr>
              <w:jc w:val="center"/>
              <w:rPr>
                <w:color w:val="000000"/>
                <w:sz w:val="18"/>
              </w:rPr>
            </w:pPr>
            <w:r w:rsidRPr="008264B6">
              <w:rPr>
                <w:color w:val="000000"/>
                <w:sz w:val="18"/>
              </w:rPr>
              <w:t>74.0</w:t>
            </w:r>
          </w:p>
        </w:tc>
        <w:tc>
          <w:tcPr>
            <w:tcW w:w="0" w:type="auto"/>
          </w:tcPr>
          <w:p w:rsidR="00DA1258" w:rsidRPr="008264B6" w:rsidRDefault="00DA1258" w:rsidP="005C578B">
            <w:pPr>
              <w:jc w:val="center"/>
              <w:rPr>
                <w:color w:val="000000"/>
                <w:sz w:val="18"/>
              </w:rPr>
            </w:pPr>
            <w:r w:rsidRPr="008264B6">
              <w:rPr>
                <w:color w:val="000000"/>
                <w:sz w:val="18"/>
              </w:rPr>
              <w:t>4.2</w:t>
            </w:r>
          </w:p>
        </w:tc>
        <w:tc>
          <w:tcPr>
            <w:tcW w:w="0" w:type="auto"/>
          </w:tcPr>
          <w:p w:rsidR="00DA1258" w:rsidRPr="008264B6" w:rsidRDefault="00DA1258" w:rsidP="005C578B">
            <w:pPr>
              <w:jc w:val="center"/>
              <w:rPr>
                <w:color w:val="000000"/>
                <w:sz w:val="18"/>
              </w:rPr>
            </w:pPr>
            <w:r w:rsidRPr="008264B6">
              <w:rPr>
                <w:color w:val="000000"/>
                <w:sz w:val="18"/>
              </w:rPr>
              <w:t>3.7</w:t>
            </w:r>
          </w:p>
        </w:tc>
        <w:tc>
          <w:tcPr>
            <w:tcW w:w="0" w:type="auto"/>
          </w:tcPr>
          <w:p w:rsidR="00DA1258" w:rsidRPr="008264B6" w:rsidRDefault="00DA1258" w:rsidP="005C578B">
            <w:pPr>
              <w:jc w:val="center"/>
              <w:rPr>
                <w:color w:val="000000"/>
                <w:sz w:val="18"/>
              </w:rPr>
            </w:pPr>
            <w:r w:rsidRPr="008264B6">
              <w:rPr>
                <w:color w:val="000000"/>
                <w:sz w:val="18"/>
              </w:rPr>
              <w:t>0.46</w:t>
            </w:r>
          </w:p>
        </w:tc>
      </w:tr>
      <w:tr w:rsidR="008264B6" w:rsidTr="00E40683">
        <w:trPr>
          <w:trHeight w:val="20"/>
        </w:trPr>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2.ii</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141.8</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6.9</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-21.5</w:t>
            </w:r>
          </w:p>
        </w:tc>
        <w:tc>
          <w:tcPr>
            <w:tcW w:w="0" w:type="auto"/>
          </w:tcPr>
          <w:p w:rsidR="00CC4481" w:rsidRPr="008264B6" w:rsidRDefault="00CC4481" w:rsidP="005C578B">
            <w:pPr>
              <w:jc w:val="center"/>
              <w:rPr>
                <w:color w:val="000000"/>
                <w:sz w:val="18"/>
              </w:rPr>
            </w:pPr>
          </w:p>
        </w:tc>
        <w:tc>
          <w:tcPr>
            <w:tcW w:w="0" w:type="auto"/>
            <w:shd w:val="clear" w:color="auto" w:fill="auto"/>
            <w:vAlign w:val="center"/>
          </w:tcPr>
          <w:p w:rsidR="00CC4481" w:rsidRPr="008264B6" w:rsidRDefault="00272C55" w:rsidP="005C578B">
            <w:pPr>
              <w:jc w:val="center"/>
              <w:rPr>
                <w:color w:val="000000"/>
                <w:sz w:val="18"/>
              </w:rPr>
            </w:pPr>
            <w:r w:rsidRPr="008264B6">
              <w:rPr>
                <w:color w:val="000000"/>
                <w:sz w:val="18"/>
              </w:rPr>
              <w:t>15</w:t>
            </w:r>
            <w:r w:rsidR="00CC4481" w:rsidRPr="008264B6">
              <w:rPr>
                <w:color w:val="000000"/>
                <w:sz w:val="18"/>
              </w:rPr>
              <w:t>.4</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25.9</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21.1</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9.4</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10.7</w:t>
            </w:r>
          </w:p>
        </w:tc>
        <w:tc>
          <w:tcPr>
            <w:tcW w:w="0" w:type="auto"/>
          </w:tcPr>
          <w:p w:rsidR="00CC4481" w:rsidRPr="008264B6" w:rsidRDefault="00CC4481" w:rsidP="005C578B">
            <w:pPr>
              <w:jc w:val="center"/>
              <w:rPr>
                <w:color w:val="000000"/>
                <w:sz w:val="18"/>
              </w:rPr>
            </w:pPr>
            <w:r w:rsidRPr="008264B6">
              <w:rPr>
                <w:color w:val="000000"/>
                <w:sz w:val="18"/>
              </w:rPr>
              <w:t>73.9</w:t>
            </w:r>
          </w:p>
        </w:tc>
        <w:tc>
          <w:tcPr>
            <w:tcW w:w="0" w:type="auto"/>
          </w:tcPr>
          <w:p w:rsidR="00CC4481" w:rsidRPr="008264B6" w:rsidRDefault="00CC4481" w:rsidP="005C578B">
            <w:pPr>
              <w:jc w:val="center"/>
              <w:rPr>
                <w:color w:val="000000"/>
                <w:sz w:val="18"/>
              </w:rPr>
            </w:pPr>
            <w:r w:rsidRPr="008264B6">
              <w:rPr>
                <w:color w:val="000000"/>
                <w:sz w:val="18"/>
              </w:rPr>
              <w:t>4.2</w:t>
            </w:r>
          </w:p>
        </w:tc>
        <w:tc>
          <w:tcPr>
            <w:tcW w:w="0" w:type="auto"/>
          </w:tcPr>
          <w:p w:rsidR="00CC4481" w:rsidRPr="008264B6" w:rsidRDefault="00D17221" w:rsidP="005C578B">
            <w:pPr>
              <w:jc w:val="center"/>
              <w:rPr>
                <w:color w:val="000000"/>
                <w:sz w:val="18"/>
              </w:rPr>
            </w:pPr>
            <w:r w:rsidRPr="008264B6">
              <w:rPr>
                <w:color w:val="000000"/>
                <w:sz w:val="18"/>
              </w:rPr>
              <w:t>3.7</w:t>
            </w:r>
          </w:p>
        </w:tc>
        <w:tc>
          <w:tcPr>
            <w:tcW w:w="0" w:type="auto"/>
          </w:tcPr>
          <w:p w:rsidR="00CC4481" w:rsidRPr="008264B6" w:rsidRDefault="00CC4481" w:rsidP="005C578B">
            <w:pPr>
              <w:jc w:val="center"/>
              <w:rPr>
                <w:color w:val="000000"/>
                <w:sz w:val="18"/>
              </w:rPr>
            </w:pPr>
            <w:r w:rsidRPr="008264B6">
              <w:rPr>
                <w:color w:val="000000"/>
                <w:sz w:val="18"/>
              </w:rPr>
              <w:t>0.46</w:t>
            </w:r>
          </w:p>
        </w:tc>
      </w:tr>
      <w:tr w:rsidR="008264B6" w:rsidTr="00E40683">
        <w:trPr>
          <w:trHeight w:val="20"/>
        </w:trPr>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3</w:t>
            </w:r>
          </w:p>
        </w:tc>
        <w:tc>
          <w:tcPr>
            <w:tcW w:w="0" w:type="auto"/>
            <w:shd w:val="clear" w:color="auto" w:fill="auto"/>
            <w:vAlign w:val="center"/>
          </w:tcPr>
          <w:p w:rsidR="00CC4481" w:rsidRPr="008264B6" w:rsidRDefault="00225F80" w:rsidP="005C578B">
            <w:pPr>
              <w:jc w:val="center"/>
              <w:rPr>
                <w:color w:val="000000"/>
                <w:sz w:val="18"/>
              </w:rPr>
            </w:pPr>
            <w:r w:rsidRPr="008264B6">
              <w:rPr>
                <w:color w:val="000000"/>
                <w:sz w:val="18"/>
              </w:rPr>
              <w:t>115.7</w:t>
            </w:r>
          </w:p>
        </w:tc>
        <w:tc>
          <w:tcPr>
            <w:tcW w:w="0" w:type="auto"/>
            <w:shd w:val="clear" w:color="auto" w:fill="auto"/>
            <w:vAlign w:val="center"/>
          </w:tcPr>
          <w:p w:rsidR="00CC4481" w:rsidRPr="008264B6" w:rsidRDefault="00225F80" w:rsidP="005C578B">
            <w:pPr>
              <w:jc w:val="center"/>
              <w:rPr>
                <w:color w:val="000000"/>
                <w:sz w:val="18"/>
              </w:rPr>
            </w:pPr>
            <w:r w:rsidRPr="008264B6">
              <w:rPr>
                <w:color w:val="000000"/>
                <w:sz w:val="18"/>
              </w:rPr>
              <w:t>10.6</w:t>
            </w:r>
          </w:p>
        </w:tc>
        <w:tc>
          <w:tcPr>
            <w:tcW w:w="0" w:type="auto"/>
            <w:shd w:val="clear" w:color="auto" w:fill="auto"/>
            <w:vAlign w:val="center"/>
          </w:tcPr>
          <w:p w:rsidR="00CC4481" w:rsidRPr="008264B6" w:rsidRDefault="00225F80" w:rsidP="005C578B">
            <w:pPr>
              <w:jc w:val="center"/>
              <w:rPr>
                <w:color w:val="000000"/>
                <w:sz w:val="18"/>
              </w:rPr>
            </w:pPr>
            <w:r w:rsidRPr="008264B6">
              <w:rPr>
                <w:color w:val="000000"/>
                <w:sz w:val="18"/>
              </w:rPr>
              <w:t>-19.3</w:t>
            </w:r>
          </w:p>
        </w:tc>
        <w:tc>
          <w:tcPr>
            <w:tcW w:w="0" w:type="auto"/>
          </w:tcPr>
          <w:p w:rsidR="00CC4481" w:rsidRPr="008264B6" w:rsidRDefault="00225F80" w:rsidP="005C578B">
            <w:pPr>
              <w:jc w:val="center"/>
              <w:rPr>
                <w:color w:val="000000"/>
                <w:sz w:val="18"/>
              </w:rPr>
            </w:pPr>
            <w:r w:rsidRPr="008264B6">
              <w:rPr>
                <w:color w:val="000000"/>
                <w:sz w:val="18"/>
              </w:rPr>
              <w:t>45.5</w:t>
            </w:r>
          </w:p>
        </w:tc>
        <w:tc>
          <w:tcPr>
            <w:tcW w:w="0" w:type="auto"/>
            <w:shd w:val="clear" w:color="auto" w:fill="auto"/>
            <w:vAlign w:val="center"/>
          </w:tcPr>
          <w:p w:rsidR="00CC4481" w:rsidRPr="008264B6" w:rsidRDefault="00225F80" w:rsidP="005C578B">
            <w:pPr>
              <w:jc w:val="center"/>
              <w:rPr>
                <w:color w:val="000000"/>
                <w:sz w:val="18"/>
              </w:rPr>
            </w:pPr>
            <w:r w:rsidRPr="008264B6">
              <w:rPr>
                <w:color w:val="000000"/>
                <w:sz w:val="18"/>
              </w:rPr>
              <w:t>14.4</w:t>
            </w:r>
          </w:p>
        </w:tc>
        <w:tc>
          <w:tcPr>
            <w:tcW w:w="0" w:type="auto"/>
            <w:shd w:val="clear" w:color="auto" w:fill="auto"/>
            <w:vAlign w:val="center"/>
          </w:tcPr>
          <w:p w:rsidR="00CC4481" w:rsidRPr="008264B6" w:rsidRDefault="00225F80" w:rsidP="005C578B">
            <w:pPr>
              <w:jc w:val="center"/>
              <w:rPr>
                <w:color w:val="000000"/>
                <w:sz w:val="18"/>
              </w:rPr>
            </w:pPr>
            <w:r w:rsidRPr="008264B6">
              <w:rPr>
                <w:color w:val="000000"/>
                <w:sz w:val="18"/>
              </w:rPr>
              <w:t>20.2</w:t>
            </w:r>
          </w:p>
        </w:tc>
        <w:tc>
          <w:tcPr>
            <w:tcW w:w="0" w:type="auto"/>
            <w:shd w:val="clear" w:color="auto" w:fill="auto"/>
            <w:vAlign w:val="center"/>
          </w:tcPr>
          <w:p w:rsidR="00CC4481" w:rsidRPr="008264B6" w:rsidRDefault="00225F80" w:rsidP="005C578B">
            <w:pPr>
              <w:jc w:val="center"/>
              <w:rPr>
                <w:color w:val="000000"/>
                <w:sz w:val="18"/>
              </w:rPr>
            </w:pPr>
            <w:r w:rsidRPr="008264B6">
              <w:rPr>
                <w:color w:val="000000"/>
                <w:sz w:val="18"/>
              </w:rPr>
              <w:t>26.0</w:t>
            </w:r>
          </w:p>
        </w:tc>
        <w:tc>
          <w:tcPr>
            <w:tcW w:w="0" w:type="auto"/>
            <w:shd w:val="clear" w:color="auto" w:fill="auto"/>
            <w:vAlign w:val="center"/>
          </w:tcPr>
          <w:p w:rsidR="00CC4481" w:rsidRPr="008264B6" w:rsidRDefault="00225F80" w:rsidP="005C578B">
            <w:pPr>
              <w:jc w:val="center"/>
              <w:rPr>
                <w:color w:val="000000"/>
                <w:sz w:val="18"/>
              </w:rPr>
            </w:pPr>
            <w:r w:rsidRPr="008264B6">
              <w:rPr>
                <w:color w:val="000000"/>
                <w:sz w:val="18"/>
              </w:rPr>
              <w:t>8.6</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9.7</w:t>
            </w:r>
          </w:p>
        </w:tc>
        <w:tc>
          <w:tcPr>
            <w:tcW w:w="0" w:type="auto"/>
          </w:tcPr>
          <w:p w:rsidR="00CC4481" w:rsidRPr="008264B6" w:rsidRDefault="00CC4481" w:rsidP="005C578B">
            <w:pPr>
              <w:jc w:val="center"/>
              <w:rPr>
                <w:color w:val="000000"/>
                <w:sz w:val="18"/>
              </w:rPr>
            </w:pPr>
          </w:p>
        </w:tc>
        <w:tc>
          <w:tcPr>
            <w:tcW w:w="0" w:type="auto"/>
          </w:tcPr>
          <w:p w:rsidR="00CC4481" w:rsidRPr="008264B6" w:rsidRDefault="00225F80" w:rsidP="005C578B">
            <w:pPr>
              <w:jc w:val="center"/>
              <w:rPr>
                <w:color w:val="000000"/>
                <w:sz w:val="18"/>
              </w:rPr>
            </w:pPr>
            <w:r w:rsidRPr="008264B6">
              <w:rPr>
                <w:color w:val="000000"/>
                <w:sz w:val="18"/>
              </w:rPr>
              <w:t>3.7</w:t>
            </w:r>
          </w:p>
        </w:tc>
        <w:tc>
          <w:tcPr>
            <w:tcW w:w="0" w:type="auto"/>
          </w:tcPr>
          <w:p w:rsidR="00CC4481" w:rsidRPr="008264B6" w:rsidRDefault="00225F80" w:rsidP="005C578B">
            <w:pPr>
              <w:jc w:val="center"/>
              <w:rPr>
                <w:color w:val="000000"/>
                <w:sz w:val="18"/>
              </w:rPr>
            </w:pPr>
            <w:r w:rsidRPr="008264B6">
              <w:rPr>
                <w:color w:val="000000"/>
                <w:sz w:val="18"/>
              </w:rPr>
              <w:t>3.5</w:t>
            </w:r>
          </w:p>
        </w:tc>
        <w:tc>
          <w:tcPr>
            <w:tcW w:w="0" w:type="auto"/>
          </w:tcPr>
          <w:p w:rsidR="00CC4481" w:rsidRPr="008264B6" w:rsidRDefault="00225F80" w:rsidP="005C578B">
            <w:pPr>
              <w:jc w:val="center"/>
              <w:rPr>
                <w:color w:val="000000"/>
                <w:sz w:val="18"/>
              </w:rPr>
            </w:pPr>
            <w:r w:rsidRPr="008264B6">
              <w:rPr>
                <w:color w:val="000000"/>
                <w:sz w:val="18"/>
              </w:rPr>
              <w:t>0.47</w:t>
            </w:r>
          </w:p>
        </w:tc>
      </w:tr>
      <w:tr w:rsidR="008264B6" w:rsidTr="00E40683">
        <w:trPr>
          <w:trHeight w:val="20"/>
        </w:trPr>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4</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39.3</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7.3</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-22.8</w:t>
            </w:r>
          </w:p>
        </w:tc>
        <w:tc>
          <w:tcPr>
            <w:tcW w:w="0" w:type="auto"/>
          </w:tcPr>
          <w:p w:rsidR="00CC4481" w:rsidRPr="008264B6" w:rsidRDefault="00CC4481" w:rsidP="005C578B">
            <w:pPr>
              <w:jc w:val="center"/>
              <w:rPr>
                <w:color w:val="000000"/>
                <w:sz w:val="18"/>
              </w:rPr>
            </w:pP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13.5</w:t>
            </w:r>
          </w:p>
        </w:tc>
        <w:tc>
          <w:tcPr>
            <w:tcW w:w="0" w:type="auto"/>
            <w:shd w:val="clear" w:color="auto" w:fill="auto"/>
            <w:vAlign w:val="center"/>
          </w:tcPr>
          <w:p w:rsidR="00CC4481" w:rsidRPr="008264B6" w:rsidRDefault="00CC4481" w:rsidP="005C578B">
            <w:pPr>
              <w:jc w:val="center"/>
              <w:rPr>
                <w:color w:val="000000"/>
                <w:sz w:val="18"/>
              </w:rPr>
            </w:pP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23.3</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8.1</w:t>
            </w:r>
          </w:p>
        </w:tc>
        <w:tc>
          <w:tcPr>
            <w:tcW w:w="0" w:type="auto"/>
            <w:shd w:val="clear" w:color="auto" w:fill="auto"/>
            <w:vAlign w:val="center"/>
          </w:tcPr>
          <w:p w:rsidR="00CC4481" w:rsidRPr="008264B6" w:rsidRDefault="00CC4481" w:rsidP="005C578B">
            <w:pPr>
              <w:jc w:val="center"/>
              <w:rPr>
                <w:color w:val="000000"/>
                <w:sz w:val="18"/>
              </w:rPr>
            </w:pPr>
            <w:r w:rsidRPr="008264B6">
              <w:rPr>
                <w:color w:val="000000"/>
                <w:sz w:val="18"/>
              </w:rPr>
              <w:t>9.8</w:t>
            </w:r>
          </w:p>
        </w:tc>
        <w:tc>
          <w:tcPr>
            <w:tcW w:w="0" w:type="auto"/>
          </w:tcPr>
          <w:p w:rsidR="00CC4481" w:rsidRPr="008264B6" w:rsidRDefault="00CC4481" w:rsidP="005C578B">
            <w:pPr>
              <w:jc w:val="center"/>
              <w:rPr>
                <w:color w:val="000000"/>
                <w:sz w:val="18"/>
              </w:rPr>
            </w:pPr>
          </w:p>
        </w:tc>
        <w:tc>
          <w:tcPr>
            <w:tcW w:w="0" w:type="auto"/>
          </w:tcPr>
          <w:p w:rsidR="00CC4481" w:rsidRPr="008264B6" w:rsidRDefault="00CC4481" w:rsidP="005C578B">
            <w:pPr>
              <w:jc w:val="center"/>
              <w:rPr>
                <w:color w:val="000000"/>
                <w:sz w:val="18"/>
              </w:rPr>
            </w:pPr>
            <w:r w:rsidRPr="008264B6">
              <w:rPr>
                <w:color w:val="000000"/>
                <w:sz w:val="18"/>
              </w:rPr>
              <w:t>4.3</w:t>
            </w:r>
          </w:p>
        </w:tc>
        <w:tc>
          <w:tcPr>
            <w:tcW w:w="0" w:type="auto"/>
          </w:tcPr>
          <w:p w:rsidR="00CC4481" w:rsidRPr="008264B6" w:rsidRDefault="00CC4481" w:rsidP="005C578B">
            <w:pPr>
              <w:jc w:val="center"/>
              <w:rPr>
                <w:color w:val="000000"/>
                <w:sz w:val="18"/>
              </w:rPr>
            </w:pPr>
            <w:r w:rsidRPr="008264B6">
              <w:rPr>
                <w:color w:val="000000"/>
                <w:sz w:val="18"/>
              </w:rPr>
              <w:t>3.6</w:t>
            </w:r>
          </w:p>
        </w:tc>
        <w:tc>
          <w:tcPr>
            <w:tcW w:w="0" w:type="auto"/>
          </w:tcPr>
          <w:p w:rsidR="00CC4481" w:rsidRPr="008264B6" w:rsidRDefault="00CC4481" w:rsidP="005C578B">
            <w:pPr>
              <w:jc w:val="center"/>
              <w:rPr>
                <w:color w:val="000000"/>
                <w:sz w:val="18"/>
              </w:rPr>
            </w:pPr>
            <w:r w:rsidRPr="008264B6">
              <w:rPr>
                <w:color w:val="000000"/>
                <w:sz w:val="18"/>
              </w:rPr>
              <w:t>0.41</w:t>
            </w:r>
          </w:p>
        </w:tc>
      </w:tr>
      <w:tr w:rsidR="008264B6" w:rsidTr="00E40683">
        <w:trPr>
          <w:trHeight w:val="20"/>
        </w:trPr>
        <w:tc>
          <w:tcPr>
            <w:tcW w:w="0" w:type="auto"/>
            <w:shd w:val="clear" w:color="auto" w:fill="auto"/>
            <w:vAlign w:val="center"/>
          </w:tcPr>
          <w:p w:rsidR="00CC4481" w:rsidRPr="008264B6" w:rsidRDefault="00AD2CF5" w:rsidP="005C578B">
            <w:pPr>
              <w:jc w:val="center"/>
              <w:rPr>
                <w:color w:val="000000"/>
                <w:sz w:val="18"/>
              </w:rPr>
            </w:pPr>
            <w:r w:rsidRPr="008264B6">
              <w:rPr>
                <w:color w:val="000000"/>
                <w:sz w:val="18"/>
              </w:rPr>
              <w:t>2.i-3</w:t>
            </w:r>
          </w:p>
        </w:tc>
        <w:tc>
          <w:tcPr>
            <w:tcW w:w="0" w:type="auto"/>
            <w:shd w:val="clear" w:color="auto" w:fill="auto"/>
            <w:vAlign w:val="center"/>
          </w:tcPr>
          <w:p w:rsidR="00CC4481" w:rsidRPr="008264B6" w:rsidRDefault="00383A00" w:rsidP="005C578B">
            <w:pPr>
              <w:jc w:val="center"/>
              <w:rPr>
                <w:color w:val="000000"/>
                <w:sz w:val="18"/>
              </w:rPr>
            </w:pPr>
            <w:r w:rsidRPr="008264B6">
              <w:rPr>
                <w:color w:val="000000"/>
                <w:sz w:val="18"/>
              </w:rPr>
              <w:t>196.0</w:t>
            </w:r>
          </w:p>
        </w:tc>
        <w:tc>
          <w:tcPr>
            <w:tcW w:w="0" w:type="auto"/>
            <w:shd w:val="clear" w:color="auto" w:fill="auto"/>
            <w:vAlign w:val="center"/>
          </w:tcPr>
          <w:p w:rsidR="00CC4481" w:rsidRPr="008264B6" w:rsidRDefault="00383A00" w:rsidP="005C578B">
            <w:pPr>
              <w:jc w:val="center"/>
              <w:rPr>
                <w:color w:val="000000"/>
                <w:sz w:val="18"/>
              </w:rPr>
            </w:pPr>
            <w:r w:rsidRPr="008264B6">
              <w:rPr>
                <w:color w:val="000000"/>
                <w:sz w:val="18"/>
              </w:rPr>
              <w:t>10.3</w:t>
            </w:r>
          </w:p>
        </w:tc>
        <w:tc>
          <w:tcPr>
            <w:tcW w:w="0" w:type="auto"/>
            <w:shd w:val="clear" w:color="auto" w:fill="auto"/>
            <w:vAlign w:val="center"/>
          </w:tcPr>
          <w:p w:rsidR="00CC4481" w:rsidRPr="008264B6" w:rsidRDefault="00383A00" w:rsidP="005C578B">
            <w:pPr>
              <w:jc w:val="center"/>
              <w:rPr>
                <w:color w:val="000000"/>
                <w:sz w:val="18"/>
              </w:rPr>
            </w:pPr>
            <w:r w:rsidRPr="008264B6">
              <w:rPr>
                <w:color w:val="000000"/>
                <w:sz w:val="18"/>
              </w:rPr>
              <w:t>-19.5</w:t>
            </w:r>
          </w:p>
        </w:tc>
        <w:tc>
          <w:tcPr>
            <w:tcW w:w="0" w:type="auto"/>
          </w:tcPr>
          <w:p w:rsidR="00CC4481" w:rsidRPr="008264B6" w:rsidRDefault="00383A00" w:rsidP="005C578B">
            <w:pPr>
              <w:jc w:val="center"/>
              <w:rPr>
                <w:color w:val="000000"/>
                <w:sz w:val="18"/>
              </w:rPr>
            </w:pPr>
            <w:r w:rsidRPr="008264B6">
              <w:rPr>
                <w:color w:val="000000"/>
                <w:sz w:val="18"/>
              </w:rPr>
              <w:t>45.4</w:t>
            </w:r>
          </w:p>
        </w:tc>
        <w:tc>
          <w:tcPr>
            <w:tcW w:w="0" w:type="auto"/>
            <w:shd w:val="clear" w:color="auto" w:fill="auto"/>
            <w:vAlign w:val="center"/>
          </w:tcPr>
          <w:p w:rsidR="00CC4481" w:rsidRPr="008264B6" w:rsidRDefault="00383A00" w:rsidP="005C578B">
            <w:pPr>
              <w:jc w:val="center"/>
              <w:rPr>
                <w:color w:val="000000"/>
                <w:sz w:val="18"/>
              </w:rPr>
            </w:pPr>
            <w:r w:rsidRPr="008264B6">
              <w:rPr>
                <w:color w:val="000000"/>
                <w:sz w:val="18"/>
              </w:rPr>
              <w:t>14.6</w:t>
            </w:r>
          </w:p>
        </w:tc>
        <w:tc>
          <w:tcPr>
            <w:tcW w:w="0" w:type="auto"/>
            <w:shd w:val="clear" w:color="auto" w:fill="auto"/>
            <w:vAlign w:val="center"/>
          </w:tcPr>
          <w:p w:rsidR="00CC4481" w:rsidRPr="008264B6" w:rsidRDefault="00383A00" w:rsidP="005C578B">
            <w:pPr>
              <w:jc w:val="center"/>
              <w:rPr>
                <w:color w:val="000000"/>
                <w:sz w:val="18"/>
              </w:rPr>
            </w:pPr>
            <w:r w:rsidRPr="008264B6">
              <w:rPr>
                <w:color w:val="000000"/>
                <w:sz w:val="18"/>
              </w:rPr>
              <w:t>27.5</w:t>
            </w:r>
          </w:p>
        </w:tc>
        <w:tc>
          <w:tcPr>
            <w:tcW w:w="0" w:type="auto"/>
            <w:shd w:val="clear" w:color="auto" w:fill="auto"/>
            <w:vAlign w:val="center"/>
          </w:tcPr>
          <w:p w:rsidR="00CC4481" w:rsidRPr="008264B6" w:rsidRDefault="00383A00" w:rsidP="005C578B">
            <w:pPr>
              <w:jc w:val="center"/>
              <w:rPr>
                <w:color w:val="000000"/>
                <w:sz w:val="18"/>
              </w:rPr>
            </w:pPr>
            <w:r w:rsidRPr="008264B6">
              <w:rPr>
                <w:color w:val="000000"/>
                <w:sz w:val="18"/>
              </w:rPr>
              <w:t>23.2</w:t>
            </w:r>
          </w:p>
        </w:tc>
        <w:tc>
          <w:tcPr>
            <w:tcW w:w="0" w:type="auto"/>
            <w:shd w:val="clear" w:color="auto" w:fill="auto"/>
            <w:vAlign w:val="center"/>
          </w:tcPr>
          <w:p w:rsidR="00CC4481" w:rsidRPr="008264B6" w:rsidRDefault="00383A00" w:rsidP="005C578B">
            <w:pPr>
              <w:jc w:val="center"/>
              <w:rPr>
                <w:color w:val="000000"/>
                <w:sz w:val="18"/>
              </w:rPr>
            </w:pPr>
            <w:r w:rsidRPr="008264B6">
              <w:rPr>
                <w:color w:val="000000"/>
                <w:sz w:val="18"/>
              </w:rPr>
              <w:t>9.6</w:t>
            </w:r>
          </w:p>
        </w:tc>
        <w:tc>
          <w:tcPr>
            <w:tcW w:w="0" w:type="auto"/>
            <w:shd w:val="clear" w:color="auto" w:fill="auto"/>
            <w:vAlign w:val="center"/>
          </w:tcPr>
          <w:p w:rsidR="00CC4481" w:rsidRPr="008264B6" w:rsidRDefault="00383A00" w:rsidP="005C578B">
            <w:pPr>
              <w:jc w:val="center"/>
              <w:rPr>
                <w:color w:val="000000"/>
                <w:sz w:val="18"/>
              </w:rPr>
            </w:pPr>
            <w:r w:rsidRPr="008264B6">
              <w:rPr>
                <w:color w:val="000000"/>
                <w:sz w:val="18"/>
              </w:rPr>
              <w:t>9.9</w:t>
            </w:r>
          </w:p>
        </w:tc>
        <w:tc>
          <w:tcPr>
            <w:tcW w:w="0" w:type="auto"/>
          </w:tcPr>
          <w:p w:rsidR="00CC4481" w:rsidRPr="008264B6" w:rsidRDefault="00383A00" w:rsidP="005C578B">
            <w:pPr>
              <w:jc w:val="center"/>
              <w:rPr>
                <w:color w:val="000000"/>
                <w:sz w:val="18"/>
              </w:rPr>
            </w:pPr>
            <w:r w:rsidRPr="008264B6">
              <w:rPr>
                <w:color w:val="000000"/>
                <w:sz w:val="18"/>
              </w:rPr>
              <w:t>73.8</w:t>
            </w:r>
          </w:p>
        </w:tc>
        <w:tc>
          <w:tcPr>
            <w:tcW w:w="0" w:type="auto"/>
          </w:tcPr>
          <w:p w:rsidR="00CC4481" w:rsidRPr="008264B6" w:rsidRDefault="00383A00" w:rsidP="005C578B">
            <w:pPr>
              <w:jc w:val="center"/>
              <w:rPr>
                <w:color w:val="000000"/>
                <w:sz w:val="18"/>
              </w:rPr>
            </w:pPr>
            <w:r w:rsidRPr="008264B6">
              <w:rPr>
                <w:color w:val="000000"/>
                <w:sz w:val="18"/>
              </w:rPr>
              <w:t>3.7</w:t>
            </w:r>
          </w:p>
        </w:tc>
        <w:tc>
          <w:tcPr>
            <w:tcW w:w="0" w:type="auto"/>
          </w:tcPr>
          <w:p w:rsidR="00CC4481" w:rsidRPr="008264B6" w:rsidRDefault="00383A00" w:rsidP="005C578B">
            <w:pPr>
              <w:jc w:val="center"/>
              <w:rPr>
                <w:color w:val="000000"/>
                <w:sz w:val="18"/>
              </w:rPr>
            </w:pPr>
            <w:r w:rsidRPr="008264B6">
              <w:rPr>
                <w:color w:val="000000"/>
                <w:sz w:val="18"/>
              </w:rPr>
              <w:t>3.5</w:t>
            </w:r>
          </w:p>
        </w:tc>
        <w:tc>
          <w:tcPr>
            <w:tcW w:w="0" w:type="auto"/>
          </w:tcPr>
          <w:p w:rsidR="00CC4481" w:rsidRPr="008264B6" w:rsidRDefault="00383A00" w:rsidP="005C578B">
            <w:pPr>
              <w:jc w:val="center"/>
              <w:rPr>
                <w:color w:val="000000"/>
                <w:sz w:val="18"/>
              </w:rPr>
            </w:pPr>
            <w:r w:rsidRPr="008264B6">
              <w:rPr>
                <w:color w:val="000000"/>
                <w:sz w:val="18"/>
              </w:rPr>
              <w:t>0.48</w:t>
            </w:r>
          </w:p>
        </w:tc>
      </w:tr>
      <w:tr w:rsidR="008264B6" w:rsidTr="00E8264D">
        <w:trPr>
          <w:trHeight w:val="20"/>
        </w:trPr>
        <w:tc>
          <w:tcPr>
            <w:tcW w:w="0" w:type="auto"/>
            <w:shd w:val="clear" w:color="auto" w:fill="auto"/>
            <w:vAlign w:val="center"/>
          </w:tcPr>
          <w:p w:rsidR="00CC4481" w:rsidRPr="008264B6" w:rsidRDefault="008F710A" w:rsidP="005C578B">
            <w:pPr>
              <w:jc w:val="center"/>
              <w:rPr>
                <w:color w:val="000000"/>
                <w:sz w:val="18"/>
              </w:rPr>
            </w:pPr>
            <w:r w:rsidRPr="008264B6">
              <w:rPr>
                <w:color w:val="000000"/>
                <w:sz w:val="18"/>
              </w:rPr>
              <w:t>2.i-4</w:t>
            </w:r>
          </w:p>
        </w:tc>
        <w:tc>
          <w:tcPr>
            <w:tcW w:w="0" w:type="auto"/>
            <w:shd w:val="clear" w:color="auto" w:fill="auto"/>
            <w:vAlign w:val="center"/>
          </w:tcPr>
          <w:p w:rsidR="00CC4481" w:rsidRPr="008264B6" w:rsidRDefault="008F710A" w:rsidP="005C578B">
            <w:pPr>
              <w:jc w:val="center"/>
              <w:rPr>
                <w:color w:val="000000"/>
                <w:sz w:val="18"/>
              </w:rPr>
            </w:pPr>
            <w:r w:rsidRPr="008264B6">
              <w:rPr>
                <w:color w:val="000000"/>
                <w:sz w:val="18"/>
              </w:rPr>
              <w:t>112.2</w:t>
            </w:r>
          </w:p>
        </w:tc>
        <w:tc>
          <w:tcPr>
            <w:tcW w:w="0" w:type="auto"/>
            <w:shd w:val="clear" w:color="auto" w:fill="auto"/>
            <w:vAlign w:val="center"/>
          </w:tcPr>
          <w:p w:rsidR="00CC4481" w:rsidRPr="008264B6" w:rsidRDefault="008F710A" w:rsidP="005C578B">
            <w:pPr>
              <w:jc w:val="center"/>
              <w:rPr>
                <w:color w:val="000000"/>
                <w:sz w:val="18"/>
              </w:rPr>
            </w:pPr>
            <w:r w:rsidRPr="008264B6">
              <w:rPr>
                <w:color w:val="000000"/>
                <w:sz w:val="18"/>
              </w:rPr>
              <w:t>7.1</w:t>
            </w:r>
          </w:p>
        </w:tc>
        <w:tc>
          <w:tcPr>
            <w:tcW w:w="0" w:type="auto"/>
            <w:shd w:val="clear" w:color="auto" w:fill="auto"/>
            <w:vAlign w:val="center"/>
          </w:tcPr>
          <w:p w:rsidR="00CC4481" w:rsidRPr="008264B6" w:rsidRDefault="008F710A" w:rsidP="005C578B">
            <w:pPr>
              <w:jc w:val="center"/>
              <w:rPr>
                <w:color w:val="000000"/>
                <w:sz w:val="18"/>
              </w:rPr>
            </w:pPr>
            <w:r w:rsidRPr="008264B6">
              <w:rPr>
                <w:color w:val="000000"/>
                <w:sz w:val="18"/>
              </w:rPr>
              <w:t>-23.2</w:t>
            </w:r>
          </w:p>
        </w:tc>
        <w:tc>
          <w:tcPr>
            <w:tcW w:w="0" w:type="auto"/>
          </w:tcPr>
          <w:p w:rsidR="00CC4481" w:rsidRPr="008264B6" w:rsidRDefault="00CC4481" w:rsidP="005C578B">
            <w:pPr>
              <w:jc w:val="center"/>
              <w:rPr>
                <w:color w:val="000000"/>
                <w:sz w:val="18"/>
              </w:rPr>
            </w:pPr>
          </w:p>
        </w:tc>
        <w:tc>
          <w:tcPr>
            <w:tcW w:w="0" w:type="auto"/>
            <w:shd w:val="clear" w:color="auto" w:fill="auto"/>
            <w:vAlign w:val="center"/>
          </w:tcPr>
          <w:p w:rsidR="00CC4481" w:rsidRPr="008264B6" w:rsidRDefault="008F710A" w:rsidP="005C578B">
            <w:pPr>
              <w:jc w:val="center"/>
              <w:rPr>
                <w:color w:val="000000"/>
                <w:sz w:val="18"/>
              </w:rPr>
            </w:pPr>
            <w:r w:rsidRPr="008264B6">
              <w:rPr>
                <w:color w:val="000000"/>
                <w:sz w:val="18"/>
              </w:rPr>
              <w:t>16.1</w:t>
            </w:r>
          </w:p>
        </w:tc>
        <w:tc>
          <w:tcPr>
            <w:tcW w:w="0" w:type="auto"/>
            <w:shd w:val="clear" w:color="auto" w:fill="auto"/>
            <w:vAlign w:val="center"/>
          </w:tcPr>
          <w:p w:rsidR="00CC4481" w:rsidRPr="008264B6" w:rsidRDefault="00CC4481" w:rsidP="005C578B">
            <w:pPr>
              <w:jc w:val="center"/>
              <w:rPr>
                <w:color w:val="000000"/>
                <w:sz w:val="18"/>
              </w:rPr>
            </w:pPr>
          </w:p>
        </w:tc>
        <w:tc>
          <w:tcPr>
            <w:tcW w:w="0" w:type="auto"/>
            <w:shd w:val="clear" w:color="auto" w:fill="auto"/>
            <w:vAlign w:val="center"/>
          </w:tcPr>
          <w:p w:rsidR="00CC4481" w:rsidRPr="008264B6" w:rsidRDefault="008F710A" w:rsidP="005C578B">
            <w:pPr>
              <w:jc w:val="center"/>
              <w:rPr>
                <w:color w:val="000000"/>
                <w:sz w:val="18"/>
              </w:rPr>
            </w:pPr>
            <w:r w:rsidRPr="008264B6">
              <w:rPr>
                <w:color w:val="000000"/>
                <w:sz w:val="18"/>
              </w:rPr>
              <w:t>21.3</w:t>
            </w:r>
          </w:p>
        </w:tc>
        <w:tc>
          <w:tcPr>
            <w:tcW w:w="0" w:type="auto"/>
            <w:shd w:val="clear" w:color="auto" w:fill="auto"/>
            <w:vAlign w:val="center"/>
          </w:tcPr>
          <w:p w:rsidR="00CC4481" w:rsidRPr="008264B6" w:rsidRDefault="008F710A" w:rsidP="005C578B">
            <w:pPr>
              <w:jc w:val="center"/>
              <w:rPr>
                <w:color w:val="000000"/>
                <w:sz w:val="18"/>
              </w:rPr>
            </w:pPr>
            <w:r w:rsidRPr="008264B6">
              <w:rPr>
                <w:color w:val="000000"/>
                <w:sz w:val="18"/>
              </w:rPr>
              <w:t>7.9</w:t>
            </w:r>
          </w:p>
        </w:tc>
        <w:tc>
          <w:tcPr>
            <w:tcW w:w="0" w:type="auto"/>
            <w:shd w:val="clear" w:color="auto" w:fill="auto"/>
            <w:vAlign w:val="center"/>
          </w:tcPr>
          <w:p w:rsidR="00CC4481" w:rsidRPr="008264B6" w:rsidRDefault="008F710A" w:rsidP="005C578B">
            <w:pPr>
              <w:jc w:val="center"/>
              <w:rPr>
                <w:color w:val="000000"/>
                <w:sz w:val="18"/>
              </w:rPr>
            </w:pPr>
            <w:r w:rsidRPr="008264B6">
              <w:rPr>
                <w:color w:val="000000"/>
                <w:sz w:val="18"/>
              </w:rPr>
              <w:t>9.7</w:t>
            </w:r>
          </w:p>
        </w:tc>
        <w:tc>
          <w:tcPr>
            <w:tcW w:w="0" w:type="auto"/>
          </w:tcPr>
          <w:p w:rsidR="00CC4481" w:rsidRPr="008264B6" w:rsidRDefault="008F710A" w:rsidP="005C578B">
            <w:pPr>
              <w:jc w:val="center"/>
              <w:rPr>
                <w:color w:val="000000"/>
                <w:sz w:val="18"/>
              </w:rPr>
            </w:pPr>
            <w:r w:rsidRPr="008264B6">
              <w:rPr>
                <w:color w:val="000000"/>
                <w:sz w:val="18"/>
              </w:rPr>
              <w:t>73.2</w:t>
            </w:r>
          </w:p>
        </w:tc>
        <w:tc>
          <w:tcPr>
            <w:tcW w:w="0" w:type="auto"/>
          </w:tcPr>
          <w:p w:rsidR="00CC4481" w:rsidRPr="008264B6" w:rsidRDefault="005665FE" w:rsidP="005C578B">
            <w:pPr>
              <w:jc w:val="center"/>
              <w:rPr>
                <w:color w:val="000000"/>
                <w:sz w:val="18"/>
              </w:rPr>
            </w:pPr>
            <w:r w:rsidRPr="008264B6">
              <w:rPr>
                <w:color w:val="000000"/>
                <w:sz w:val="18"/>
              </w:rPr>
              <w:t>4.4</w:t>
            </w:r>
          </w:p>
        </w:tc>
        <w:tc>
          <w:tcPr>
            <w:tcW w:w="0" w:type="auto"/>
          </w:tcPr>
          <w:p w:rsidR="00CC4481" w:rsidRPr="008264B6" w:rsidRDefault="005665FE" w:rsidP="005C578B">
            <w:pPr>
              <w:jc w:val="center"/>
              <w:rPr>
                <w:color w:val="000000"/>
                <w:sz w:val="18"/>
              </w:rPr>
            </w:pPr>
            <w:r w:rsidRPr="008264B6">
              <w:rPr>
                <w:color w:val="000000"/>
                <w:sz w:val="18"/>
              </w:rPr>
              <w:t>3.7</w:t>
            </w:r>
          </w:p>
        </w:tc>
        <w:tc>
          <w:tcPr>
            <w:tcW w:w="0" w:type="auto"/>
          </w:tcPr>
          <w:p w:rsidR="00CC4481" w:rsidRPr="008264B6" w:rsidRDefault="005665FE" w:rsidP="005C578B">
            <w:pPr>
              <w:jc w:val="center"/>
              <w:rPr>
                <w:color w:val="000000"/>
                <w:sz w:val="18"/>
              </w:rPr>
            </w:pPr>
            <w:r w:rsidRPr="008264B6">
              <w:rPr>
                <w:color w:val="000000"/>
                <w:sz w:val="18"/>
              </w:rPr>
              <w:t>0.44</w:t>
            </w:r>
          </w:p>
        </w:tc>
      </w:tr>
      <w:tr w:rsidR="008264B6" w:rsidTr="00E8264D">
        <w:trPr>
          <w:trHeight w:val="20"/>
        </w:trPr>
        <w:tc>
          <w:tcPr>
            <w:tcW w:w="0" w:type="auto"/>
            <w:shd w:val="clear" w:color="auto" w:fill="auto"/>
            <w:vAlign w:val="center"/>
          </w:tcPr>
          <w:p w:rsidR="005665FE" w:rsidRPr="008264B6" w:rsidRDefault="005665FE" w:rsidP="005C578B">
            <w:pPr>
              <w:jc w:val="center"/>
              <w:rPr>
                <w:color w:val="000000"/>
                <w:sz w:val="18"/>
              </w:rPr>
            </w:pPr>
            <w:r w:rsidRPr="008264B6">
              <w:rPr>
                <w:color w:val="000000"/>
                <w:sz w:val="18"/>
              </w:rPr>
              <w:t>2.ii-4</w:t>
            </w:r>
          </w:p>
        </w:tc>
        <w:tc>
          <w:tcPr>
            <w:tcW w:w="0" w:type="auto"/>
            <w:shd w:val="clear" w:color="auto" w:fill="auto"/>
            <w:vAlign w:val="center"/>
          </w:tcPr>
          <w:p w:rsidR="005665FE" w:rsidRPr="008264B6" w:rsidRDefault="005665FE" w:rsidP="00280F47">
            <w:pPr>
              <w:jc w:val="center"/>
              <w:rPr>
                <w:color w:val="000000"/>
                <w:sz w:val="18"/>
              </w:rPr>
            </w:pPr>
            <w:r w:rsidRPr="008264B6">
              <w:rPr>
                <w:color w:val="000000"/>
                <w:sz w:val="18"/>
              </w:rPr>
              <w:t>112.2</w:t>
            </w:r>
          </w:p>
        </w:tc>
        <w:tc>
          <w:tcPr>
            <w:tcW w:w="0" w:type="auto"/>
            <w:shd w:val="clear" w:color="auto" w:fill="auto"/>
            <w:vAlign w:val="center"/>
          </w:tcPr>
          <w:p w:rsidR="005665FE" w:rsidRPr="008264B6" w:rsidRDefault="005665FE" w:rsidP="00280F47">
            <w:pPr>
              <w:jc w:val="center"/>
              <w:rPr>
                <w:color w:val="000000"/>
                <w:sz w:val="18"/>
              </w:rPr>
            </w:pPr>
            <w:r w:rsidRPr="008264B6">
              <w:rPr>
                <w:color w:val="000000"/>
                <w:sz w:val="18"/>
              </w:rPr>
              <w:t>7.1</w:t>
            </w:r>
          </w:p>
        </w:tc>
        <w:tc>
          <w:tcPr>
            <w:tcW w:w="0" w:type="auto"/>
            <w:shd w:val="clear" w:color="auto" w:fill="auto"/>
            <w:vAlign w:val="center"/>
          </w:tcPr>
          <w:p w:rsidR="005665FE" w:rsidRPr="008264B6" w:rsidRDefault="005665FE" w:rsidP="00280F47">
            <w:pPr>
              <w:jc w:val="center"/>
              <w:rPr>
                <w:color w:val="000000"/>
                <w:sz w:val="18"/>
              </w:rPr>
            </w:pPr>
            <w:r w:rsidRPr="008264B6">
              <w:rPr>
                <w:color w:val="000000"/>
                <w:sz w:val="18"/>
              </w:rPr>
              <w:t>-23.2</w:t>
            </w:r>
          </w:p>
        </w:tc>
        <w:tc>
          <w:tcPr>
            <w:tcW w:w="0" w:type="auto"/>
          </w:tcPr>
          <w:p w:rsidR="005665FE" w:rsidRPr="008264B6" w:rsidRDefault="005665FE" w:rsidP="00280F47">
            <w:pPr>
              <w:jc w:val="center"/>
              <w:rPr>
                <w:color w:val="000000"/>
                <w:sz w:val="18"/>
              </w:rPr>
            </w:pPr>
          </w:p>
        </w:tc>
        <w:tc>
          <w:tcPr>
            <w:tcW w:w="0" w:type="auto"/>
            <w:shd w:val="clear" w:color="auto" w:fill="auto"/>
            <w:vAlign w:val="center"/>
          </w:tcPr>
          <w:p w:rsidR="005665FE" w:rsidRPr="008264B6" w:rsidRDefault="005665FE" w:rsidP="00280F47">
            <w:pPr>
              <w:jc w:val="center"/>
              <w:rPr>
                <w:color w:val="000000"/>
                <w:sz w:val="18"/>
              </w:rPr>
            </w:pPr>
            <w:r w:rsidRPr="008264B6">
              <w:rPr>
                <w:color w:val="000000"/>
                <w:sz w:val="18"/>
              </w:rPr>
              <w:t>16.1</w:t>
            </w:r>
          </w:p>
        </w:tc>
        <w:tc>
          <w:tcPr>
            <w:tcW w:w="0" w:type="auto"/>
            <w:shd w:val="clear" w:color="auto" w:fill="auto"/>
            <w:vAlign w:val="center"/>
          </w:tcPr>
          <w:p w:rsidR="005665FE" w:rsidRPr="008264B6" w:rsidRDefault="005665FE" w:rsidP="00280F47">
            <w:pPr>
              <w:jc w:val="center"/>
              <w:rPr>
                <w:color w:val="000000"/>
                <w:sz w:val="18"/>
              </w:rPr>
            </w:pPr>
          </w:p>
        </w:tc>
        <w:tc>
          <w:tcPr>
            <w:tcW w:w="0" w:type="auto"/>
            <w:shd w:val="clear" w:color="auto" w:fill="auto"/>
            <w:vAlign w:val="center"/>
          </w:tcPr>
          <w:p w:rsidR="005665FE" w:rsidRPr="008264B6" w:rsidRDefault="005665FE" w:rsidP="00280F47">
            <w:pPr>
              <w:jc w:val="center"/>
              <w:rPr>
                <w:color w:val="000000"/>
                <w:sz w:val="18"/>
              </w:rPr>
            </w:pPr>
            <w:r w:rsidRPr="008264B6">
              <w:rPr>
                <w:color w:val="000000"/>
                <w:sz w:val="18"/>
              </w:rPr>
              <w:t>21.3</w:t>
            </w:r>
          </w:p>
        </w:tc>
        <w:tc>
          <w:tcPr>
            <w:tcW w:w="0" w:type="auto"/>
            <w:shd w:val="clear" w:color="auto" w:fill="auto"/>
            <w:vAlign w:val="center"/>
          </w:tcPr>
          <w:p w:rsidR="005665FE" w:rsidRPr="008264B6" w:rsidRDefault="005665FE" w:rsidP="00280F47">
            <w:pPr>
              <w:jc w:val="center"/>
              <w:rPr>
                <w:color w:val="000000"/>
                <w:sz w:val="18"/>
              </w:rPr>
            </w:pPr>
            <w:r w:rsidRPr="008264B6">
              <w:rPr>
                <w:color w:val="000000"/>
                <w:sz w:val="18"/>
              </w:rPr>
              <w:t>7.9</w:t>
            </w:r>
          </w:p>
        </w:tc>
        <w:tc>
          <w:tcPr>
            <w:tcW w:w="0" w:type="auto"/>
            <w:shd w:val="clear" w:color="auto" w:fill="auto"/>
            <w:vAlign w:val="center"/>
          </w:tcPr>
          <w:p w:rsidR="005665FE" w:rsidRPr="008264B6" w:rsidRDefault="005665FE" w:rsidP="00280F47">
            <w:pPr>
              <w:jc w:val="center"/>
              <w:rPr>
                <w:color w:val="000000"/>
                <w:sz w:val="18"/>
              </w:rPr>
            </w:pPr>
            <w:r w:rsidRPr="008264B6">
              <w:rPr>
                <w:color w:val="000000"/>
                <w:sz w:val="18"/>
              </w:rPr>
              <w:t>9.7</w:t>
            </w:r>
          </w:p>
        </w:tc>
        <w:tc>
          <w:tcPr>
            <w:tcW w:w="0" w:type="auto"/>
          </w:tcPr>
          <w:p w:rsidR="005665FE" w:rsidRPr="008264B6" w:rsidRDefault="005665FE" w:rsidP="00280F47">
            <w:pPr>
              <w:jc w:val="center"/>
              <w:rPr>
                <w:color w:val="000000"/>
                <w:sz w:val="18"/>
              </w:rPr>
            </w:pPr>
            <w:r w:rsidRPr="008264B6">
              <w:rPr>
                <w:color w:val="000000"/>
                <w:sz w:val="18"/>
              </w:rPr>
              <w:t>73.2</w:t>
            </w:r>
          </w:p>
        </w:tc>
        <w:tc>
          <w:tcPr>
            <w:tcW w:w="0" w:type="auto"/>
          </w:tcPr>
          <w:p w:rsidR="005665FE" w:rsidRPr="008264B6" w:rsidRDefault="005665FE" w:rsidP="005C578B">
            <w:pPr>
              <w:jc w:val="center"/>
              <w:rPr>
                <w:color w:val="000000"/>
                <w:sz w:val="18"/>
              </w:rPr>
            </w:pPr>
            <w:r w:rsidRPr="008264B6">
              <w:rPr>
                <w:color w:val="000000"/>
                <w:sz w:val="18"/>
              </w:rPr>
              <w:t>4.4</w:t>
            </w:r>
          </w:p>
        </w:tc>
        <w:tc>
          <w:tcPr>
            <w:tcW w:w="0" w:type="auto"/>
          </w:tcPr>
          <w:p w:rsidR="005665FE" w:rsidRPr="008264B6" w:rsidRDefault="005665FE" w:rsidP="005C578B">
            <w:pPr>
              <w:jc w:val="center"/>
              <w:rPr>
                <w:color w:val="000000"/>
                <w:sz w:val="18"/>
              </w:rPr>
            </w:pPr>
            <w:r w:rsidRPr="008264B6">
              <w:rPr>
                <w:color w:val="000000"/>
                <w:sz w:val="18"/>
              </w:rPr>
              <w:t>3.7</w:t>
            </w:r>
          </w:p>
        </w:tc>
        <w:tc>
          <w:tcPr>
            <w:tcW w:w="0" w:type="auto"/>
          </w:tcPr>
          <w:p w:rsidR="005665FE" w:rsidRPr="008264B6" w:rsidRDefault="005665FE" w:rsidP="005C578B">
            <w:pPr>
              <w:jc w:val="center"/>
              <w:rPr>
                <w:color w:val="000000"/>
                <w:sz w:val="18"/>
              </w:rPr>
            </w:pPr>
            <w:r w:rsidRPr="008264B6">
              <w:rPr>
                <w:color w:val="000000"/>
                <w:sz w:val="18"/>
              </w:rPr>
              <w:t>0.44</w:t>
            </w:r>
          </w:p>
        </w:tc>
      </w:tr>
    </w:tbl>
    <w:p w:rsidR="00683089" w:rsidRPr="00170235" w:rsidRDefault="00170235" w:rsidP="00170235">
      <w:pPr>
        <w:jc w:val="both"/>
        <w:rPr>
          <w:color w:val="000000" w:themeColor="text1"/>
          <w:sz w:val="20"/>
          <w:szCs w:val="20"/>
        </w:rPr>
      </w:pPr>
      <w:r w:rsidRPr="00170235">
        <w:rPr>
          <w:color w:val="000000" w:themeColor="text1"/>
          <w:sz w:val="20"/>
          <w:szCs w:val="20"/>
        </w:rPr>
        <w:t>TBA: Trawl survey abundance</w:t>
      </w:r>
    </w:p>
    <w:p w:rsidR="00170235" w:rsidRPr="00170235" w:rsidRDefault="00170235" w:rsidP="00170235">
      <w:pPr>
        <w:jc w:val="both"/>
        <w:rPr>
          <w:color w:val="000000" w:themeColor="text1"/>
          <w:sz w:val="20"/>
          <w:szCs w:val="20"/>
        </w:rPr>
      </w:pPr>
      <w:r w:rsidRPr="00170235">
        <w:rPr>
          <w:color w:val="000000" w:themeColor="text1"/>
          <w:sz w:val="20"/>
          <w:szCs w:val="20"/>
        </w:rPr>
        <w:t>CCPUE:  Commercial catch CPUE</w:t>
      </w:r>
    </w:p>
    <w:p w:rsidR="00170235" w:rsidRPr="00170235" w:rsidRDefault="00170235" w:rsidP="00170235">
      <w:pPr>
        <w:jc w:val="both"/>
        <w:rPr>
          <w:color w:val="000000" w:themeColor="text1"/>
          <w:sz w:val="20"/>
          <w:szCs w:val="20"/>
        </w:rPr>
      </w:pPr>
      <w:r w:rsidRPr="00170235">
        <w:rPr>
          <w:color w:val="000000" w:themeColor="text1"/>
          <w:sz w:val="20"/>
          <w:szCs w:val="20"/>
        </w:rPr>
        <w:t>WCPUE:  Winter survey CPUE</w:t>
      </w:r>
    </w:p>
    <w:p w:rsidR="00170235" w:rsidRPr="00170235" w:rsidRDefault="00170235" w:rsidP="00170235">
      <w:pPr>
        <w:jc w:val="both"/>
        <w:rPr>
          <w:color w:val="000000" w:themeColor="text1"/>
          <w:sz w:val="20"/>
          <w:szCs w:val="20"/>
        </w:rPr>
      </w:pPr>
      <w:r w:rsidRPr="00170235">
        <w:rPr>
          <w:color w:val="000000" w:themeColor="text1"/>
          <w:sz w:val="20"/>
          <w:szCs w:val="20"/>
        </w:rPr>
        <w:t>TLP:  Trawl survey length composition</w:t>
      </w:r>
    </w:p>
    <w:p w:rsidR="00170235" w:rsidRPr="00170235" w:rsidRDefault="00170235" w:rsidP="00170235">
      <w:pPr>
        <w:jc w:val="both"/>
        <w:rPr>
          <w:color w:val="000000" w:themeColor="text1"/>
          <w:sz w:val="20"/>
          <w:szCs w:val="20"/>
        </w:rPr>
      </w:pPr>
      <w:r w:rsidRPr="00170235">
        <w:rPr>
          <w:color w:val="000000" w:themeColor="text1"/>
          <w:sz w:val="20"/>
          <w:szCs w:val="20"/>
        </w:rPr>
        <w:t>WLP:  Winter pot survey length composition</w:t>
      </w:r>
    </w:p>
    <w:p w:rsidR="00170235" w:rsidRPr="00170235" w:rsidRDefault="00170235" w:rsidP="00170235">
      <w:pPr>
        <w:jc w:val="both"/>
        <w:rPr>
          <w:color w:val="000000" w:themeColor="text1"/>
          <w:sz w:val="20"/>
          <w:szCs w:val="20"/>
        </w:rPr>
      </w:pPr>
      <w:r w:rsidRPr="00170235">
        <w:rPr>
          <w:color w:val="000000" w:themeColor="text1"/>
          <w:sz w:val="20"/>
          <w:szCs w:val="20"/>
        </w:rPr>
        <w:t xml:space="preserve">CLP:  Summer commercial </w:t>
      </w:r>
      <w:r w:rsidR="003F7D44">
        <w:rPr>
          <w:color w:val="000000" w:themeColor="text1"/>
          <w:sz w:val="20"/>
          <w:szCs w:val="20"/>
        </w:rPr>
        <w:t>c</w:t>
      </w:r>
      <w:r w:rsidRPr="00170235">
        <w:rPr>
          <w:color w:val="000000" w:themeColor="text1"/>
          <w:sz w:val="20"/>
          <w:szCs w:val="20"/>
        </w:rPr>
        <w:t>atch length composition</w:t>
      </w:r>
    </w:p>
    <w:p w:rsidR="00170235" w:rsidRPr="00170235" w:rsidRDefault="00170235" w:rsidP="00170235">
      <w:pPr>
        <w:jc w:val="both"/>
        <w:rPr>
          <w:color w:val="000000" w:themeColor="text1"/>
          <w:sz w:val="20"/>
          <w:szCs w:val="20"/>
        </w:rPr>
      </w:pPr>
      <w:r w:rsidRPr="00170235">
        <w:rPr>
          <w:color w:val="000000" w:themeColor="text1"/>
          <w:sz w:val="20"/>
          <w:szCs w:val="20"/>
        </w:rPr>
        <w:t>REC:  Recruitment</w:t>
      </w:r>
      <w:r w:rsidR="003F7D44">
        <w:rPr>
          <w:color w:val="000000" w:themeColor="text1"/>
          <w:sz w:val="20"/>
          <w:szCs w:val="20"/>
        </w:rPr>
        <w:t xml:space="preserve"> deviation penalty</w:t>
      </w:r>
      <w:r w:rsidRPr="00170235">
        <w:rPr>
          <w:color w:val="000000" w:themeColor="text1"/>
          <w:sz w:val="20"/>
          <w:szCs w:val="20"/>
        </w:rPr>
        <w:t xml:space="preserve"> </w:t>
      </w:r>
    </w:p>
    <w:p w:rsidR="00170235" w:rsidRPr="00170235" w:rsidRDefault="00170235" w:rsidP="00170235">
      <w:pPr>
        <w:jc w:val="both"/>
        <w:rPr>
          <w:color w:val="000000" w:themeColor="text1"/>
          <w:sz w:val="20"/>
          <w:szCs w:val="20"/>
        </w:rPr>
      </w:pPr>
      <w:r w:rsidRPr="00170235">
        <w:rPr>
          <w:color w:val="000000" w:themeColor="text1"/>
          <w:sz w:val="20"/>
          <w:szCs w:val="20"/>
        </w:rPr>
        <w:t xml:space="preserve">OBS:  Summer </w:t>
      </w:r>
      <w:r w:rsidR="003F7D44">
        <w:rPr>
          <w:color w:val="000000" w:themeColor="text1"/>
          <w:sz w:val="20"/>
          <w:szCs w:val="20"/>
        </w:rPr>
        <w:t>c</w:t>
      </w:r>
      <w:r w:rsidRPr="00170235">
        <w:rPr>
          <w:color w:val="000000" w:themeColor="text1"/>
          <w:sz w:val="20"/>
          <w:szCs w:val="20"/>
        </w:rPr>
        <w:t xml:space="preserve">ommercial catch </w:t>
      </w:r>
      <w:r w:rsidR="003F7D44">
        <w:rPr>
          <w:color w:val="000000" w:themeColor="text1"/>
          <w:sz w:val="20"/>
          <w:szCs w:val="20"/>
        </w:rPr>
        <w:t>o</w:t>
      </w:r>
      <w:r w:rsidRPr="00170235">
        <w:rPr>
          <w:color w:val="000000" w:themeColor="text1"/>
          <w:sz w:val="20"/>
          <w:szCs w:val="20"/>
        </w:rPr>
        <w:t>bserver discard length composition</w:t>
      </w:r>
    </w:p>
    <w:p w:rsidR="00170235" w:rsidRPr="00170235" w:rsidRDefault="00170235" w:rsidP="00170235">
      <w:pPr>
        <w:jc w:val="both"/>
        <w:rPr>
          <w:color w:val="000000" w:themeColor="text1"/>
          <w:sz w:val="20"/>
          <w:szCs w:val="20"/>
        </w:rPr>
      </w:pPr>
      <w:r w:rsidRPr="00170235">
        <w:rPr>
          <w:color w:val="000000" w:themeColor="text1"/>
          <w:sz w:val="20"/>
          <w:szCs w:val="20"/>
        </w:rPr>
        <w:t xml:space="preserve">TAG: Tag recovery data composition </w:t>
      </w:r>
    </w:p>
    <w:p w:rsidR="00231717" w:rsidRPr="00107EF7" w:rsidRDefault="00231717" w:rsidP="006B747D">
      <w:pPr>
        <w:spacing w:after="120"/>
        <w:jc w:val="both"/>
        <w:rPr>
          <w:color w:val="000000" w:themeColor="text1"/>
        </w:rPr>
      </w:pPr>
    </w:p>
    <w:p w:rsidR="007958FF" w:rsidRPr="005C2DFD" w:rsidRDefault="007958FF" w:rsidP="00657A3A">
      <w:pPr>
        <w:pStyle w:val="ListParagraph"/>
        <w:numPr>
          <w:ilvl w:val="0"/>
          <w:numId w:val="10"/>
        </w:numPr>
        <w:spacing w:after="120"/>
        <w:ind w:left="360"/>
        <w:contextualSpacing w:val="0"/>
        <w:jc w:val="both"/>
        <w:rPr>
          <w:color w:val="FF0000"/>
        </w:rPr>
      </w:pPr>
      <w:r>
        <w:t>Search for balance:</w:t>
      </w:r>
    </w:p>
    <w:p w:rsidR="005C2DFD" w:rsidRPr="00280F47" w:rsidRDefault="00C33BE8" w:rsidP="005C2DFD">
      <w:pPr>
        <w:pStyle w:val="ListParagraph"/>
        <w:spacing w:after="120"/>
        <w:ind w:left="360"/>
        <w:contextualSpacing w:val="0"/>
        <w:jc w:val="both"/>
        <w:rPr>
          <w:color w:val="FF0000"/>
        </w:rPr>
      </w:pPr>
      <w:r>
        <w:t>Summary of results from fitting alternative models:</w:t>
      </w:r>
    </w:p>
    <w:p w:rsidR="00181C09" w:rsidRDefault="00C33BE8" w:rsidP="00181C09">
      <w:pPr>
        <w:pStyle w:val="ListParagraph"/>
        <w:spacing w:after="120"/>
        <w:ind w:left="360"/>
        <w:jc w:val="both"/>
      </w:pPr>
      <w:r>
        <w:t>T</w:t>
      </w:r>
      <w:r w:rsidR="00C379DF">
        <w:t>here was no</w:t>
      </w:r>
      <w:r>
        <w:t xml:space="preserve"> change</w:t>
      </w:r>
      <w:r w:rsidR="00280F47" w:rsidRPr="005C2DFD">
        <w:t xml:space="preserve"> </w:t>
      </w:r>
      <w:r w:rsidR="00181C09">
        <w:t>in log-likelihood between combining and</w:t>
      </w:r>
      <w:r w:rsidR="00280F47" w:rsidRPr="005C2DFD">
        <w:t xml:space="preserve"> separating </w:t>
      </w:r>
      <w:r w:rsidR="005C2DFD">
        <w:t xml:space="preserve">NMFS and ADF&amp;G </w:t>
      </w:r>
      <w:r w:rsidR="00280F47" w:rsidRPr="005C2DFD">
        <w:t>trawl survey selectivity</w:t>
      </w:r>
      <w:r w:rsidR="00581F43">
        <w:t>.</w:t>
      </w:r>
    </w:p>
    <w:p w:rsidR="00181C09" w:rsidRPr="005C2DFD" w:rsidRDefault="00581F43" w:rsidP="00181C09">
      <w:pPr>
        <w:pStyle w:val="ListParagraph"/>
        <w:spacing w:after="120"/>
        <w:ind w:left="360"/>
        <w:jc w:val="both"/>
      </w:pPr>
      <w:r>
        <w:t xml:space="preserve"> </w:t>
      </w:r>
    </w:p>
    <w:p w:rsidR="002F5464" w:rsidRDefault="005C2DFD" w:rsidP="008264B6">
      <w:pPr>
        <w:pStyle w:val="ListParagraph"/>
        <w:spacing w:after="120"/>
        <w:ind w:left="360"/>
        <w:jc w:val="both"/>
      </w:pPr>
      <w:r>
        <w:lastRenderedPageBreak/>
        <w:t xml:space="preserve">Including tag recovery data </w:t>
      </w:r>
      <w:r w:rsidR="00C33BE8">
        <w:t>resulted in a</w:t>
      </w:r>
      <w:r>
        <w:t xml:space="preserve"> </w:t>
      </w:r>
      <w:r w:rsidR="00A44BED">
        <w:t xml:space="preserve">an estimated </w:t>
      </w:r>
      <w:r>
        <w:t>molting probability</w:t>
      </w:r>
      <w:r w:rsidR="00A44BED">
        <w:t xml:space="preserve"> of</w:t>
      </w:r>
      <w:r>
        <w:t xml:space="preserve"> </w:t>
      </w:r>
      <w:r w:rsidR="00280F47" w:rsidRPr="005C2DFD">
        <w:t>0.999</w:t>
      </w:r>
      <w:r w:rsidR="002F5464">
        <w:t xml:space="preserve"> when </w:t>
      </w:r>
      <w:proofErr w:type="spellStart"/>
      <w:r w:rsidR="00C33BE8">
        <w:t>newshell</w:t>
      </w:r>
      <w:proofErr w:type="spellEnd"/>
      <w:r w:rsidR="00C33BE8">
        <w:t xml:space="preserve"> and </w:t>
      </w:r>
      <w:proofErr w:type="spellStart"/>
      <w:r w:rsidR="00C33BE8">
        <w:t>oldshell</w:t>
      </w:r>
      <w:proofErr w:type="spellEnd"/>
      <w:r w:rsidR="00C33BE8">
        <w:t xml:space="preserve"> were combined in the </w:t>
      </w:r>
      <w:r w:rsidR="002F5464">
        <w:t>likelihood</w:t>
      </w:r>
      <w:r w:rsidR="00581F43">
        <w:t xml:space="preserve">. </w:t>
      </w:r>
      <w:r w:rsidR="00C33BE8">
        <w:t>However, when</w:t>
      </w:r>
      <w:r w:rsidR="002F5464">
        <w:t xml:space="preserve"> </w:t>
      </w:r>
      <w:proofErr w:type="spellStart"/>
      <w:r w:rsidR="00C33BE8">
        <w:t>oldshell</w:t>
      </w:r>
      <w:proofErr w:type="spellEnd"/>
      <w:r w:rsidR="00C33BE8">
        <w:t xml:space="preserve"> and </w:t>
      </w:r>
      <w:proofErr w:type="spellStart"/>
      <w:r w:rsidR="00C33BE8">
        <w:t>newshell</w:t>
      </w:r>
      <w:proofErr w:type="spellEnd"/>
      <w:r w:rsidR="00C33BE8">
        <w:t xml:space="preserve"> were</w:t>
      </w:r>
      <w:r w:rsidR="002F5464">
        <w:t xml:space="preserve"> separated</w:t>
      </w:r>
      <w:r w:rsidR="00C33BE8">
        <w:t xml:space="preserve"> in the likelihood</w:t>
      </w:r>
      <w:r w:rsidR="002F5464">
        <w:t xml:space="preserve"> molting probability was estimable</w:t>
      </w:r>
      <w:r w:rsidR="00181C09">
        <w:t xml:space="preserve"> (Table 11)</w:t>
      </w:r>
      <w:r w:rsidR="002F5464">
        <w:t xml:space="preserve">. </w:t>
      </w:r>
    </w:p>
    <w:p w:rsidR="00181C09" w:rsidRDefault="00181C09" w:rsidP="008264B6">
      <w:pPr>
        <w:pStyle w:val="ListParagraph"/>
        <w:spacing w:after="120"/>
        <w:ind w:left="360"/>
        <w:jc w:val="both"/>
      </w:pPr>
    </w:p>
    <w:p w:rsidR="002F5464" w:rsidRPr="005C2DFD" w:rsidRDefault="002F5464" w:rsidP="008264B6">
      <w:pPr>
        <w:pStyle w:val="ListParagraph"/>
        <w:spacing w:after="120"/>
        <w:ind w:left="360"/>
        <w:jc w:val="both"/>
      </w:pPr>
      <w:r>
        <w:t xml:space="preserve">Including tag recovery data </w:t>
      </w:r>
      <w:r w:rsidR="00C33BE8">
        <w:t>resulted in a</w:t>
      </w:r>
      <w:r>
        <w:t xml:space="preserve"> winter pot </w:t>
      </w:r>
      <w:r w:rsidR="00280F47" w:rsidRPr="005C2DFD">
        <w:t xml:space="preserve">survey selectivity </w:t>
      </w:r>
      <w:r w:rsidR="00C33BE8">
        <w:t>estimated at</w:t>
      </w:r>
      <w:r w:rsidR="005C2DFD">
        <w:t xml:space="preserve"> 0.999 for length classes 1 – 5, and l</w:t>
      </w:r>
      <w:r w:rsidR="00181C09">
        <w:t xml:space="preserve">ow selectivity for size class 6 (Figure </w:t>
      </w:r>
      <w:r w:rsidR="004704A9">
        <w:t>5</w:t>
      </w:r>
      <w:r w:rsidR="00181C09">
        <w:t>).</w:t>
      </w:r>
      <w:r w:rsidR="005C2DFD">
        <w:t xml:space="preserve"> </w:t>
      </w:r>
    </w:p>
    <w:p w:rsidR="005C2DFD" w:rsidRDefault="00DB391E" w:rsidP="008264B6">
      <w:pPr>
        <w:pStyle w:val="ListParagraph"/>
        <w:spacing w:after="120"/>
        <w:ind w:left="360"/>
        <w:jc w:val="both"/>
      </w:pPr>
      <w:r>
        <w:t>Including w</w:t>
      </w:r>
      <w:r w:rsidR="00280F47" w:rsidRPr="005C2DFD">
        <w:t xml:space="preserve">inter pot </w:t>
      </w:r>
      <w:r w:rsidR="00A44BED">
        <w:t xml:space="preserve">survey </w:t>
      </w:r>
      <w:r w:rsidR="00280F47" w:rsidRPr="005C2DFD">
        <w:t xml:space="preserve">CPUE </w:t>
      </w:r>
      <w:r w:rsidR="005C2DFD">
        <w:t>result</w:t>
      </w:r>
      <w:r w:rsidR="00C379DF">
        <w:t>ed</w:t>
      </w:r>
      <w:r w:rsidR="005C2DFD">
        <w:t xml:space="preserve"> in</w:t>
      </w:r>
      <w:r w:rsidR="004704A9">
        <w:t xml:space="preserve"> </w:t>
      </w:r>
      <w:r w:rsidR="00A44BED">
        <w:t xml:space="preserve">poorer </w:t>
      </w:r>
      <w:r w:rsidR="005C2DFD">
        <w:t>model fits</w:t>
      </w:r>
      <w:r w:rsidR="004704A9">
        <w:t xml:space="preserve"> (higher log-likelihood for each component).</w:t>
      </w:r>
    </w:p>
    <w:p w:rsidR="004704A9" w:rsidRDefault="00DB391E" w:rsidP="004704A9">
      <w:pPr>
        <w:pStyle w:val="ListParagraph"/>
        <w:spacing w:after="120"/>
        <w:ind w:left="360"/>
        <w:jc w:val="both"/>
      </w:pPr>
      <w:r>
        <w:t xml:space="preserve">Removing </w:t>
      </w:r>
      <w:r w:rsidR="00C33BE8">
        <w:t xml:space="preserve">the </w:t>
      </w:r>
      <w:r>
        <w:t>w</w:t>
      </w:r>
      <w:r w:rsidR="00280F47" w:rsidRPr="005C2DFD">
        <w:t xml:space="preserve">inter </w:t>
      </w:r>
      <w:r w:rsidR="008373BB">
        <w:t xml:space="preserve">pot survey </w:t>
      </w:r>
      <w:r w:rsidR="00280F47" w:rsidRPr="005C2DFD">
        <w:t xml:space="preserve">data </w:t>
      </w:r>
      <w:r w:rsidR="005C2DFD">
        <w:t xml:space="preserve">did not </w:t>
      </w:r>
      <w:r w:rsidR="004704A9">
        <w:t xml:space="preserve">lower the log-likelihood of each component </w:t>
      </w:r>
      <w:r w:rsidR="005C2DFD">
        <w:t xml:space="preserve">and </w:t>
      </w:r>
      <w:r w:rsidR="00C33BE8">
        <w:t>caused difficulty of</w:t>
      </w:r>
      <w:r w:rsidR="004704A9">
        <w:t xml:space="preserve"> meaningfully estimating</w:t>
      </w:r>
      <w:r w:rsidR="00280F47" w:rsidRPr="005C2DFD">
        <w:t xml:space="preserve"> </w:t>
      </w:r>
      <w:r>
        <w:t>w</w:t>
      </w:r>
      <w:r w:rsidR="005C2DFD">
        <w:t xml:space="preserve">inter pot </w:t>
      </w:r>
      <w:r w:rsidR="00C379DF">
        <w:t>survey</w:t>
      </w:r>
      <w:r w:rsidR="00C33BE8">
        <w:t xml:space="preserve"> </w:t>
      </w:r>
      <w:r w:rsidR="00C379DF">
        <w:t>s</w:t>
      </w:r>
      <w:r w:rsidR="005C2DFD">
        <w:t>electivity</w:t>
      </w:r>
      <w:r w:rsidR="00581F43">
        <w:t xml:space="preserve">. </w:t>
      </w:r>
    </w:p>
    <w:p w:rsidR="00383A00" w:rsidRDefault="002F5464" w:rsidP="0087284F">
      <w:pPr>
        <w:pStyle w:val="ListParagraph"/>
        <w:spacing w:after="120"/>
        <w:ind w:left="360"/>
        <w:contextualSpacing w:val="0"/>
        <w:jc w:val="both"/>
      </w:pPr>
      <w:r>
        <w:t xml:space="preserve">Regardless </w:t>
      </w:r>
      <w:r w:rsidR="008373BB">
        <w:t xml:space="preserve">of the </w:t>
      </w:r>
      <w:r>
        <w:t>differences in model configurations a</w:t>
      </w:r>
      <w:r w:rsidR="005C2DFD">
        <w:t xml:space="preserve">ll alternative models resulted in similar </w:t>
      </w:r>
      <w:r w:rsidR="00C33BE8">
        <w:t>estimates of</w:t>
      </w:r>
      <w:r w:rsidR="005C2DFD">
        <w:t xml:space="preserve"> </w:t>
      </w:r>
      <w:proofErr w:type="spellStart"/>
      <w:r w:rsidR="005C2DFD">
        <w:t>Bmsy</w:t>
      </w:r>
      <w:proofErr w:type="spellEnd"/>
      <w:r w:rsidR="005C2DFD">
        <w:t>, MMB, and OFL</w:t>
      </w:r>
      <w:r w:rsidR="008373BB">
        <w:t xml:space="preserve"> values.</w:t>
      </w:r>
    </w:p>
    <w:p w:rsidR="005F573D" w:rsidRDefault="00F156E8" w:rsidP="009D07E5">
      <w:pPr>
        <w:pStyle w:val="ListParagraph"/>
        <w:spacing w:after="120"/>
        <w:ind w:left="360"/>
        <w:contextualSpacing w:val="0"/>
        <w:jc w:val="both"/>
      </w:pPr>
      <w:r>
        <w:t xml:space="preserve">From </w:t>
      </w:r>
      <w:r w:rsidR="00782427">
        <w:t>the perspective of estimating all parameters within the assessment model</w:t>
      </w:r>
      <w:r w:rsidR="00D6224F">
        <w:t xml:space="preserve">, inclusion of tagging data (alternatives 2.i, </w:t>
      </w:r>
      <w:r w:rsidR="0082287C">
        <w:t xml:space="preserve">2.io, and </w:t>
      </w:r>
      <w:r w:rsidR="0087284F">
        <w:t xml:space="preserve">2.ii) </w:t>
      </w:r>
      <w:r w:rsidR="00683550">
        <w:t xml:space="preserve">is </w:t>
      </w:r>
      <w:r w:rsidR="00D6224F">
        <w:t>preferred</w:t>
      </w:r>
      <w:r w:rsidR="00581F43">
        <w:t xml:space="preserve">. </w:t>
      </w:r>
      <w:r w:rsidR="00782427">
        <w:t xml:space="preserve">The difference between 2.i and 2.ii is whether </w:t>
      </w:r>
      <w:r w:rsidR="0057799F">
        <w:t>molting</w:t>
      </w:r>
      <w:r>
        <w:t xml:space="preserve"> probability</w:t>
      </w:r>
      <w:r w:rsidR="00683550">
        <w:t xml:space="preserve"> is model estimated or assumed equal to 1.0</w:t>
      </w:r>
      <w:r>
        <w:t>.</w:t>
      </w:r>
      <w:r w:rsidR="0082287C">
        <w:t xml:space="preserve"> </w:t>
      </w:r>
      <w:r w:rsidR="00E92B59">
        <w:t>The assumption and model estimation of</w:t>
      </w:r>
      <w:r w:rsidR="00683550">
        <w:t xml:space="preserve"> </w:t>
      </w:r>
      <w:r w:rsidR="00DB391E">
        <w:t xml:space="preserve">molting probability </w:t>
      </w:r>
      <w:r w:rsidR="00683550">
        <w:t xml:space="preserve">is </w:t>
      </w:r>
      <w:r w:rsidR="00DB391E">
        <w:t xml:space="preserve">1.0 </w:t>
      </w:r>
      <w:r w:rsidR="00E92B59">
        <w:t xml:space="preserve">(model 2.i and 2.ii) </w:t>
      </w:r>
      <w:r w:rsidR="009D07E5">
        <w:t xml:space="preserve">implies </w:t>
      </w:r>
      <w:r w:rsidR="00DB391E">
        <w:t>that</w:t>
      </w:r>
      <w:r w:rsidR="00E92B59">
        <w:t xml:space="preserve"> </w:t>
      </w:r>
      <w:r w:rsidR="00683550">
        <w:t xml:space="preserve">all crab are </w:t>
      </w:r>
      <w:proofErr w:type="spellStart"/>
      <w:r w:rsidR="00683550">
        <w:t>newshell</w:t>
      </w:r>
      <w:proofErr w:type="spellEnd"/>
      <w:r w:rsidR="00E92B59">
        <w:t xml:space="preserve">, </w:t>
      </w:r>
      <w:r w:rsidR="009D07E5">
        <w:t xml:space="preserve">or absence of </w:t>
      </w:r>
      <w:proofErr w:type="spellStart"/>
      <w:r w:rsidR="009D07E5">
        <w:t>oldshell</w:t>
      </w:r>
      <w:proofErr w:type="spellEnd"/>
      <w:r w:rsidR="009D07E5">
        <w:t xml:space="preserve"> crabs.   This, in reality, is not the case.  Probable reason for this model estimate (2.i) is because proportion of </w:t>
      </w:r>
      <w:proofErr w:type="spellStart"/>
      <w:r w:rsidR="009D07E5">
        <w:t>newshell</w:t>
      </w:r>
      <w:proofErr w:type="spellEnd"/>
      <w:r w:rsidR="009D07E5">
        <w:t xml:space="preserve"> and </w:t>
      </w:r>
      <w:proofErr w:type="spellStart"/>
      <w:r w:rsidR="009D07E5">
        <w:t>oldshell</w:t>
      </w:r>
      <w:proofErr w:type="spellEnd"/>
      <w:r w:rsidR="009D07E5">
        <w:t xml:space="preserve"> crabs was combined for calculation of likelihood (Appendix A). </w:t>
      </w:r>
      <w:r w:rsidR="00683550">
        <w:t>On the other hand,</w:t>
      </w:r>
      <w:r w:rsidR="009D07E5">
        <w:t xml:space="preserve"> w</w:t>
      </w:r>
      <w:r w:rsidR="0082287C">
        <w:t xml:space="preserve">hen </w:t>
      </w:r>
      <w:proofErr w:type="spellStart"/>
      <w:r w:rsidR="0082287C">
        <w:t>oldshell</w:t>
      </w:r>
      <w:proofErr w:type="spellEnd"/>
      <w:r w:rsidR="0082287C">
        <w:t xml:space="preserve"> components </w:t>
      </w:r>
      <w:r w:rsidR="00E351EC">
        <w:t xml:space="preserve">are </w:t>
      </w:r>
      <w:r w:rsidR="0082287C">
        <w:t>separated in the likelihood calculation</w:t>
      </w:r>
      <w:r w:rsidR="00363991">
        <w:t xml:space="preserve"> (model 2.io)</w:t>
      </w:r>
      <w:r w:rsidR="0082287C">
        <w:t xml:space="preserve">, the model </w:t>
      </w:r>
      <w:r w:rsidR="009D07E5">
        <w:t xml:space="preserve">was </w:t>
      </w:r>
      <w:r w:rsidR="0082287C">
        <w:t>able to estimate molting probability</w:t>
      </w:r>
      <w:r w:rsidR="00581F43">
        <w:t xml:space="preserve">. </w:t>
      </w:r>
      <w:r w:rsidR="0082287C">
        <w:t xml:space="preserve">  </w:t>
      </w:r>
      <w:r w:rsidR="00363991">
        <w:t>Even so, i</w:t>
      </w:r>
      <w:r w:rsidR="005F573D">
        <w:t>n terms of overall model fit the</w:t>
      </w:r>
      <w:r w:rsidR="00363991">
        <w:t>re</w:t>
      </w:r>
      <w:r w:rsidR="005F573D">
        <w:t xml:space="preserve"> </w:t>
      </w:r>
      <w:r w:rsidR="009D07E5">
        <w:t>wa</w:t>
      </w:r>
      <w:r w:rsidR="00363991">
        <w:t>s little difference</w:t>
      </w:r>
      <w:r w:rsidR="009D07E5">
        <w:t xml:space="preserve"> among </w:t>
      </w:r>
      <w:r w:rsidR="00363991">
        <w:t xml:space="preserve">all </w:t>
      </w:r>
      <w:r w:rsidR="009D07E5">
        <w:t xml:space="preserve">the </w:t>
      </w:r>
      <w:r w:rsidR="00363991">
        <w:t>three models</w:t>
      </w:r>
      <w:r w:rsidR="009D07E5">
        <w:t>.</w:t>
      </w:r>
      <w:r w:rsidR="00581F43">
        <w:t xml:space="preserve"> </w:t>
      </w:r>
      <w:r w:rsidR="00E351EC">
        <w:t>A further</w:t>
      </w:r>
      <w:r w:rsidR="00E13B1C">
        <w:t xml:space="preserve"> result of the </w:t>
      </w:r>
      <w:r w:rsidR="00637EAC">
        <w:t>model</w:t>
      </w:r>
      <w:r w:rsidR="00DB391E">
        <w:t xml:space="preserve">s 2.i, 2.io, and </w:t>
      </w:r>
      <w:r w:rsidR="00637EAC">
        <w:t xml:space="preserve">2.ii </w:t>
      </w:r>
      <w:r w:rsidR="00272C55">
        <w:t>was changing</w:t>
      </w:r>
      <w:r w:rsidR="00DB391E">
        <w:t xml:space="preserve"> estimates of w</w:t>
      </w:r>
      <w:r w:rsidR="00252909">
        <w:t xml:space="preserve">inter pot selectivity to 1.0 for all length classes, </w:t>
      </w:r>
      <w:r w:rsidR="00272C55">
        <w:t>except for the last length class</w:t>
      </w:r>
      <w:r w:rsidR="0048435A">
        <w:t xml:space="preserve"> (Figures 5 a b)</w:t>
      </w:r>
      <w:r w:rsidR="009D07E5">
        <w:t xml:space="preserve">.  This </w:t>
      </w:r>
      <w:r w:rsidR="00DB391E">
        <w:t>seems unrealistic</w:t>
      </w:r>
      <w:r w:rsidR="009D07E5">
        <w:t>, and f</w:t>
      </w:r>
      <w:r w:rsidR="00C7250F">
        <w:t xml:space="preserve">urther investigation on this issue is warranted. </w:t>
      </w:r>
    </w:p>
    <w:p w:rsidR="00C021A6" w:rsidRDefault="00E464E3" w:rsidP="00C021A6">
      <w:pPr>
        <w:pStyle w:val="ListParagraph"/>
        <w:spacing w:after="120"/>
        <w:ind w:left="360"/>
        <w:contextualSpacing w:val="0"/>
        <w:jc w:val="both"/>
      </w:pPr>
      <w:r>
        <w:t>I</w:t>
      </w:r>
      <w:r w:rsidR="00005CE2">
        <w:t xml:space="preserve">nclusion of the </w:t>
      </w:r>
      <w:r w:rsidR="00DB391E">
        <w:t>w</w:t>
      </w:r>
      <w:r w:rsidR="00523737">
        <w:t xml:space="preserve">inter </w:t>
      </w:r>
      <w:r w:rsidR="00E351EC">
        <w:t xml:space="preserve">pot </w:t>
      </w:r>
      <w:r w:rsidR="00523737">
        <w:t xml:space="preserve">survey CPUE </w:t>
      </w:r>
      <w:r w:rsidR="00E13B1C">
        <w:t xml:space="preserve">(model 3) </w:t>
      </w:r>
      <w:r w:rsidR="00523737">
        <w:t xml:space="preserve">resulted in </w:t>
      </w:r>
      <w:r w:rsidR="00E351EC">
        <w:t xml:space="preserve">a </w:t>
      </w:r>
      <w:r w:rsidR="004A005E">
        <w:t xml:space="preserve">poorer </w:t>
      </w:r>
      <w:r w:rsidR="00E351EC">
        <w:t xml:space="preserve">model </w:t>
      </w:r>
      <w:r w:rsidR="009D07E5">
        <w:t xml:space="preserve">fit </w:t>
      </w:r>
      <w:r w:rsidR="00643F1B">
        <w:t xml:space="preserve">(i.e., increased log-likelihood) </w:t>
      </w:r>
      <w:r w:rsidR="004A005E">
        <w:t xml:space="preserve">to </w:t>
      </w:r>
      <w:r w:rsidR="000B5AD4">
        <w:t>trawl s</w:t>
      </w:r>
      <w:r w:rsidR="00180385">
        <w:t>urvey</w:t>
      </w:r>
      <w:r w:rsidR="004A005E">
        <w:t xml:space="preserve"> abundance</w:t>
      </w:r>
      <w:r w:rsidR="00180385">
        <w:t xml:space="preserve"> and commercial catch CPUE</w:t>
      </w:r>
      <w:r w:rsidR="00581F43">
        <w:t>.</w:t>
      </w:r>
      <w:r w:rsidR="00643F1B">
        <w:t xml:space="preserve"> </w:t>
      </w:r>
      <w:r w:rsidR="00180385">
        <w:t xml:space="preserve">This </w:t>
      </w:r>
      <w:r w:rsidR="00643F1B">
        <w:t>may indicate</w:t>
      </w:r>
      <w:r w:rsidR="00180385">
        <w:t xml:space="preserve"> presence of </w:t>
      </w:r>
      <w:r w:rsidR="000B5AD4">
        <w:t>interna</w:t>
      </w:r>
      <w:r w:rsidR="00DB391E">
        <w:t>l conflicts between summer and w</w:t>
      </w:r>
      <w:r w:rsidR="000B5AD4">
        <w:t>inter abundance indices</w:t>
      </w:r>
      <w:r w:rsidR="00581F43">
        <w:t xml:space="preserve">. </w:t>
      </w:r>
      <w:r w:rsidR="00643F1B">
        <w:t xml:space="preserve"> The winter pot survey data may </w:t>
      </w:r>
      <w:r w:rsidR="00370C2D">
        <w:t xml:space="preserve">not reflect </w:t>
      </w:r>
      <w:r w:rsidR="00643F1B">
        <w:t xml:space="preserve">abundance and length composition of the population.   The survey occurred on ice fields </w:t>
      </w:r>
      <w:r w:rsidR="00370C2D">
        <w:t>in</w:t>
      </w:r>
      <w:r w:rsidR="00643F1B">
        <w:t xml:space="preserve">shore of </w:t>
      </w:r>
      <w:r w:rsidR="00180385">
        <w:t>Nome</w:t>
      </w:r>
      <w:r w:rsidR="00643F1B">
        <w:t xml:space="preserve"> where </w:t>
      </w:r>
      <w:r w:rsidR="00180385">
        <w:t>popular commerci</w:t>
      </w:r>
      <w:r w:rsidR="00643F1B">
        <w:t>al and subsistence fishery occurred</w:t>
      </w:r>
      <w:r w:rsidR="00581F43">
        <w:t xml:space="preserve">. </w:t>
      </w:r>
      <w:r w:rsidR="00643F1B">
        <w:t>The above</w:t>
      </w:r>
      <w:r w:rsidR="00E351EC">
        <w:t xml:space="preserve"> reasons </w:t>
      </w:r>
      <w:r w:rsidR="00180385">
        <w:t xml:space="preserve">may </w:t>
      </w:r>
      <w:r w:rsidR="005C2DFD">
        <w:t xml:space="preserve">favor removal of the </w:t>
      </w:r>
      <w:r w:rsidR="00DB391E">
        <w:t>w</w:t>
      </w:r>
      <w:r w:rsidR="00180385">
        <w:t xml:space="preserve">inter survey </w:t>
      </w:r>
      <w:r w:rsidR="005C2DFD">
        <w:t>data from the assessment model</w:t>
      </w:r>
      <w:r w:rsidR="00E13B1C">
        <w:t xml:space="preserve"> (model 4)</w:t>
      </w:r>
      <w:r w:rsidR="00581F43">
        <w:t>.</w:t>
      </w:r>
      <w:r w:rsidR="00E13B1C">
        <w:t xml:space="preserve"> However, </w:t>
      </w:r>
      <w:r w:rsidR="00180385">
        <w:t>removal of</w:t>
      </w:r>
      <w:r w:rsidR="00960741">
        <w:t xml:space="preserve"> the </w:t>
      </w:r>
      <w:r w:rsidR="00643F1B">
        <w:t xml:space="preserve">winter survey </w:t>
      </w:r>
      <w:r w:rsidR="00960741">
        <w:t>data</w:t>
      </w:r>
      <w:r w:rsidR="00554DA8">
        <w:t xml:space="preserve"> </w:t>
      </w:r>
      <w:r w:rsidR="00643F1B">
        <w:t xml:space="preserve">also resulted in </w:t>
      </w:r>
      <w:r w:rsidR="00A44F62">
        <w:t xml:space="preserve">a </w:t>
      </w:r>
      <w:r w:rsidR="00554DA8">
        <w:t>lo</w:t>
      </w:r>
      <w:r w:rsidR="00A44F62">
        <w:t>ss</w:t>
      </w:r>
      <w:r w:rsidR="00FD41B2">
        <w:t xml:space="preserve"> </w:t>
      </w:r>
      <w:r w:rsidR="00A44F62">
        <w:t xml:space="preserve">of the </w:t>
      </w:r>
      <w:r w:rsidR="00FD41B2">
        <w:t>model’s ab</w:t>
      </w:r>
      <w:r w:rsidR="00DB391E">
        <w:t>ility to estimate w</w:t>
      </w:r>
      <w:r w:rsidR="00C021A6">
        <w:t>inter pot survey</w:t>
      </w:r>
      <w:r w:rsidR="00643F1B">
        <w:t xml:space="preserve"> </w:t>
      </w:r>
      <w:r w:rsidR="00180385">
        <w:t xml:space="preserve">selectivity, leading to convergence failure. </w:t>
      </w:r>
      <w:r w:rsidR="00643F1B">
        <w:t xml:space="preserve"> </w:t>
      </w:r>
      <w:r w:rsidR="00C021A6">
        <w:t xml:space="preserve">In the assessment model, winter pot selectivity is used as a proxy for a selectivity of winter commercial and subsistence harvests. Unrealistic selectivity may result in unrealistic estimates of the length composition of discards and catch and the overall winter harvest. </w:t>
      </w:r>
    </w:p>
    <w:p w:rsidR="00993EC5" w:rsidRDefault="00E13B1C" w:rsidP="00DB391E">
      <w:pPr>
        <w:pStyle w:val="ListParagraph"/>
        <w:spacing w:after="120"/>
        <w:ind w:left="360"/>
        <w:contextualSpacing w:val="0"/>
        <w:jc w:val="both"/>
      </w:pPr>
      <w:r>
        <w:t xml:space="preserve">One option to </w:t>
      </w:r>
      <w:r w:rsidR="002923FC">
        <w:t xml:space="preserve">counter this problem is </w:t>
      </w:r>
      <w:r w:rsidR="00E351EC">
        <w:t xml:space="preserve">to include an </w:t>
      </w:r>
      <w:r w:rsidR="002923FC">
        <w:t>assu</w:t>
      </w:r>
      <w:r w:rsidR="00C021A6">
        <w:t>med winter pot selectivity</w:t>
      </w:r>
      <w:r w:rsidR="002923FC">
        <w:t xml:space="preserve">, </w:t>
      </w:r>
      <w:r w:rsidR="00C021A6">
        <w:t xml:space="preserve">such as assuming </w:t>
      </w:r>
      <w:r w:rsidR="002923FC">
        <w:t>1.0 for all length classe</w:t>
      </w:r>
      <w:r w:rsidR="00E351EC">
        <w:t xml:space="preserve">s or </w:t>
      </w:r>
      <w:r w:rsidR="002923FC">
        <w:t xml:space="preserve">use </w:t>
      </w:r>
      <w:r w:rsidR="00E351EC">
        <w:t>the</w:t>
      </w:r>
      <w:r w:rsidR="002923FC">
        <w:t xml:space="preserve"> selectivity of </w:t>
      </w:r>
      <w:r w:rsidR="00C021A6">
        <w:t xml:space="preserve">the base </w:t>
      </w:r>
      <w:r w:rsidR="002923FC">
        <w:t>model</w:t>
      </w:r>
      <w:r w:rsidR="00C56B44">
        <w:t xml:space="preserve">. </w:t>
      </w:r>
      <w:r w:rsidR="00C021A6">
        <w:t xml:space="preserve"> </w:t>
      </w:r>
      <w:r w:rsidR="002923FC">
        <w:t>However,</w:t>
      </w:r>
      <w:r w:rsidR="00C021A6">
        <w:t xml:space="preserve"> because</w:t>
      </w:r>
      <w:r w:rsidR="00DB391E">
        <w:t xml:space="preserve"> </w:t>
      </w:r>
      <w:r w:rsidR="00554DA8">
        <w:t xml:space="preserve">winter harvest is small, </w:t>
      </w:r>
      <w:r w:rsidR="00C021A6">
        <w:t xml:space="preserve">uncertainties of selectivity is </w:t>
      </w:r>
      <w:r w:rsidR="0051628E">
        <w:t>unlikely to impact</w:t>
      </w:r>
      <w:r w:rsidR="00554DA8">
        <w:t xml:space="preserve"> overall model</w:t>
      </w:r>
      <w:r w:rsidR="002923FC">
        <w:t xml:space="preserve"> fit and projections.</w:t>
      </w:r>
      <w:r w:rsidR="00964BEC">
        <w:t xml:space="preserve"> </w:t>
      </w:r>
      <w:r w:rsidR="0051628E">
        <w:t>Monitoring of the length composition of the winter commercial and subsistence fisheries is a priority objective due to recent increases in the magnitude of the</w:t>
      </w:r>
      <w:r w:rsidR="00964BEC">
        <w:t xml:space="preserve"> </w:t>
      </w:r>
      <w:r w:rsidR="00C56B44">
        <w:t xml:space="preserve">winter </w:t>
      </w:r>
      <w:r w:rsidR="00964BEC">
        <w:t>harvest</w:t>
      </w:r>
      <w:r w:rsidR="0051628E">
        <w:t xml:space="preserve"> </w:t>
      </w:r>
      <w:r w:rsidR="00C56B44">
        <w:t>(Table 2)</w:t>
      </w:r>
      <w:r w:rsidR="00581F43">
        <w:t xml:space="preserve">. </w:t>
      </w:r>
    </w:p>
    <w:p w:rsidR="00D30EA0" w:rsidRDefault="00C021A6" w:rsidP="00C56B44">
      <w:pPr>
        <w:pStyle w:val="ListParagraph"/>
        <w:spacing w:after="120"/>
        <w:ind w:left="360"/>
        <w:contextualSpacing w:val="0"/>
        <w:jc w:val="both"/>
      </w:pPr>
      <w:r>
        <w:t>Considering the above, we recommend the u</w:t>
      </w:r>
      <w:r w:rsidR="0051628E">
        <w:t xml:space="preserve">se of </w:t>
      </w:r>
      <w:r w:rsidR="008368C7">
        <w:t xml:space="preserve">model </w:t>
      </w:r>
      <w:r w:rsidR="00A44F62">
        <w:t>2.i</w:t>
      </w:r>
      <w:r w:rsidR="00CD1FDC">
        <w:t>o</w:t>
      </w:r>
      <w:r w:rsidR="0051628E">
        <w:t xml:space="preserve"> for the assessment</w:t>
      </w:r>
      <w:r w:rsidR="00581F43">
        <w:t>.</w:t>
      </w:r>
      <w:r w:rsidR="00A44F62">
        <w:t xml:space="preserve"> Th</w:t>
      </w:r>
      <w:r w:rsidR="008368C7">
        <w:t>e model uses all available data and has</w:t>
      </w:r>
      <w:r w:rsidR="00EF0DCF">
        <w:t xml:space="preserve"> </w:t>
      </w:r>
      <w:r w:rsidR="00B2657D">
        <w:t xml:space="preserve">makes </w:t>
      </w:r>
      <w:r w:rsidR="00EF0DCF">
        <w:t>fewer assumptions</w:t>
      </w:r>
      <w:r w:rsidR="00581F43">
        <w:t>.</w:t>
      </w:r>
      <w:r>
        <w:t xml:space="preserve"> </w:t>
      </w:r>
      <w:r w:rsidR="00B2657D">
        <w:t xml:space="preserve">While our results suggest that some model simplification might be appropriate, </w:t>
      </w:r>
      <w:r w:rsidR="008368C7">
        <w:t>(e.g., comb</w:t>
      </w:r>
      <w:r w:rsidR="00CD1FDC">
        <w:t xml:space="preserve">ining trawl </w:t>
      </w:r>
      <w:r>
        <w:t xml:space="preserve">NMFS and ADFG </w:t>
      </w:r>
      <w:r w:rsidR="00CD1FDC">
        <w:t xml:space="preserve">survey </w:t>
      </w:r>
      <w:r w:rsidR="00CD1FDC">
        <w:lastRenderedPageBreak/>
        <w:t>selectivity</w:t>
      </w:r>
      <w:r w:rsidR="008368C7">
        <w:t>, winter pot selectivity = 1.0</w:t>
      </w:r>
      <w:r w:rsidR="00CD1FDC">
        <w:t xml:space="preserve"> for length classes 1-5</w:t>
      </w:r>
      <w:r w:rsidR="008368C7">
        <w:t>)</w:t>
      </w:r>
      <w:r>
        <w:t>, o</w:t>
      </w:r>
      <w:r w:rsidR="0051628E">
        <w:t>ur preference is to not to simplify the model</w:t>
      </w:r>
      <w:r>
        <w:t xml:space="preserve">.  It is our experience that re-evaluation of the reasons for model simplification are often requested each time composition of CPT membership changes. </w:t>
      </w:r>
    </w:p>
    <w:p w:rsidR="002237E0" w:rsidRDefault="002237E0" w:rsidP="008264B6">
      <w:pPr>
        <w:pStyle w:val="ListParagraph"/>
      </w:pPr>
    </w:p>
    <w:p w:rsidR="00A96713" w:rsidRPr="008264B6" w:rsidRDefault="00444865" w:rsidP="008264B6">
      <w:pPr>
        <w:widowControl w:val="0"/>
        <w:tabs>
          <w:tab w:val="left" w:pos="-720"/>
        </w:tabs>
        <w:suppressAutoHyphens/>
        <w:rPr>
          <w:color w:val="000000"/>
          <w:spacing w:val="-3"/>
        </w:rPr>
      </w:pPr>
      <w:r w:rsidRPr="00707668">
        <w:rPr>
          <w:b/>
          <w:spacing w:val="-3"/>
        </w:rPr>
        <w:t>Results</w:t>
      </w:r>
    </w:p>
    <w:p w:rsidR="00F6133D" w:rsidRDefault="00F6133D" w:rsidP="00D05DB3">
      <w:pPr>
        <w:jc w:val="both"/>
      </w:pPr>
    </w:p>
    <w:p w:rsidR="0015748A" w:rsidRDefault="0089073D" w:rsidP="005917AF">
      <w:pPr>
        <w:pStyle w:val="ListParagraph"/>
        <w:numPr>
          <w:ilvl w:val="1"/>
          <w:numId w:val="5"/>
        </w:numPr>
        <w:spacing w:line="360" w:lineRule="auto"/>
        <w:ind w:left="630" w:hanging="270"/>
        <w:jc w:val="both"/>
      </w:pPr>
      <w:r>
        <w:t>List of e</w:t>
      </w:r>
      <w:r w:rsidR="00FB1ADF">
        <w:t>ffective sam</w:t>
      </w:r>
      <w:r w:rsidR="00DE1A4B">
        <w:t>ple sizes and weighting factors (Figure</w:t>
      </w:r>
      <w:r w:rsidR="00B2657D">
        <w:t>s</w:t>
      </w:r>
      <w:r w:rsidR="00DE1A4B">
        <w:t xml:space="preserve"> 4a</w:t>
      </w:r>
      <w:r w:rsidR="00B2657D">
        <w:t>,</w:t>
      </w:r>
      <w:r w:rsidR="00DE1A4B">
        <w:t>b)</w:t>
      </w:r>
    </w:p>
    <w:p w:rsidR="00B2330A" w:rsidRDefault="00B2657D" w:rsidP="005917AF">
      <w:pPr>
        <w:pStyle w:val="ListParagraph"/>
        <w:spacing w:line="360" w:lineRule="auto"/>
        <w:ind w:left="630"/>
        <w:jc w:val="both"/>
      </w:pPr>
      <w:r>
        <w:t xml:space="preserve">Estimated </w:t>
      </w:r>
      <w:r w:rsidR="000F6C43">
        <w:t xml:space="preserve">implied </w:t>
      </w:r>
      <w:r>
        <w:t>e</w:t>
      </w:r>
      <w:r w:rsidR="00B2330A">
        <w:t xml:space="preserve">ffective sample sizes were calculated as </w:t>
      </w:r>
    </w:p>
    <w:p w:rsidR="00B2330A" w:rsidRDefault="00670491" w:rsidP="00B2330A">
      <w:pPr>
        <w:pStyle w:val="ListParagraph"/>
        <w:spacing w:line="360" w:lineRule="auto"/>
        <w:ind w:left="1440"/>
        <w:jc w:val="both"/>
      </w:pPr>
      <w:r w:rsidRPr="00B2330A">
        <w:rPr>
          <w:position w:val="-28"/>
        </w:rPr>
        <w:object w:dxaOrig="3159" w:dyaOrig="560">
          <v:shape id="_x0000_i1026" type="#_x0000_t75" style="width:155.9pt;height:27.55pt" o:ole="">
            <v:imagedata r:id="rId14" o:title=""/>
          </v:shape>
          <o:OLEObject Type="Embed" ProgID="Equation.3" ShapeID="_x0000_i1026" DrawAspect="Content" ObjectID="_1459679455" r:id="rId15"/>
        </w:object>
      </w:r>
    </w:p>
    <w:p w:rsidR="00B2330A" w:rsidRDefault="00702417" w:rsidP="00702417">
      <w:pPr>
        <w:ind w:left="540" w:hanging="180"/>
      </w:pPr>
      <w:r>
        <w:t xml:space="preserve">   </w:t>
      </w:r>
      <w:r w:rsidR="00B2657D">
        <w:t>w</w:t>
      </w:r>
      <w:r w:rsidR="00B2330A">
        <w:t xml:space="preserve">here </w:t>
      </w:r>
      <w:r w:rsidR="00670491" w:rsidRPr="00BC0B63">
        <w:rPr>
          <w:position w:val="-14"/>
        </w:rPr>
        <w:object w:dxaOrig="340" w:dyaOrig="380">
          <v:shape id="_x0000_i1027" type="#_x0000_t75" style="width:15.65pt;height:17.55pt" o:ole="">
            <v:imagedata r:id="rId16" o:title=""/>
          </v:shape>
          <o:OLEObject Type="Embed" ProgID="Equation.3" ShapeID="_x0000_i1027" DrawAspect="Content" ObjectID="_1459679456" r:id="rId17"/>
        </w:object>
      </w:r>
      <w:r w:rsidR="00B2330A">
        <w:t>and</w:t>
      </w:r>
      <w:r w:rsidR="00670491" w:rsidRPr="00BC0B63">
        <w:rPr>
          <w:position w:val="-14"/>
        </w:rPr>
        <w:object w:dxaOrig="340" w:dyaOrig="420">
          <v:shape id="_x0000_i1028" type="#_x0000_t75" style="width:17.55pt;height:21.3pt" o:ole="">
            <v:imagedata r:id="rId18" o:title=""/>
          </v:shape>
          <o:OLEObject Type="Embed" ProgID="Equation.3" ShapeID="_x0000_i1028" DrawAspect="Content" ObjectID="_1459679457" r:id="rId19"/>
        </w:object>
      </w:r>
      <w:r w:rsidR="00B2330A">
        <w:t xml:space="preserve"> are observed and estimated length compositions in year </w:t>
      </w:r>
      <w:r w:rsidR="00670491">
        <w:rPr>
          <w:i/>
        </w:rPr>
        <w:t xml:space="preserve">t </w:t>
      </w:r>
      <w:r>
        <w:t xml:space="preserve">and length </w:t>
      </w:r>
      <w:r w:rsidR="00B2330A">
        <w:t xml:space="preserve">group </w:t>
      </w:r>
      <w:r w:rsidR="00B2330A" w:rsidRPr="00B2330A">
        <w:rPr>
          <w:i/>
        </w:rPr>
        <w:t>l</w:t>
      </w:r>
      <w:r w:rsidR="00B2330A">
        <w:t>, respectively</w:t>
      </w:r>
      <w:r w:rsidR="00581F43">
        <w:t xml:space="preserve">. </w:t>
      </w:r>
      <w:r w:rsidR="00262B91">
        <w:t xml:space="preserve">Estimated effective sample sizes vary greatly </w:t>
      </w:r>
      <w:r w:rsidR="00F95643">
        <w:t>by year through the time series</w:t>
      </w:r>
      <w:r w:rsidR="00B2657D">
        <w:t xml:space="preserve"> (Figure</w:t>
      </w:r>
      <w:r w:rsidR="00CB3281">
        <w:t>s</w:t>
      </w:r>
      <w:r w:rsidR="00B2657D">
        <w:t xml:space="preserve"> </w:t>
      </w:r>
      <w:r w:rsidR="00CB3281">
        <w:t>4a,b,c)</w:t>
      </w:r>
      <w:r w:rsidR="00262B91">
        <w:t xml:space="preserve">.  </w:t>
      </w:r>
    </w:p>
    <w:p w:rsidR="00240BAE" w:rsidRDefault="00240BAE" w:rsidP="00240BAE">
      <w:pPr>
        <w:spacing w:after="120"/>
        <w:jc w:val="both"/>
      </w:pPr>
    </w:p>
    <w:p w:rsidR="00C32A29" w:rsidRDefault="000F6C43" w:rsidP="00670491">
      <w:pPr>
        <w:spacing w:after="120"/>
        <w:ind w:left="540"/>
        <w:jc w:val="both"/>
      </w:pPr>
      <w:r>
        <w:t xml:space="preserve">Input effective </w:t>
      </w:r>
      <w:r w:rsidR="00B2657D">
        <w:t xml:space="preserve">sample </w:t>
      </w:r>
      <w:r w:rsidR="000D1ABA">
        <w:t>size</w:t>
      </w:r>
      <w:r w:rsidR="00CB3281">
        <w:t>s</w:t>
      </w:r>
      <w:r w:rsidR="000D1ABA">
        <w:t xml:space="preserve"> for length proportion</w:t>
      </w:r>
      <w:r w:rsidR="00CB3281">
        <w:t xml:space="preserve"> data</w:t>
      </w:r>
      <w:r w:rsidR="000D1ABA">
        <w:t>:</w:t>
      </w:r>
    </w:p>
    <w:tbl>
      <w:tblPr>
        <w:tblW w:w="5868" w:type="dxa"/>
        <w:tblInd w:w="913" w:type="dxa"/>
        <w:tblBorders>
          <w:top w:val="single" w:sz="4" w:space="0" w:color="auto"/>
          <w:bottom w:val="single" w:sz="4" w:space="0" w:color="auto"/>
          <w:insideH w:val="single" w:sz="4" w:space="0" w:color="auto"/>
        </w:tblBorders>
        <w:tblLook w:val="04A0" w:firstRow="1" w:lastRow="0" w:firstColumn="1" w:lastColumn="0" w:noHBand="0" w:noVBand="1"/>
      </w:tblPr>
      <w:tblGrid>
        <w:gridCol w:w="3348"/>
        <w:gridCol w:w="2520"/>
      </w:tblGrid>
      <w:tr w:rsidR="002E5851" w:rsidTr="00C32A29">
        <w:trPr>
          <w:trHeight w:val="406"/>
        </w:trPr>
        <w:tc>
          <w:tcPr>
            <w:tcW w:w="3348" w:type="dxa"/>
            <w:shd w:val="clear" w:color="auto" w:fill="auto"/>
          </w:tcPr>
          <w:p w:rsidR="002E5851" w:rsidRDefault="002E5851" w:rsidP="00C32A29">
            <w:pPr>
              <w:pStyle w:val="ListParagraph"/>
              <w:spacing w:after="120"/>
              <w:ind w:left="810" w:hanging="810"/>
              <w:contextualSpacing w:val="0"/>
              <w:jc w:val="center"/>
            </w:pPr>
            <w:r>
              <w:t>Survey data</w:t>
            </w:r>
          </w:p>
        </w:tc>
        <w:tc>
          <w:tcPr>
            <w:tcW w:w="2520" w:type="dxa"/>
            <w:shd w:val="clear" w:color="auto" w:fill="auto"/>
          </w:tcPr>
          <w:p w:rsidR="002E5851" w:rsidRDefault="002E5851" w:rsidP="00D3454D">
            <w:pPr>
              <w:pStyle w:val="ListParagraph"/>
              <w:spacing w:after="120"/>
              <w:ind w:left="0"/>
              <w:contextualSpacing w:val="0"/>
              <w:jc w:val="center"/>
            </w:pPr>
            <w:r>
              <w:t>Sample size</w:t>
            </w:r>
          </w:p>
        </w:tc>
      </w:tr>
      <w:tr w:rsidR="002E5851" w:rsidTr="00C32A29">
        <w:trPr>
          <w:trHeight w:val="627"/>
        </w:trPr>
        <w:tc>
          <w:tcPr>
            <w:tcW w:w="3348" w:type="dxa"/>
            <w:shd w:val="clear" w:color="auto" w:fill="auto"/>
          </w:tcPr>
          <w:p w:rsidR="00055F60" w:rsidRPr="00D3454D" w:rsidRDefault="002E5851" w:rsidP="00D05DB3">
            <w:pPr>
              <w:pStyle w:val="ListParagraph"/>
              <w:ind w:left="0"/>
              <w:contextualSpacing w:val="0"/>
              <w:jc w:val="both"/>
              <w:rPr>
                <w:rFonts w:cs="Arial"/>
                <w:sz w:val="22"/>
                <w:szCs w:val="22"/>
              </w:rPr>
            </w:pPr>
            <w:r w:rsidRPr="00D3454D">
              <w:rPr>
                <w:rFonts w:cs="Arial"/>
                <w:sz w:val="22"/>
                <w:szCs w:val="22"/>
              </w:rPr>
              <w:t xml:space="preserve">Summer commercial, winter pot, </w:t>
            </w:r>
          </w:p>
          <w:p w:rsidR="002E5851" w:rsidRDefault="002E5851" w:rsidP="00D05DB3">
            <w:pPr>
              <w:pStyle w:val="ListParagraph"/>
              <w:ind w:left="0"/>
              <w:contextualSpacing w:val="0"/>
              <w:jc w:val="both"/>
            </w:pPr>
            <w:r w:rsidRPr="00D3454D">
              <w:rPr>
                <w:rFonts w:cs="Arial"/>
                <w:sz w:val="22"/>
                <w:szCs w:val="22"/>
              </w:rPr>
              <w:t>and summer observer</w:t>
            </w:r>
          </w:p>
        </w:tc>
        <w:tc>
          <w:tcPr>
            <w:tcW w:w="2520" w:type="dxa"/>
            <w:shd w:val="clear" w:color="auto" w:fill="auto"/>
          </w:tcPr>
          <w:p w:rsidR="002E5851" w:rsidRDefault="002E5851" w:rsidP="00D05DB3">
            <w:pPr>
              <w:pStyle w:val="ListParagraph"/>
              <w:ind w:left="0"/>
              <w:contextualSpacing w:val="0"/>
              <w:jc w:val="both"/>
            </w:pPr>
            <w:r w:rsidRPr="00D3454D">
              <w:rPr>
                <w:rFonts w:cs="Arial"/>
                <w:sz w:val="22"/>
                <w:szCs w:val="22"/>
              </w:rPr>
              <w:t>minimum of 0.1</w:t>
            </w:r>
            <w:r w:rsidRPr="00D3454D">
              <w:rPr>
                <w:sz w:val="22"/>
                <w:szCs w:val="22"/>
              </w:rPr>
              <w:t>×</w:t>
            </w:r>
            <w:r w:rsidRPr="00D3454D">
              <w:rPr>
                <w:rFonts w:cs="Arial"/>
                <w:sz w:val="22"/>
                <w:szCs w:val="22"/>
              </w:rPr>
              <w:t xml:space="preserve"> actual sample size or </w:t>
            </w:r>
            <w:r w:rsidR="00E22613">
              <w:rPr>
                <w:rFonts w:cs="Arial"/>
                <w:sz w:val="22"/>
                <w:szCs w:val="22"/>
              </w:rPr>
              <w:t>10</w:t>
            </w:r>
          </w:p>
        </w:tc>
      </w:tr>
      <w:tr w:rsidR="002E5851" w:rsidTr="00C32A29">
        <w:trPr>
          <w:trHeight w:val="383"/>
        </w:trPr>
        <w:tc>
          <w:tcPr>
            <w:tcW w:w="3348" w:type="dxa"/>
            <w:shd w:val="clear" w:color="auto" w:fill="auto"/>
          </w:tcPr>
          <w:p w:rsidR="002E5851" w:rsidRDefault="002E5851" w:rsidP="00D05DB3">
            <w:pPr>
              <w:pStyle w:val="ListParagraph"/>
              <w:ind w:left="0"/>
              <w:contextualSpacing w:val="0"/>
              <w:jc w:val="both"/>
            </w:pPr>
            <w:r w:rsidRPr="00D3454D">
              <w:rPr>
                <w:rFonts w:cs="Arial"/>
                <w:sz w:val="22"/>
                <w:szCs w:val="22"/>
              </w:rPr>
              <w:t>Summer trawl and pot survey</w:t>
            </w:r>
            <w:r w:rsidRPr="00D3454D">
              <w:rPr>
                <w:rFonts w:cs="Arial"/>
                <w:sz w:val="22"/>
                <w:szCs w:val="22"/>
              </w:rPr>
              <w:tab/>
            </w:r>
          </w:p>
        </w:tc>
        <w:tc>
          <w:tcPr>
            <w:tcW w:w="2520" w:type="dxa"/>
            <w:shd w:val="clear" w:color="auto" w:fill="auto"/>
          </w:tcPr>
          <w:p w:rsidR="002E5851" w:rsidRDefault="002E5851" w:rsidP="00D05DB3">
            <w:pPr>
              <w:pStyle w:val="ListParagraph"/>
              <w:ind w:left="0"/>
              <w:contextualSpacing w:val="0"/>
              <w:jc w:val="both"/>
            </w:pPr>
            <w:r w:rsidRPr="00D3454D">
              <w:rPr>
                <w:rFonts w:cs="Arial"/>
                <w:sz w:val="22"/>
                <w:szCs w:val="22"/>
              </w:rPr>
              <w:t>minimum of 0.5</w:t>
            </w:r>
            <w:r w:rsidRPr="00D3454D">
              <w:rPr>
                <w:sz w:val="22"/>
                <w:szCs w:val="22"/>
              </w:rPr>
              <w:t>×</w:t>
            </w:r>
            <w:r w:rsidRPr="00D3454D">
              <w:rPr>
                <w:rFonts w:cs="Arial"/>
                <w:sz w:val="22"/>
                <w:szCs w:val="22"/>
              </w:rPr>
              <w:t xml:space="preserve"> actual sample size or </w:t>
            </w:r>
            <w:r w:rsidR="00E22613">
              <w:rPr>
                <w:rFonts w:cs="Arial"/>
                <w:sz w:val="22"/>
                <w:szCs w:val="22"/>
              </w:rPr>
              <w:t>20</w:t>
            </w:r>
          </w:p>
        </w:tc>
      </w:tr>
    </w:tbl>
    <w:p w:rsidR="00657A3A" w:rsidRDefault="000D1ABA" w:rsidP="008264B6">
      <w:pPr>
        <w:spacing w:after="120"/>
        <w:jc w:val="both"/>
        <w:rPr>
          <w:rFonts w:cs="Arial"/>
          <w:sz w:val="22"/>
          <w:szCs w:val="22"/>
        </w:rPr>
      </w:pPr>
      <w:r>
        <w:rPr>
          <w:rFonts w:cs="Arial"/>
          <w:sz w:val="22"/>
          <w:szCs w:val="22"/>
        </w:rPr>
        <w:tab/>
      </w:r>
      <w:r>
        <w:rPr>
          <w:rFonts w:cs="Arial"/>
          <w:sz w:val="22"/>
          <w:szCs w:val="22"/>
        </w:rPr>
        <w:tab/>
      </w:r>
    </w:p>
    <w:p w:rsidR="00670491" w:rsidRDefault="00670491" w:rsidP="008264B6">
      <w:pPr>
        <w:spacing w:after="120"/>
        <w:jc w:val="both"/>
        <w:rPr>
          <w:rFonts w:cs="Arial"/>
          <w:sz w:val="22"/>
          <w:szCs w:val="22"/>
        </w:rPr>
      </w:pPr>
      <w:r>
        <w:rPr>
          <w:rFonts w:cs="Arial"/>
          <w:sz w:val="22"/>
          <w:szCs w:val="22"/>
        </w:rPr>
        <w:t xml:space="preserve">         Weighting factor: </w:t>
      </w:r>
    </w:p>
    <w:p w:rsidR="00670491" w:rsidRDefault="00887C2D" w:rsidP="008264B6">
      <w:pPr>
        <w:spacing w:after="120"/>
        <w:jc w:val="both"/>
        <w:rPr>
          <w:rFonts w:cs="Arial"/>
          <w:sz w:val="22"/>
          <w:szCs w:val="22"/>
        </w:rPr>
      </w:pPr>
      <w:r>
        <w:rPr>
          <w:rFonts w:cs="Arial"/>
          <w:sz w:val="22"/>
          <w:szCs w:val="22"/>
        </w:rPr>
        <w:tab/>
        <w:t xml:space="preserve">Recruitment SD: </w:t>
      </w:r>
      <w:r w:rsidRPr="00887C2D">
        <w:rPr>
          <w:rFonts w:cs="Arial"/>
          <w:i/>
          <w:sz w:val="22"/>
          <w:szCs w:val="22"/>
        </w:rPr>
        <w:t>SDR</w:t>
      </w:r>
      <w:r>
        <w:rPr>
          <w:rFonts w:cs="Arial"/>
          <w:sz w:val="22"/>
          <w:szCs w:val="22"/>
        </w:rPr>
        <w:t xml:space="preserve"> </w:t>
      </w:r>
      <w:r w:rsidR="00670491">
        <w:rPr>
          <w:rFonts w:cs="Arial"/>
          <w:sz w:val="22"/>
          <w:szCs w:val="22"/>
        </w:rPr>
        <w:t>= 0.5</w:t>
      </w:r>
    </w:p>
    <w:p w:rsidR="00887C2D" w:rsidRDefault="00887C2D" w:rsidP="008264B6">
      <w:pPr>
        <w:spacing w:after="120"/>
        <w:jc w:val="both"/>
        <w:rPr>
          <w:rFonts w:cs="Arial"/>
          <w:sz w:val="22"/>
          <w:szCs w:val="22"/>
        </w:rPr>
      </w:pPr>
      <w:r>
        <w:t xml:space="preserve">            Winter pot survey CPUE  SD: </w:t>
      </w:r>
      <w:proofErr w:type="spellStart"/>
      <w:r w:rsidRPr="00887C2D">
        <w:rPr>
          <w:i/>
        </w:rPr>
        <w:t>SDR</w:t>
      </w:r>
      <w:r w:rsidRPr="00887C2D">
        <w:rPr>
          <w:i/>
          <w:vertAlign w:val="subscript"/>
        </w:rPr>
        <w:t>w</w:t>
      </w:r>
      <w:proofErr w:type="spellEnd"/>
      <w:r>
        <w:t xml:space="preserve"> = 0.3</w:t>
      </w:r>
    </w:p>
    <w:p w:rsidR="00670491" w:rsidRPr="00670491" w:rsidRDefault="00670491" w:rsidP="008264B6">
      <w:pPr>
        <w:spacing w:after="120"/>
        <w:jc w:val="both"/>
        <w:rPr>
          <w:rFonts w:cs="Arial"/>
          <w:sz w:val="22"/>
          <w:szCs w:val="22"/>
        </w:rPr>
      </w:pPr>
    </w:p>
    <w:p w:rsidR="005F5068" w:rsidRDefault="00AB0150" w:rsidP="00F6143F">
      <w:pPr>
        <w:pStyle w:val="ListParagraph"/>
        <w:spacing w:after="120"/>
        <w:ind w:hanging="360"/>
        <w:contextualSpacing w:val="0"/>
        <w:jc w:val="both"/>
      </w:pPr>
      <w:r>
        <w:t xml:space="preserve">2. </w:t>
      </w:r>
      <w:r w:rsidR="00BB48D9">
        <w:t>Tables of estimates.</w:t>
      </w:r>
    </w:p>
    <w:p w:rsidR="00F6143F" w:rsidRDefault="00F6143F" w:rsidP="00F6143F">
      <w:pPr>
        <w:pStyle w:val="ListParagraph"/>
        <w:numPr>
          <w:ilvl w:val="0"/>
          <w:numId w:val="31"/>
        </w:numPr>
        <w:spacing w:after="120"/>
        <w:contextualSpacing w:val="0"/>
        <w:jc w:val="both"/>
      </w:pPr>
      <w:r>
        <w:t>Model Parameter estimates (Table</w:t>
      </w:r>
      <w:r w:rsidR="00CB3281">
        <w:t>s</w:t>
      </w:r>
      <w:r>
        <w:t xml:space="preserve"> 10, 11, </w:t>
      </w:r>
      <w:r w:rsidR="00A96E3B">
        <w:t>12, 13</w:t>
      </w:r>
      <w:r>
        <w:t xml:space="preserve">). </w:t>
      </w:r>
    </w:p>
    <w:p w:rsidR="00F6143F" w:rsidRDefault="00F6143F" w:rsidP="007B7D9A">
      <w:pPr>
        <w:pStyle w:val="ListParagraph"/>
        <w:spacing w:after="120"/>
        <w:ind w:left="1080"/>
        <w:jc w:val="both"/>
      </w:pPr>
    </w:p>
    <w:p w:rsidR="00FE00B5" w:rsidRDefault="00BB48D9" w:rsidP="00F6143F">
      <w:pPr>
        <w:pStyle w:val="ListParagraph"/>
        <w:numPr>
          <w:ilvl w:val="0"/>
          <w:numId w:val="31"/>
        </w:numPr>
        <w:spacing w:after="120"/>
        <w:contextualSpacing w:val="0"/>
        <w:jc w:val="both"/>
      </w:pPr>
      <w:r>
        <w:t>Abundance and biomass ti</w:t>
      </w:r>
      <w:r w:rsidR="0015748A">
        <w:t xml:space="preserve">me series </w:t>
      </w:r>
      <w:r w:rsidR="00F6143F">
        <w:t>(</w:t>
      </w:r>
      <w:r w:rsidR="00A96E3B">
        <w:t>Table 14)</w:t>
      </w:r>
    </w:p>
    <w:p w:rsidR="00A96E3B" w:rsidRDefault="00A96E3B" w:rsidP="00670491">
      <w:pPr>
        <w:spacing w:after="120"/>
        <w:ind w:left="720"/>
        <w:jc w:val="both"/>
      </w:pPr>
    </w:p>
    <w:p w:rsidR="00F779E3" w:rsidRDefault="00BB48D9" w:rsidP="00F6143F">
      <w:pPr>
        <w:pStyle w:val="ListParagraph"/>
        <w:numPr>
          <w:ilvl w:val="0"/>
          <w:numId w:val="31"/>
        </w:numPr>
        <w:tabs>
          <w:tab w:val="left" w:pos="1170"/>
        </w:tabs>
        <w:spacing w:after="120"/>
        <w:contextualSpacing w:val="0"/>
        <w:jc w:val="both"/>
      </w:pPr>
      <w:r w:rsidRPr="00336758">
        <w:t>Recruitment time series</w:t>
      </w:r>
      <w:r w:rsidR="00F6143F">
        <w:t xml:space="preserve"> (</w:t>
      </w:r>
      <w:r w:rsidRPr="00336758">
        <w:t xml:space="preserve">Table </w:t>
      </w:r>
      <w:r w:rsidR="00AB0150">
        <w:t>1</w:t>
      </w:r>
      <w:r w:rsidR="00A96E3B">
        <w:t>4</w:t>
      </w:r>
      <w:r w:rsidR="00F6143F">
        <w:t>)</w:t>
      </w:r>
      <w:r w:rsidR="00581F43">
        <w:t xml:space="preserve">. </w:t>
      </w:r>
    </w:p>
    <w:p w:rsidR="00F6143F" w:rsidRDefault="00F6143F" w:rsidP="00F6143F">
      <w:pPr>
        <w:tabs>
          <w:tab w:val="left" w:pos="1170"/>
        </w:tabs>
        <w:spacing w:after="120"/>
        <w:jc w:val="both"/>
      </w:pPr>
    </w:p>
    <w:p w:rsidR="00275DCB" w:rsidRDefault="00BB48D9" w:rsidP="00F6143F">
      <w:pPr>
        <w:pStyle w:val="ListParagraph"/>
        <w:numPr>
          <w:ilvl w:val="0"/>
          <w:numId w:val="31"/>
        </w:numPr>
        <w:spacing w:after="120"/>
        <w:contextualSpacing w:val="0"/>
        <w:jc w:val="both"/>
      </w:pPr>
      <w:r w:rsidRPr="008D6187">
        <w:t>Time series of c</w:t>
      </w:r>
      <w:r w:rsidR="00670491">
        <w:t xml:space="preserve">atch and </w:t>
      </w:r>
      <w:r w:rsidRPr="008D6187">
        <w:t>biomass</w:t>
      </w:r>
      <w:r w:rsidR="00F6143F">
        <w:t xml:space="preserve"> (</w:t>
      </w:r>
      <w:r w:rsidRPr="008D6187">
        <w:t xml:space="preserve">Table </w:t>
      </w:r>
      <w:r w:rsidR="00A96E3B">
        <w:t>15</w:t>
      </w:r>
      <w:r w:rsidR="00F6143F">
        <w:t xml:space="preserve">) </w:t>
      </w:r>
    </w:p>
    <w:p w:rsidR="003C3A22" w:rsidRPr="008D6187" w:rsidRDefault="003C3A22" w:rsidP="00921C82">
      <w:pPr>
        <w:pStyle w:val="ListParagraph"/>
        <w:spacing w:after="120"/>
        <w:ind w:left="1260"/>
        <w:contextualSpacing w:val="0"/>
        <w:jc w:val="both"/>
      </w:pPr>
    </w:p>
    <w:p w:rsidR="00AB0150" w:rsidRDefault="00AB0150" w:rsidP="00A03152">
      <w:pPr>
        <w:pStyle w:val="ListParagraph"/>
        <w:spacing w:after="120"/>
        <w:ind w:hanging="360"/>
        <w:contextualSpacing w:val="0"/>
        <w:jc w:val="both"/>
      </w:pPr>
      <w:r>
        <w:t xml:space="preserve">3. </w:t>
      </w:r>
      <w:r w:rsidR="00336758">
        <w:t>Graphs of estimates.</w:t>
      </w:r>
    </w:p>
    <w:p w:rsidR="0035788D" w:rsidRDefault="00275DCB" w:rsidP="0035788D">
      <w:pPr>
        <w:pStyle w:val="ListParagraph"/>
        <w:spacing w:after="120"/>
        <w:contextualSpacing w:val="0"/>
        <w:jc w:val="both"/>
      </w:pPr>
      <w:r>
        <w:t>a</w:t>
      </w:r>
      <w:r w:rsidR="00AB0150">
        <w:t xml:space="preserve">. </w:t>
      </w:r>
      <w:r w:rsidR="0035788D">
        <w:t>Molting probability and t</w:t>
      </w:r>
      <w:r w:rsidR="00670491">
        <w:t xml:space="preserve">rawl and </w:t>
      </w:r>
      <w:r w:rsidR="0035788D">
        <w:t xml:space="preserve">pot </w:t>
      </w:r>
      <w:r w:rsidR="00511A70">
        <w:t xml:space="preserve">survey </w:t>
      </w:r>
      <w:r w:rsidR="0035788D">
        <w:t>selectivity (Figure 5)</w:t>
      </w:r>
    </w:p>
    <w:p w:rsidR="0035788D" w:rsidRDefault="0035788D" w:rsidP="0035788D">
      <w:pPr>
        <w:pStyle w:val="ListParagraph"/>
        <w:spacing w:after="120"/>
        <w:contextualSpacing w:val="0"/>
        <w:jc w:val="both"/>
      </w:pPr>
      <w:r>
        <w:lastRenderedPageBreak/>
        <w:t xml:space="preserve">b. Trawl survey abundance and model abundance (Figure 6) </w:t>
      </w:r>
    </w:p>
    <w:p w:rsidR="00A012AF" w:rsidRDefault="0035788D" w:rsidP="0035788D">
      <w:pPr>
        <w:pStyle w:val="ListParagraph"/>
        <w:spacing w:after="120"/>
        <w:contextualSpacing w:val="0"/>
        <w:jc w:val="both"/>
      </w:pPr>
      <w:r>
        <w:t xml:space="preserve">c. </w:t>
      </w:r>
      <w:r w:rsidR="00336758">
        <w:t>Estimated male abundances (</w:t>
      </w:r>
      <w:r w:rsidR="00E81BA0">
        <w:t xml:space="preserve">recruit, legal, and </w:t>
      </w:r>
      <w:r w:rsidR="00336758">
        <w:t>total)</w:t>
      </w:r>
      <w:r w:rsidR="00473D46">
        <w:t xml:space="preserve"> </w:t>
      </w:r>
      <w:r>
        <w:t>(Figure 7)</w:t>
      </w:r>
    </w:p>
    <w:p w:rsidR="0035788D" w:rsidRDefault="0035788D" w:rsidP="0035788D">
      <w:pPr>
        <w:pStyle w:val="ListParagraph"/>
        <w:spacing w:after="120"/>
        <w:contextualSpacing w:val="0"/>
        <w:jc w:val="both"/>
      </w:pPr>
      <w:r>
        <w:t>d</w:t>
      </w:r>
      <w:r w:rsidR="00ED045E">
        <w:t>.</w:t>
      </w:r>
      <w:r>
        <w:t xml:space="preserve"> Estimated mature male biomass (Figure 8)</w:t>
      </w:r>
    </w:p>
    <w:p w:rsidR="00275DCB" w:rsidRDefault="0035788D" w:rsidP="0035788D">
      <w:pPr>
        <w:pStyle w:val="ListParagraph"/>
        <w:spacing w:after="120"/>
        <w:ind w:left="1200" w:hanging="480"/>
        <w:contextualSpacing w:val="0"/>
        <w:jc w:val="both"/>
      </w:pPr>
      <w:r>
        <w:t xml:space="preserve">e. </w:t>
      </w:r>
      <w:r w:rsidR="00D95888">
        <w:t xml:space="preserve">Time series of catch </w:t>
      </w:r>
      <w:r w:rsidR="00670491">
        <w:t>standardized CPUE</w:t>
      </w:r>
      <w:r>
        <w:t xml:space="preserve"> (Figure 9)</w:t>
      </w:r>
      <w:r w:rsidR="006F1D67">
        <w:t>.</w:t>
      </w:r>
    </w:p>
    <w:p w:rsidR="00D95888" w:rsidRDefault="0035788D" w:rsidP="009D135E">
      <w:pPr>
        <w:pStyle w:val="ListParagraph"/>
        <w:spacing w:after="120"/>
        <w:ind w:left="1200" w:hanging="480"/>
        <w:contextualSpacing w:val="0"/>
        <w:jc w:val="both"/>
      </w:pPr>
      <w:r>
        <w:t>f</w:t>
      </w:r>
      <w:r w:rsidR="00D95888">
        <w:t xml:space="preserve">. </w:t>
      </w:r>
      <w:r>
        <w:t>Time series of catch and estimated harvest rate (Figure 10).</w:t>
      </w:r>
    </w:p>
    <w:p w:rsidR="00D86CD1" w:rsidRDefault="00D86CD1" w:rsidP="00657A3A">
      <w:pPr>
        <w:spacing w:after="120"/>
        <w:jc w:val="both"/>
      </w:pPr>
    </w:p>
    <w:p w:rsidR="00ED045E" w:rsidRDefault="00ED045E" w:rsidP="00ED045E">
      <w:pPr>
        <w:pStyle w:val="ListParagraph"/>
        <w:ind w:left="0" w:firstLine="360"/>
        <w:contextualSpacing w:val="0"/>
        <w:jc w:val="both"/>
      </w:pPr>
      <w:r>
        <w:t>4</w:t>
      </w:r>
      <w:r w:rsidR="00581F43">
        <w:t>.</w:t>
      </w:r>
      <w:r>
        <w:t xml:space="preserve"> Evaluation of the fit to the data</w:t>
      </w:r>
    </w:p>
    <w:p w:rsidR="008E1C62" w:rsidRDefault="008E1C62" w:rsidP="00ED045E">
      <w:pPr>
        <w:pStyle w:val="ListParagraph"/>
        <w:ind w:left="0" w:firstLine="360"/>
        <w:contextualSpacing w:val="0"/>
        <w:jc w:val="both"/>
      </w:pPr>
    </w:p>
    <w:p w:rsidR="00ED045E" w:rsidRDefault="00ED045E" w:rsidP="00ED045E">
      <w:pPr>
        <w:pStyle w:val="ListParagraph"/>
        <w:contextualSpacing w:val="0"/>
        <w:jc w:val="both"/>
      </w:pPr>
      <w:r>
        <w:t xml:space="preserve">a. Fits to observed and model predicted catches. </w:t>
      </w:r>
    </w:p>
    <w:p w:rsidR="00826B55" w:rsidRDefault="00ED045E" w:rsidP="009D135E">
      <w:pPr>
        <w:pStyle w:val="ListParagraph"/>
        <w:ind w:left="960"/>
        <w:contextualSpacing w:val="0"/>
        <w:jc w:val="both"/>
      </w:pPr>
      <w:r>
        <w:t>N</w:t>
      </w:r>
      <w:r w:rsidR="00C66DF4">
        <w:t>ot applicable. Catch is assumed to be measured without error</w:t>
      </w:r>
      <w:r w:rsidR="0035788D">
        <w:t xml:space="preserve">; however fits of </w:t>
      </w:r>
      <w:proofErr w:type="spellStart"/>
      <w:r w:rsidR="0035788D">
        <w:t>cpue</w:t>
      </w:r>
      <w:proofErr w:type="spellEnd"/>
      <w:r w:rsidR="0035788D">
        <w:t xml:space="preserve"> are available (Figure 9, 11)</w:t>
      </w:r>
    </w:p>
    <w:p w:rsidR="009D135E" w:rsidRDefault="009D135E" w:rsidP="009D135E">
      <w:pPr>
        <w:pStyle w:val="ListParagraph"/>
        <w:ind w:left="960"/>
        <w:contextualSpacing w:val="0"/>
        <w:jc w:val="both"/>
      </w:pPr>
    </w:p>
    <w:p w:rsidR="00C66DF4" w:rsidRDefault="00ED045E" w:rsidP="00ED045E">
      <w:pPr>
        <w:pStyle w:val="ListParagraph"/>
        <w:contextualSpacing w:val="0"/>
        <w:jc w:val="both"/>
      </w:pPr>
      <w:r>
        <w:t xml:space="preserve">b. </w:t>
      </w:r>
      <w:r w:rsidR="009028E4">
        <w:t xml:space="preserve">Model </w:t>
      </w:r>
      <w:r w:rsidR="00D95888">
        <w:t>fits to</w:t>
      </w:r>
      <w:r w:rsidR="009D135E">
        <w:t xml:space="preserve"> survey number</w:t>
      </w:r>
      <w:r w:rsidR="0035788D">
        <w:t>s (Figure 6, 11</w:t>
      </w:r>
      <w:r w:rsidR="009028E4">
        <w:t>)</w:t>
      </w:r>
      <w:r w:rsidR="00C66DF4">
        <w:t>.</w:t>
      </w:r>
    </w:p>
    <w:p w:rsidR="00723BCE" w:rsidRDefault="00723BCE" w:rsidP="0035788D">
      <w:pPr>
        <w:jc w:val="both"/>
      </w:pPr>
    </w:p>
    <w:p w:rsidR="008E1C62" w:rsidRDefault="000F6C43" w:rsidP="00723BCE">
      <w:pPr>
        <w:ind w:firstLine="720"/>
        <w:jc w:val="both"/>
      </w:pPr>
      <w:r>
        <w:t>c</w:t>
      </w:r>
      <w:r w:rsidR="00723BCE">
        <w:t xml:space="preserve">. </w:t>
      </w:r>
      <w:r w:rsidR="00C66DF4">
        <w:t xml:space="preserve">Model fits to catch and survey </w:t>
      </w:r>
      <w:r w:rsidR="00C46492">
        <w:t xml:space="preserve">length-class </w:t>
      </w:r>
      <w:r w:rsidR="00C66DF4">
        <w:t>proportions</w:t>
      </w:r>
      <w:r w:rsidR="00D95888">
        <w:t xml:space="preserve"> (</w:t>
      </w:r>
      <w:r w:rsidR="0035788D">
        <w:t>Figure 12, 13, 14, 15, 16</w:t>
      </w:r>
      <w:r w:rsidR="009028E4">
        <w:t>).</w:t>
      </w:r>
    </w:p>
    <w:p w:rsidR="008E1C62" w:rsidRDefault="005E4F19" w:rsidP="0035788D">
      <w:pPr>
        <w:pStyle w:val="ListParagraph"/>
        <w:contextualSpacing w:val="0"/>
        <w:jc w:val="both"/>
      </w:pPr>
      <w:r>
        <w:t xml:space="preserve">  </w:t>
      </w:r>
      <w:r w:rsidR="00040EE8">
        <w:tab/>
      </w:r>
      <w:r>
        <w:t xml:space="preserve"> </w:t>
      </w:r>
    </w:p>
    <w:p w:rsidR="008E1C62" w:rsidRDefault="000F6C43" w:rsidP="00ED045E">
      <w:pPr>
        <w:pStyle w:val="ListParagraph"/>
        <w:contextualSpacing w:val="0"/>
        <w:jc w:val="both"/>
      </w:pPr>
      <w:r>
        <w:t>d</w:t>
      </w:r>
      <w:r w:rsidR="008E1C62">
        <w:t xml:space="preserve">. Marginal distribution for the fits to the </w:t>
      </w:r>
      <w:r w:rsidR="00841D5F">
        <w:t>composition data: (Figure</w:t>
      </w:r>
      <w:r w:rsidR="0035788D">
        <w:t xml:space="preserve"> 13</w:t>
      </w:r>
      <w:r w:rsidR="00841D5F">
        <w:t>).</w:t>
      </w:r>
    </w:p>
    <w:p w:rsidR="000E1AA9" w:rsidRDefault="000E1AA9" w:rsidP="00ED045E">
      <w:pPr>
        <w:pStyle w:val="ListParagraph"/>
        <w:contextualSpacing w:val="0"/>
        <w:jc w:val="both"/>
      </w:pPr>
    </w:p>
    <w:p w:rsidR="008E1C62" w:rsidRDefault="008E1C62" w:rsidP="000F6C43">
      <w:pPr>
        <w:pStyle w:val="ListParagraph"/>
        <w:numPr>
          <w:ilvl w:val="0"/>
          <w:numId w:val="31"/>
        </w:numPr>
        <w:contextualSpacing w:val="0"/>
        <w:jc w:val="both"/>
      </w:pPr>
      <w:r>
        <w:t xml:space="preserve">Plots of input </w:t>
      </w:r>
      <w:r w:rsidR="000F6C43">
        <w:t xml:space="preserve">vs. implied </w:t>
      </w:r>
      <w:r>
        <w:t>effective sample size</w:t>
      </w:r>
      <w:r w:rsidR="000F6C43">
        <w:t>: frequency (Figure 4a), correlation (Figure 4b), and time series (Figure 4c).</w:t>
      </w:r>
    </w:p>
    <w:p w:rsidR="00500768" w:rsidRDefault="00500768" w:rsidP="00240BAE">
      <w:pPr>
        <w:pStyle w:val="ListParagraph"/>
        <w:ind w:left="990" w:hanging="270"/>
        <w:contextualSpacing w:val="0"/>
        <w:jc w:val="both"/>
      </w:pPr>
    </w:p>
    <w:p w:rsidR="000E1AA9" w:rsidRDefault="000F6C43" w:rsidP="00723BCE">
      <w:pPr>
        <w:ind w:left="990" w:hanging="270"/>
        <w:jc w:val="both"/>
      </w:pPr>
      <w:r>
        <w:t>f</w:t>
      </w:r>
      <w:r w:rsidR="00723BCE">
        <w:t xml:space="preserve">. </w:t>
      </w:r>
      <w:r w:rsidR="00040EE8">
        <w:t xml:space="preserve">Tables of RMSEs for the indices:  </w:t>
      </w:r>
    </w:p>
    <w:p w:rsidR="00E22613" w:rsidRDefault="00E22613" w:rsidP="00657A3A">
      <w:pPr>
        <w:jc w:val="both"/>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530"/>
        <w:gridCol w:w="2116"/>
        <w:gridCol w:w="2116"/>
      </w:tblGrid>
      <w:tr w:rsidR="00CD1FDC" w:rsidTr="00A104A8">
        <w:trPr>
          <w:trHeight w:val="282"/>
        </w:trPr>
        <w:tc>
          <w:tcPr>
            <w:tcW w:w="1818" w:type="dxa"/>
            <w:tcBorders>
              <w:top w:val="single" w:sz="4" w:space="0" w:color="auto"/>
              <w:bottom w:val="single" w:sz="4" w:space="0" w:color="auto"/>
            </w:tcBorders>
          </w:tcPr>
          <w:p w:rsidR="00CD1FDC" w:rsidRDefault="00CD1FDC" w:rsidP="000D300F">
            <w:pPr>
              <w:pStyle w:val="ListParagraph"/>
              <w:ind w:left="0"/>
              <w:contextualSpacing w:val="0"/>
              <w:jc w:val="center"/>
            </w:pPr>
            <w:r>
              <w:t>Indices</w:t>
            </w:r>
          </w:p>
        </w:tc>
        <w:tc>
          <w:tcPr>
            <w:tcW w:w="1530" w:type="dxa"/>
            <w:tcBorders>
              <w:top w:val="single" w:sz="4" w:space="0" w:color="auto"/>
              <w:bottom w:val="single" w:sz="4" w:space="0" w:color="auto"/>
            </w:tcBorders>
          </w:tcPr>
          <w:p w:rsidR="00CD1FDC" w:rsidRDefault="00CD1FDC" w:rsidP="000D300F">
            <w:pPr>
              <w:pStyle w:val="ListParagraph"/>
              <w:ind w:left="0"/>
              <w:contextualSpacing w:val="0"/>
              <w:jc w:val="center"/>
            </w:pPr>
            <w:r>
              <w:t>Model 0</w:t>
            </w:r>
          </w:p>
        </w:tc>
        <w:tc>
          <w:tcPr>
            <w:tcW w:w="2116" w:type="dxa"/>
            <w:tcBorders>
              <w:top w:val="single" w:sz="4" w:space="0" w:color="auto"/>
              <w:bottom w:val="single" w:sz="4" w:space="0" w:color="auto"/>
            </w:tcBorders>
          </w:tcPr>
          <w:p w:rsidR="00CD1FDC" w:rsidRDefault="00CD1FDC" w:rsidP="000D300F">
            <w:pPr>
              <w:pStyle w:val="ListParagraph"/>
              <w:ind w:left="0"/>
              <w:contextualSpacing w:val="0"/>
              <w:jc w:val="center"/>
            </w:pPr>
            <w:r>
              <w:t>Model 2.i</w:t>
            </w:r>
          </w:p>
        </w:tc>
        <w:tc>
          <w:tcPr>
            <w:tcW w:w="2116" w:type="dxa"/>
            <w:tcBorders>
              <w:top w:val="single" w:sz="4" w:space="0" w:color="auto"/>
              <w:bottom w:val="single" w:sz="4" w:space="0" w:color="auto"/>
            </w:tcBorders>
          </w:tcPr>
          <w:p w:rsidR="00CD1FDC" w:rsidRDefault="00CD1FDC" w:rsidP="000D300F">
            <w:pPr>
              <w:pStyle w:val="ListParagraph"/>
              <w:ind w:left="0"/>
              <w:contextualSpacing w:val="0"/>
              <w:jc w:val="center"/>
            </w:pPr>
            <w:r>
              <w:t>Model 2.io</w:t>
            </w:r>
          </w:p>
        </w:tc>
      </w:tr>
      <w:tr w:rsidR="00CD1FDC" w:rsidTr="00A104A8">
        <w:trPr>
          <w:trHeight w:val="272"/>
        </w:trPr>
        <w:tc>
          <w:tcPr>
            <w:tcW w:w="1818" w:type="dxa"/>
            <w:tcBorders>
              <w:top w:val="single" w:sz="4" w:space="0" w:color="auto"/>
            </w:tcBorders>
          </w:tcPr>
          <w:p w:rsidR="00CD1FDC" w:rsidRDefault="00CD1FDC" w:rsidP="000D300F">
            <w:pPr>
              <w:pStyle w:val="ListParagraph"/>
              <w:ind w:left="0"/>
              <w:contextualSpacing w:val="0"/>
              <w:jc w:val="center"/>
            </w:pPr>
            <w:r>
              <w:t>Trawl survey</w:t>
            </w:r>
          </w:p>
        </w:tc>
        <w:tc>
          <w:tcPr>
            <w:tcW w:w="1530" w:type="dxa"/>
            <w:tcBorders>
              <w:top w:val="single" w:sz="4" w:space="0" w:color="auto"/>
            </w:tcBorders>
          </w:tcPr>
          <w:p w:rsidR="00CD1FDC" w:rsidRDefault="00CD1FDC" w:rsidP="000D300F">
            <w:pPr>
              <w:pStyle w:val="ListParagraph"/>
              <w:ind w:left="0"/>
              <w:contextualSpacing w:val="0"/>
              <w:jc w:val="center"/>
            </w:pPr>
            <w:r>
              <w:t>0.284</w:t>
            </w:r>
          </w:p>
        </w:tc>
        <w:tc>
          <w:tcPr>
            <w:tcW w:w="2116" w:type="dxa"/>
            <w:tcBorders>
              <w:top w:val="single" w:sz="4" w:space="0" w:color="auto"/>
            </w:tcBorders>
          </w:tcPr>
          <w:p w:rsidR="00CD1FDC" w:rsidRDefault="00CD1FDC" w:rsidP="000D300F">
            <w:pPr>
              <w:pStyle w:val="ListParagraph"/>
              <w:ind w:left="0"/>
              <w:contextualSpacing w:val="0"/>
              <w:jc w:val="center"/>
            </w:pPr>
            <w:r>
              <w:t>0.282</w:t>
            </w:r>
          </w:p>
        </w:tc>
        <w:tc>
          <w:tcPr>
            <w:tcW w:w="2116" w:type="dxa"/>
            <w:tcBorders>
              <w:top w:val="single" w:sz="4" w:space="0" w:color="auto"/>
            </w:tcBorders>
          </w:tcPr>
          <w:p w:rsidR="00CD1FDC" w:rsidRDefault="002F5464" w:rsidP="000D300F">
            <w:pPr>
              <w:pStyle w:val="ListParagraph"/>
              <w:ind w:left="0"/>
              <w:contextualSpacing w:val="0"/>
              <w:jc w:val="center"/>
            </w:pPr>
            <w:r>
              <w:t>0.268</w:t>
            </w:r>
          </w:p>
        </w:tc>
      </w:tr>
      <w:tr w:rsidR="00CD1FDC" w:rsidTr="00A104A8">
        <w:trPr>
          <w:trHeight w:val="272"/>
        </w:trPr>
        <w:tc>
          <w:tcPr>
            <w:tcW w:w="1818" w:type="dxa"/>
            <w:tcBorders>
              <w:bottom w:val="single" w:sz="4" w:space="0" w:color="auto"/>
            </w:tcBorders>
          </w:tcPr>
          <w:p w:rsidR="00CD1FDC" w:rsidRDefault="00CD1FDC" w:rsidP="000D300F">
            <w:pPr>
              <w:pStyle w:val="ListParagraph"/>
              <w:ind w:left="0"/>
              <w:contextualSpacing w:val="0"/>
              <w:jc w:val="center"/>
            </w:pPr>
            <w:r>
              <w:t>CPUE</w:t>
            </w:r>
          </w:p>
        </w:tc>
        <w:tc>
          <w:tcPr>
            <w:tcW w:w="1530" w:type="dxa"/>
            <w:tcBorders>
              <w:bottom w:val="single" w:sz="4" w:space="0" w:color="auto"/>
            </w:tcBorders>
          </w:tcPr>
          <w:p w:rsidR="00CD1FDC" w:rsidRDefault="00CD1FDC" w:rsidP="000D300F">
            <w:pPr>
              <w:pStyle w:val="ListParagraph"/>
              <w:ind w:left="0"/>
              <w:contextualSpacing w:val="0"/>
              <w:jc w:val="center"/>
            </w:pPr>
            <w:r>
              <w:t>0.493</w:t>
            </w:r>
          </w:p>
        </w:tc>
        <w:tc>
          <w:tcPr>
            <w:tcW w:w="2116" w:type="dxa"/>
            <w:tcBorders>
              <w:bottom w:val="single" w:sz="4" w:space="0" w:color="auto"/>
            </w:tcBorders>
          </w:tcPr>
          <w:p w:rsidR="00CD1FDC" w:rsidRDefault="00CD1FDC" w:rsidP="000D300F">
            <w:pPr>
              <w:pStyle w:val="ListParagraph"/>
              <w:ind w:left="0"/>
              <w:contextualSpacing w:val="0"/>
              <w:jc w:val="center"/>
            </w:pPr>
            <w:r>
              <w:t>0.497</w:t>
            </w:r>
          </w:p>
        </w:tc>
        <w:tc>
          <w:tcPr>
            <w:tcW w:w="2116" w:type="dxa"/>
            <w:tcBorders>
              <w:bottom w:val="single" w:sz="4" w:space="0" w:color="auto"/>
            </w:tcBorders>
          </w:tcPr>
          <w:p w:rsidR="00CD1FDC" w:rsidRDefault="002F5464" w:rsidP="000D300F">
            <w:pPr>
              <w:pStyle w:val="ListParagraph"/>
              <w:ind w:left="0"/>
              <w:contextualSpacing w:val="0"/>
              <w:jc w:val="center"/>
            </w:pPr>
            <w:r>
              <w:t>0.500</w:t>
            </w:r>
          </w:p>
        </w:tc>
      </w:tr>
    </w:tbl>
    <w:p w:rsidR="00ED6159" w:rsidRDefault="00ED6159" w:rsidP="00E701EA">
      <w:pPr>
        <w:jc w:val="both"/>
      </w:pPr>
    </w:p>
    <w:p w:rsidR="000E1AA9" w:rsidRDefault="000E1AA9" w:rsidP="00ED045E">
      <w:pPr>
        <w:pStyle w:val="ListParagraph"/>
        <w:contextualSpacing w:val="0"/>
        <w:jc w:val="both"/>
      </w:pPr>
    </w:p>
    <w:p w:rsidR="00ED6159" w:rsidRDefault="008E1C62" w:rsidP="00EF6835">
      <w:pPr>
        <w:pStyle w:val="ListParagraph"/>
        <w:numPr>
          <w:ilvl w:val="0"/>
          <w:numId w:val="1"/>
        </w:numPr>
        <w:jc w:val="both"/>
      </w:pPr>
      <w:r>
        <w:t>QQ plots and histogr</w:t>
      </w:r>
      <w:r w:rsidR="00DE5D50">
        <w:t>ams of residuals</w:t>
      </w:r>
      <w:r w:rsidR="0035788D">
        <w:t xml:space="preserve"> (Figure 11). </w:t>
      </w:r>
    </w:p>
    <w:p w:rsidR="00C66DF4" w:rsidRDefault="00C66DF4" w:rsidP="00ED045E">
      <w:pPr>
        <w:pStyle w:val="ListParagraph"/>
        <w:contextualSpacing w:val="0"/>
        <w:jc w:val="both"/>
      </w:pPr>
    </w:p>
    <w:p w:rsidR="000434D9" w:rsidRDefault="003A638B" w:rsidP="00DE5D50">
      <w:pPr>
        <w:pStyle w:val="ListParagraph"/>
        <w:spacing w:after="120"/>
        <w:ind w:hanging="360"/>
        <w:contextualSpacing w:val="0"/>
        <w:jc w:val="both"/>
      </w:pPr>
      <w:r>
        <w:t>5</w:t>
      </w:r>
      <w:r w:rsidR="00581F43">
        <w:t xml:space="preserve">. </w:t>
      </w:r>
      <w:r w:rsidR="002116FB">
        <w:t xml:space="preserve">Retrospective </w:t>
      </w:r>
      <w:r w:rsidR="0098451E">
        <w:t>analyses (Figure 17)</w:t>
      </w:r>
    </w:p>
    <w:p w:rsidR="00EF6835" w:rsidRDefault="00EF6835" w:rsidP="00DE5D50">
      <w:pPr>
        <w:pStyle w:val="ListParagraph"/>
        <w:spacing w:after="120"/>
        <w:ind w:hanging="360"/>
        <w:contextualSpacing w:val="0"/>
        <w:jc w:val="both"/>
      </w:pPr>
    </w:p>
    <w:p w:rsidR="0002039D" w:rsidRDefault="002116FB" w:rsidP="00DE5D50">
      <w:pPr>
        <w:pStyle w:val="ListParagraph"/>
        <w:numPr>
          <w:ilvl w:val="0"/>
          <w:numId w:val="27"/>
        </w:numPr>
        <w:tabs>
          <w:tab w:val="left" w:pos="-720"/>
        </w:tabs>
        <w:suppressAutoHyphens/>
        <w:spacing w:after="120"/>
        <w:ind w:left="720"/>
        <w:jc w:val="both"/>
      </w:pPr>
      <w:r>
        <w:t>Uncertainty and sensitivity analyses.</w:t>
      </w:r>
    </w:p>
    <w:p w:rsidR="00EF6835" w:rsidRDefault="00EF6835" w:rsidP="00EF6835">
      <w:pPr>
        <w:pStyle w:val="ListParagraph"/>
        <w:tabs>
          <w:tab w:val="left" w:pos="-720"/>
        </w:tabs>
        <w:suppressAutoHyphens/>
        <w:spacing w:after="120"/>
        <w:jc w:val="both"/>
      </w:pPr>
      <w:r>
        <w:t xml:space="preserve"> None</w:t>
      </w:r>
    </w:p>
    <w:p w:rsidR="00DE5D50" w:rsidRDefault="00DE5D50" w:rsidP="008264B6">
      <w:pPr>
        <w:widowControl w:val="0"/>
        <w:suppressAutoHyphens/>
        <w:spacing w:after="120"/>
        <w:ind w:left="720"/>
        <w:jc w:val="both"/>
        <w:rPr>
          <w:spacing w:val="-3"/>
        </w:rPr>
      </w:pPr>
    </w:p>
    <w:p w:rsidR="00444865" w:rsidRDefault="009D1AD1" w:rsidP="000A03C9">
      <w:pPr>
        <w:pStyle w:val="ListParagraph"/>
        <w:numPr>
          <w:ilvl w:val="0"/>
          <w:numId w:val="4"/>
        </w:numPr>
        <w:spacing w:line="360" w:lineRule="auto"/>
        <w:ind w:left="360"/>
        <w:rPr>
          <w:b/>
          <w:i/>
          <w:sz w:val="28"/>
          <w:szCs w:val="28"/>
        </w:rPr>
      </w:pPr>
      <w:r w:rsidRPr="007A481A">
        <w:rPr>
          <w:b/>
          <w:i/>
          <w:sz w:val="28"/>
          <w:szCs w:val="28"/>
        </w:rPr>
        <w:t>Calculation of the OFL</w:t>
      </w:r>
    </w:p>
    <w:p w:rsidR="00DB7A86" w:rsidRPr="008264B6" w:rsidRDefault="00DB7A86" w:rsidP="00DB7A86">
      <w:pPr>
        <w:pStyle w:val="ListParagraph"/>
        <w:spacing w:line="360" w:lineRule="auto"/>
        <w:ind w:left="360"/>
        <w:rPr>
          <w:b/>
        </w:rPr>
      </w:pPr>
    </w:p>
    <w:p w:rsidR="003F4C80" w:rsidRDefault="003F4C80" w:rsidP="00FC076C">
      <w:pPr>
        <w:widowControl w:val="0"/>
        <w:suppressAutoHyphens/>
        <w:spacing w:after="120"/>
        <w:jc w:val="both"/>
      </w:pPr>
      <w:r>
        <w:t xml:space="preserve">1. Specification of the Tier level and stock status. </w:t>
      </w:r>
    </w:p>
    <w:p w:rsidR="00FC076C" w:rsidRPr="00AD32F4" w:rsidRDefault="00274820" w:rsidP="00FC076C">
      <w:pPr>
        <w:widowControl w:val="0"/>
        <w:suppressAutoHyphens/>
        <w:spacing w:after="120"/>
        <w:jc w:val="both"/>
      </w:pPr>
      <w:r>
        <w:t xml:space="preserve">The </w:t>
      </w:r>
      <w:r w:rsidR="00E468CC">
        <w:t>Norton Sound red king crab</w:t>
      </w:r>
      <w:r>
        <w:t xml:space="preserve"> stock is</w:t>
      </w:r>
      <w:r w:rsidR="00E468CC">
        <w:t xml:space="preserve"> currently placed in Tier 4</w:t>
      </w:r>
      <w:r w:rsidR="001E250A">
        <w:t xml:space="preserve"> (NPFMC 2007)</w:t>
      </w:r>
      <w:r w:rsidR="00E65CE7">
        <w:t>. I</w:t>
      </w:r>
      <w:r w:rsidR="00CF2A03">
        <w:t>t is not possible to estimate</w:t>
      </w:r>
      <w:r w:rsidR="00A9781D">
        <w:t xml:space="preserve"> the </w:t>
      </w:r>
      <w:proofErr w:type="spellStart"/>
      <w:r w:rsidR="00A9781D">
        <w:t>spawner</w:t>
      </w:r>
      <w:proofErr w:type="spellEnd"/>
      <w:r w:rsidR="00A9781D">
        <w:t xml:space="preserve">-recruit relationship, but </w:t>
      </w:r>
      <w:r w:rsidR="001A7986">
        <w:t xml:space="preserve">some </w:t>
      </w:r>
      <w:r w:rsidR="0046661F">
        <w:t xml:space="preserve">abundance </w:t>
      </w:r>
      <w:r w:rsidR="00A9781D">
        <w:t xml:space="preserve">and harvest estimates </w:t>
      </w:r>
      <w:r w:rsidR="0046661F">
        <w:lastRenderedPageBreak/>
        <w:t>are available</w:t>
      </w:r>
      <w:r w:rsidR="00D32386">
        <w:t xml:space="preserve"> to build a </w:t>
      </w:r>
      <w:r w:rsidR="0046661F">
        <w:t xml:space="preserve">computer simulation </w:t>
      </w:r>
      <w:r w:rsidR="00D32386">
        <w:t>model that capture the essential population dynamics</w:t>
      </w:r>
      <w:r w:rsidR="00581F43">
        <w:t xml:space="preserve">. </w:t>
      </w:r>
      <w:r w:rsidR="00AF53DC">
        <w:t>Whereas</w:t>
      </w:r>
      <w:r w:rsidR="00D32386">
        <w:t xml:space="preserve"> </w:t>
      </w:r>
      <w:r w:rsidR="00AF53DC">
        <w:t xml:space="preserve">tier </w:t>
      </w:r>
      <w:r w:rsidR="00D32386">
        <w:t>4 stock</w:t>
      </w:r>
      <w:r w:rsidR="00AF53DC">
        <w:t>s</w:t>
      </w:r>
      <w:r w:rsidR="00D32386">
        <w:t xml:space="preserve"> are </w:t>
      </w:r>
      <w:r w:rsidR="00AF53DC">
        <w:t xml:space="preserve">assumed to have </w:t>
      </w:r>
      <w:r w:rsidR="00D32386">
        <w:t>reliable estimates of</w:t>
      </w:r>
      <w:r w:rsidR="00CF2A03">
        <w:t xml:space="preserve"> current survey biomass and </w:t>
      </w:r>
      <w:r w:rsidR="00D32386">
        <w:t xml:space="preserve">instantaneous M, the </w:t>
      </w:r>
      <w:r w:rsidR="00AF53DC">
        <w:t xml:space="preserve">estimates for the </w:t>
      </w:r>
      <w:r w:rsidR="00D32386">
        <w:t xml:space="preserve">Norton Sound red king </w:t>
      </w:r>
      <w:r w:rsidR="00CF2A03">
        <w:t xml:space="preserve">crab stock </w:t>
      </w:r>
      <w:r w:rsidR="00934B37">
        <w:t>remain</w:t>
      </w:r>
      <w:r w:rsidR="00CF2A03">
        <w:t xml:space="preserve"> </w:t>
      </w:r>
      <w:r w:rsidR="00AF53DC">
        <w:t>uncertain</w:t>
      </w:r>
      <w:r w:rsidR="00581F43">
        <w:t xml:space="preserve">. </w:t>
      </w:r>
      <w:r w:rsidR="00CF2A03">
        <w:t>S</w:t>
      </w:r>
      <w:r w:rsidR="00D32386">
        <w:t>urvey biomass is based on triennial trawl survey</w:t>
      </w:r>
      <w:r w:rsidR="00CF2A03">
        <w:t>s</w:t>
      </w:r>
      <w:r w:rsidR="00B364B5">
        <w:t xml:space="preserve"> with CV</w:t>
      </w:r>
      <w:r w:rsidR="00CF2A03">
        <w:t>s</w:t>
      </w:r>
      <w:r w:rsidR="00B364B5">
        <w:t xml:space="preserve"> ranging </w:t>
      </w:r>
      <w:r w:rsidR="00934B37">
        <w:t xml:space="preserve">from </w:t>
      </w:r>
      <w:r w:rsidR="00B364B5">
        <w:t>15-42% (Table 4</w:t>
      </w:r>
      <w:r w:rsidR="00AD32F4">
        <w:t>)</w:t>
      </w:r>
      <w:r w:rsidR="00581F43">
        <w:t>.</w:t>
      </w:r>
      <w:r w:rsidR="00AD32F4">
        <w:t xml:space="preserve"> </w:t>
      </w:r>
    </w:p>
    <w:p w:rsidR="009C53F0" w:rsidRDefault="0046661F" w:rsidP="00816B7F">
      <w:pPr>
        <w:spacing w:before="120"/>
        <w:jc w:val="both"/>
      </w:pPr>
      <w:r>
        <w:t xml:space="preserve"> </w:t>
      </w:r>
      <w:r w:rsidR="009C53F0">
        <w:t xml:space="preserve"> </w:t>
      </w:r>
    </w:p>
    <w:p w:rsidR="00FC076C" w:rsidRDefault="00E9543D" w:rsidP="00FC076C">
      <w:pPr>
        <w:spacing w:before="120"/>
        <w:jc w:val="both"/>
        <w:rPr>
          <w:spacing w:val="-3"/>
        </w:rPr>
      </w:pPr>
      <w:r>
        <w:rPr>
          <w:spacing w:val="-3"/>
        </w:rPr>
        <w:t xml:space="preserve">The OFL is </w:t>
      </w:r>
      <w:r w:rsidR="004E2F8F">
        <w:rPr>
          <w:spacing w:val="-3"/>
        </w:rPr>
        <w:t>determined using the OFL control rule</w:t>
      </w:r>
      <w:r>
        <w:rPr>
          <w:spacing w:val="-3"/>
        </w:rPr>
        <w:t xml:space="preserve"> </w:t>
      </w:r>
    </w:p>
    <w:p w:rsidR="007E094B" w:rsidRDefault="007E094B" w:rsidP="00FC076C">
      <w:pPr>
        <w:spacing w:before="120"/>
        <w:jc w:val="both"/>
        <w:rPr>
          <w:spacing w:val="-3"/>
        </w:rPr>
      </w:pPr>
    </w:p>
    <w:tbl>
      <w:tblPr>
        <w:tblW w:w="0" w:type="auto"/>
        <w:tblInd w:w="1032" w:type="dxa"/>
        <w:tblLook w:val="04A0" w:firstRow="1" w:lastRow="0" w:firstColumn="1" w:lastColumn="0" w:noHBand="0" w:noVBand="1"/>
      </w:tblPr>
      <w:tblGrid>
        <w:gridCol w:w="7488"/>
        <w:gridCol w:w="540"/>
      </w:tblGrid>
      <w:tr w:rsidR="00FC076C" w:rsidRPr="007E0C7B" w:rsidTr="0049716C">
        <w:tc>
          <w:tcPr>
            <w:tcW w:w="7488" w:type="dxa"/>
          </w:tcPr>
          <w:p w:rsidR="00FC076C" w:rsidRPr="007E0C7B" w:rsidRDefault="009F1122" w:rsidP="007E0C7B">
            <w:pPr>
              <w:spacing w:before="120"/>
              <w:jc w:val="both"/>
              <w:rPr>
                <w:spacing w:val="-3"/>
              </w:rPr>
            </w:pPr>
            <w:r w:rsidRPr="009F1122">
              <w:rPr>
                <w:position w:val="-14"/>
              </w:rPr>
              <w:object w:dxaOrig="3320" w:dyaOrig="380">
                <v:shape id="_x0000_i1029" type="#_x0000_t75" style="width:164.05pt;height:17.55pt" o:ole="">
                  <v:imagedata r:id="rId20" o:title=""/>
                </v:shape>
                <o:OLEObject Type="Embed" ProgID="Equation.3" ShapeID="_x0000_i1029" DrawAspect="Content" ObjectID="_1459679458" r:id="rId21"/>
              </w:object>
            </w:r>
          </w:p>
        </w:tc>
        <w:tc>
          <w:tcPr>
            <w:tcW w:w="540" w:type="dxa"/>
          </w:tcPr>
          <w:p w:rsidR="00FC076C" w:rsidRPr="007E0C7B" w:rsidRDefault="00CF2A03" w:rsidP="007E0C7B">
            <w:pPr>
              <w:spacing w:before="120"/>
              <w:jc w:val="both"/>
              <w:rPr>
                <w:spacing w:val="-3"/>
              </w:rPr>
            </w:pPr>
            <w:r>
              <w:rPr>
                <w:spacing w:val="-3"/>
              </w:rPr>
              <w:t>(1</w:t>
            </w:r>
            <w:r w:rsidR="0009675C" w:rsidRPr="007E0C7B">
              <w:rPr>
                <w:spacing w:val="-3"/>
              </w:rPr>
              <w:t>)</w:t>
            </w:r>
          </w:p>
        </w:tc>
      </w:tr>
      <w:tr w:rsidR="00FC076C" w:rsidRPr="007E0C7B" w:rsidTr="0049716C">
        <w:tc>
          <w:tcPr>
            <w:tcW w:w="7488" w:type="dxa"/>
          </w:tcPr>
          <w:p w:rsidR="00FC076C" w:rsidRPr="007E0C7B" w:rsidRDefault="009F1122" w:rsidP="007E0C7B">
            <w:pPr>
              <w:spacing w:before="120"/>
              <w:jc w:val="both"/>
              <w:rPr>
                <w:spacing w:val="-3"/>
              </w:rPr>
            </w:pPr>
            <w:r w:rsidRPr="009F1122">
              <w:rPr>
                <w:position w:val="-14"/>
              </w:rPr>
              <w:object w:dxaOrig="6200" w:dyaOrig="380">
                <v:shape id="_x0000_i1030" type="#_x0000_t75" style="width:309.9pt;height:17.55pt" o:ole="">
                  <v:imagedata r:id="rId22" o:title=""/>
                </v:shape>
                <o:OLEObject Type="Embed" ProgID="Equation.3" ShapeID="_x0000_i1030" DrawAspect="Content" ObjectID="_1459679459" r:id="rId23"/>
              </w:object>
            </w:r>
          </w:p>
        </w:tc>
        <w:tc>
          <w:tcPr>
            <w:tcW w:w="540" w:type="dxa"/>
          </w:tcPr>
          <w:p w:rsidR="00FC076C" w:rsidRPr="007E0C7B" w:rsidRDefault="00CF2A03" w:rsidP="007E0C7B">
            <w:pPr>
              <w:spacing w:before="120"/>
              <w:jc w:val="both"/>
              <w:rPr>
                <w:spacing w:val="-3"/>
              </w:rPr>
            </w:pPr>
            <w:r>
              <w:rPr>
                <w:spacing w:val="-3"/>
              </w:rPr>
              <w:t>(2</w:t>
            </w:r>
            <w:r w:rsidR="0009675C" w:rsidRPr="007E0C7B">
              <w:rPr>
                <w:spacing w:val="-3"/>
              </w:rPr>
              <w:t>)</w:t>
            </w:r>
          </w:p>
        </w:tc>
      </w:tr>
      <w:tr w:rsidR="00FC076C" w:rsidRPr="007E0C7B" w:rsidTr="0049716C">
        <w:tc>
          <w:tcPr>
            <w:tcW w:w="7488" w:type="dxa"/>
          </w:tcPr>
          <w:p w:rsidR="00FC076C" w:rsidRPr="007E0C7B" w:rsidRDefault="009F1122" w:rsidP="007E0C7B">
            <w:pPr>
              <w:spacing w:before="120"/>
              <w:jc w:val="both"/>
              <w:rPr>
                <w:spacing w:val="-3"/>
              </w:rPr>
            </w:pPr>
            <w:r w:rsidRPr="009F1122">
              <w:rPr>
                <w:position w:val="-14"/>
              </w:rPr>
              <w:object w:dxaOrig="7260" w:dyaOrig="380">
                <v:shape id="_x0000_i1031" type="#_x0000_t75" style="width:363.15pt;height:17.55pt" o:ole="">
                  <v:imagedata r:id="rId24" o:title=""/>
                </v:shape>
                <o:OLEObject Type="Embed" ProgID="Equation.3" ShapeID="_x0000_i1031" DrawAspect="Content" ObjectID="_1459679460" r:id="rId25"/>
              </w:object>
            </w:r>
          </w:p>
        </w:tc>
        <w:tc>
          <w:tcPr>
            <w:tcW w:w="540" w:type="dxa"/>
          </w:tcPr>
          <w:p w:rsidR="00B11944" w:rsidRPr="007E0C7B" w:rsidRDefault="00CF2A03" w:rsidP="007E0C7B">
            <w:pPr>
              <w:spacing w:before="120"/>
              <w:jc w:val="both"/>
              <w:rPr>
                <w:spacing w:val="-3"/>
              </w:rPr>
            </w:pPr>
            <w:r>
              <w:rPr>
                <w:spacing w:val="-3"/>
              </w:rPr>
              <w:t>(3</w:t>
            </w:r>
            <w:r w:rsidR="0009675C" w:rsidRPr="007E0C7B">
              <w:rPr>
                <w:spacing w:val="-3"/>
              </w:rPr>
              <w:t>)</w:t>
            </w:r>
          </w:p>
        </w:tc>
      </w:tr>
    </w:tbl>
    <w:p w:rsidR="00E65CE7" w:rsidRDefault="00CF2A03" w:rsidP="007E094B">
      <w:pPr>
        <w:spacing w:before="120"/>
        <w:jc w:val="both"/>
        <w:rPr>
          <w:spacing w:val="-3"/>
        </w:rPr>
      </w:pPr>
      <w:r>
        <w:rPr>
          <w:spacing w:val="-3"/>
        </w:rPr>
        <w:t>w</w:t>
      </w:r>
      <w:r w:rsidR="00AD32F4">
        <w:rPr>
          <w:spacing w:val="-3"/>
        </w:rPr>
        <w:t xml:space="preserve">here </w:t>
      </w:r>
      <w:r w:rsidR="00AD32F4" w:rsidRPr="00CF2A03">
        <w:rPr>
          <w:i/>
          <w:spacing w:val="-3"/>
        </w:rPr>
        <w:t>B</w:t>
      </w:r>
      <w:r w:rsidR="00AD32F4">
        <w:rPr>
          <w:spacing w:val="-3"/>
        </w:rPr>
        <w:t xml:space="preserve"> is  mature male biomass</w:t>
      </w:r>
      <w:r w:rsidR="00AC139B">
        <w:rPr>
          <w:spacing w:val="-3"/>
        </w:rPr>
        <w:t xml:space="preserve"> (MMB)</w:t>
      </w:r>
      <w:r w:rsidR="00AD32F4">
        <w:rPr>
          <w:spacing w:val="-3"/>
        </w:rPr>
        <w:t xml:space="preserve">, </w:t>
      </w:r>
      <w:r w:rsidR="00AD32F4" w:rsidRPr="00CF2A03">
        <w:rPr>
          <w:i/>
          <w:spacing w:val="-3"/>
        </w:rPr>
        <w:t>B</w:t>
      </w:r>
      <w:r w:rsidR="00AD32F4" w:rsidRPr="00090375">
        <w:rPr>
          <w:i/>
          <w:spacing w:val="-3"/>
          <w:vertAlign w:val="subscript"/>
        </w:rPr>
        <w:t>MSY</w:t>
      </w:r>
      <w:r w:rsidR="007E094B">
        <w:rPr>
          <w:spacing w:val="-3"/>
        </w:rPr>
        <w:t xml:space="preserve"> proxy </w:t>
      </w:r>
      <w:r w:rsidR="00AD32F4">
        <w:rPr>
          <w:spacing w:val="-3"/>
        </w:rPr>
        <w:t>is average mature male bioma</w:t>
      </w:r>
      <w:r w:rsidR="00090375">
        <w:rPr>
          <w:spacing w:val="-3"/>
        </w:rPr>
        <w:t>ss over a specified time period</w:t>
      </w:r>
      <w:r w:rsidR="004E2F8F">
        <w:rPr>
          <w:spacing w:val="-3"/>
        </w:rPr>
        <w:t>,</w:t>
      </w:r>
      <w:r w:rsidR="00AD32F4">
        <w:rPr>
          <w:spacing w:val="-3"/>
        </w:rPr>
        <w:t xml:space="preserve"> </w:t>
      </w:r>
      <w:r w:rsidR="007E094B" w:rsidRPr="00DD042E">
        <w:rPr>
          <w:i/>
          <w:spacing w:val="-3"/>
        </w:rPr>
        <w:t>M</w:t>
      </w:r>
      <w:r w:rsidR="007E094B">
        <w:rPr>
          <w:spacing w:val="-3"/>
        </w:rPr>
        <w:t xml:space="preserve"> = 0.18 </w:t>
      </w:r>
      <w:r w:rsidR="004E2F8F">
        <w:rPr>
          <w:spacing w:val="-3"/>
        </w:rPr>
        <w:t xml:space="preserve">is instantaneous natural mortality, </w:t>
      </w:r>
      <w:r w:rsidR="007E094B">
        <w:rPr>
          <w:color w:val="000000"/>
        </w:rPr>
        <w:t xml:space="preserve">and </w:t>
      </w:r>
      <w:r w:rsidR="007E094B" w:rsidRPr="00E33369">
        <w:rPr>
          <w:i/>
          <w:iCs/>
          <w:color w:val="000000"/>
        </w:rPr>
        <w:sym w:font="Symbol" w:char="F067"/>
      </w:r>
      <w:r w:rsidR="007E094B">
        <w:rPr>
          <w:color w:val="000000"/>
        </w:rPr>
        <w:t xml:space="preserve"> = 1</w:t>
      </w:r>
      <w:r w:rsidR="00581F43">
        <w:rPr>
          <w:spacing w:val="-3"/>
        </w:rPr>
        <w:t xml:space="preserve">. </w:t>
      </w:r>
      <w:r w:rsidR="00441114">
        <w:rPr>
          <w:spacing w:val="-3"/>
        </w:rPr>
        <w:t xml:space="preserve">For Norton Sound red king crab, MMB is defined as </w:t>
      </w:r>
      <w:r w:rsidR="004E2F8F">
        <w:rPr>
          <w:spacing w:val="-3"/>
        </w:rPr>
        <w:t>the biomass of male crab measuring at least 94mm CL.</w:t>
      </w:r>
      <w:r w:rsidR="00441114">
        <w:rPr>
          <w:spacing w:val="-3"/>
        </w:rPr>
        <w:t xml:space="preserve"> </w:t>
      </w:r>
      <w:r w:rsidR="00934B37">
        <w:rPr>
          <w:spacing w:val="-3"/>
        </w:rPr>
        <w:t>The default data used for</w:t>
      </w:r>
      <w:r w:rsidR="00441114">
        <w:rPr>
          <w:spacing w:val="-3"/>
        </w:rPr>
        <w:t xml:space="preserve"> the selection of the </w:t>
      </w:r>
      <w:r w:rsidR="00441114" w:rsidRPr="00CF2A03">
        <w:rPr>
          <w:i/>
          <w:spacing w:val="-3"/>
        </w:rPr>
        <w:t>B</w:t>
      </w:r>
      <w:r w:rsidR="00441114" w:rsidRPr="00090375">
        <w:rPr>
          <w:i/>
          <w:spacing w:val="-3"/>
          <w:vertAlign w:val="subscript"/>
        </w:rPr>
        <w:t>MSY</w:t>
      </w:r>
      <w:r w:rsidR="00441114">
        <w:rPr>
          <w:spacing w:val="-3"/>
        </w:rPr>
        <w:t xml:space="preserve"> proxy</w:t>
      </w:r>
      <w:r w:rsidR="00934B37">
        <w:rPr>
          <w:spacing w:val="-3"/>
        </w:rPr>
        <w:t xml:space="preserve"> is the </w:t>
      </w:r>
      <w:r w:rsidR="00441114">
        <w:rPr>
          <w:spacing w:val="-3"/>
        </w:rPr>
        <w:t xml:space="preserve">survey MMB. </w:t>
      </w:r>
      <w:r w:rsidR="00934B37">
        <w:rPr>
          <w:spacing w:val="-3"/>
        </w:rPr>
        <w:t>The</w:t>
      </w:r>
      <w:r w:rsidR="00441114">
        <w:rPr>
          <w:spacing w:val="-3"/>
        </w:rPr>
        <w:t xml:space="preserve"> </w:t>
      </w:r>
      <w:r w:rsidR="00934B37">
        <w:rPr>
          <w:spacing w:val="-3"/>
        </w:rPr>
        <w:t>only available survey MMB data for the Norton Sound red king crab stock are triennial trawl surveys.</w:t>
      </w:r>
      <w:r w:rsidR="00441114">
        <w:rPr>
          <w:spacing w:val="-3"/>
        </w:rPr>
        <w:t xml:space="preserve">   </w:t>
      </w:r>
      <w:r w:rsidR="00934B37">
        <w:rPr>
          <w:spacing w:val="-3"/>
        </w:rPr>
        <w:t>W</w:t>
      </w:r>
      <w:r w:rsidR="00441114">
        <w:rPr>
          <w:spacing w:val="-3"/>
        </w:rPr>
        <w:t xml:space="preserve">e used the </w:t>
      </w:r>
      <w:r w:rsidR="00441114" w:rsidRPr="004B29E3">
        <w:rPr>
          <w:i/>
          <w:spacing w:val="-3"/>
          <w:u w:val="single"/>
        </w:rPr>
        <w:t>model estimated</w:t>
      </w:r>
      <w:r w:rsidR="00441114">
        <w:rPr>
          <w:spacing w:val="-3"/>
        </w:rPr>
        <w:t xml:space="preserve"> MMB for calculation of </w:t>
      </w:r>
      <w:r w:rsidR="00441114" w:rsidRPr="00CF2A03">
        <w:rPr>
          <w:i/>
          <w:spacing w:val="-3"/>
        </w:rPr>
        <w:t>B</w:t>
      </w:r>
      <w:r w:rsidR="00441114" w:rsidRPr="00090375">
        <w:rPr>
          <w:i/>
          <w:spacing w:val="-3"/>
          <w:vertAlign w:val="subscript"/>
        </w:rPr>
        <w:t>MSY</w:t>
      </w:r>
      <w:r w:rsidR="00441114">
        <w:rPr>
          <w:spacing w:val="-3"/>
        </w:rPr>
        <w:t xml:space="preserve"> proxy from 1980 to present. </w:t>
      </w:r>
    </w:p>
    <w:p w:rsidR="00441114" w:rsidRDefault="00441114" w:rsidP="008264B6">
      <w:pPr>
        <w:spacing w:before="120"/>
        <w:jc w:val="both"/>
        <w:rPr>
          <w:spacing w:val="-3"/>
        </w:rPr>
      </w:pPr>
      <w:r w:rsidRPr="00CF2A03">
        <w:rPr>
          <w:i/>
          <w:spacing w:val="-3"/>
        </w:rPr>
        <w:t>B</w:t>
      </w:r>
      <w:r w:rsidRPr="00090375">
        <w:rPr>
          <w:i/>
          <w:spacing w:val="-3"/>
          <w:vertAlign w:val="subscript"/>
        </w:rPr>
        <w:t>MSY</w:t>
      </w:r>
      <w:r>
        <w:rPr>
          <w:spacing w:val="-3"/>
        </w:rPr>
        <w:t xml:space="preserve"> proxy = average model estimated MMB from 1980-2014 </w:t>
      </w:r>
    </w:p>
    <w:p w:rsidR="00ED6948" w:rsidRDefault="00E65CE7" w:rsidP="006462FB">
      <w:pPr>
        <w:spacing w:before="120"/>
        <w:jc w:val="both"/>
        <w:rPr>
          <w:spacing w:val="-3"/>
        </w:rPr>
      </w:pPr>
      <w:r>
        <w:rPr>
          <w:spacing w:val="-3"/>
        </w:rPr>
        <w:t xml:space="preserve">OFL was calculated for </w:t>
      </w:r>
      <w:r w:rsidR="00533016">
        <w:rPr>
          <w:spacing w:val="-3"/>
        </w:rPr>
        <w:t xml:space="preserve">retained catch and total </w:t>
      </w:r>
      <w:r w:rsidR="004E2F8F">
        <w:rPr>
          <w:spacing w:val="-3"/>
        </w:rPr>
        <w:t xml:space="preserve">model </w:t>
      </w:r>
      <w:r w:rsidR="00533016">
        <w:rPr>
          <w:spacing w:val="-3"/>
        </w:rPr>
        <w:t xml:space="preserve">male catch. The retained </w:t>
      </w:r>
      <w:r w:rsidR="005D11FC">
        <w:rPr>
          <w:spacing w:val="-3"/>
        </w:rPr>
        <w:t xml:space="preserve">catch </w:t>
      </w:r>
      <w:r w:rsidR="00533016">
        <w:rPr>
          <w:spacing w:val="-3"/>
        </w:rPr>
        <w:t xml:space="preserve">OFL is based on </w:t>
      </w:r>
      <w:r>
        <w:rPr>
          <w:spacing w:val="-3"/>
        </w:rPr>
        <w:t>legal crab biomass catchable to summer commercial pot fisheries</w:t>
      </w:r>
      <w:r w:rsidR="0049716C">
        <w:rPr>
          <w:spacing w:val="-3"/>
        </w:rPr>
        <w:t xml:space="preserve"> (</w:t>
      </w:r>
      <w:proofErr w:type="spellStart"/>
      <w:r w:rsidR="0049716C" w:rsidRPr="0049716C">
        <w:rPr>
          <w:i/>
          <w:spacing w:val="-3"/>
        </w:rPr>
        <w:t>Legal_B</w:t>
      </w:r>
      <w:proofErr w:type="spellEnd"/>
      <w:r w:rsidR="0049716C">
        <w:rPr>
          <w:spacing w:val="-3"/>
        </w:rPr>
        <w:t>)</w:t>
      </w:r>
      <w:r w:rsidR="00441114">
        <w:rPr>
          <w:spacing w:val="-3"/>
        </w:rPr>
        <w:t xml:space="preserve"> that was calculated </w:t>
      </w:r>
      <w:r w:rsidR="00ED6948">
        <w:rPr>
          <w:spacing w:val="-3"/>
        </w:rPr>
        <w:t xml:space="preserve">as: </w:t>
      </w:r>
      <w:r w:rsidR="00ED6948" w:rsidRPr="00ED6948">
        <w:rPr>
          <w:spacing w:val="-3"/>
        </w:rPr>
        <w:t>Projected legal abundance</w:t>
      </w:r>
      <w:r w:rsidR="00ED6948">
        <w:rPr>
          <w:spacing w:val="-3"/>
        </w:rPr>
        <w:t xml:space="preserve"> </w:t>
      </w:r>
      <w:r w:rsidR="00ED6948" w:rsidRPr="00ED6948">
        <w:rPr>
          <w:spacing w:val="-3"/>
        </w:rPr>
        <w:t>(</w:t>
      </w:r>
      <w:r w:rsidR="00441114">
        <w:rPr>
          <w:spacing w:val="-3"/>
        </w:rPr>
        <w:t>July</w:t>
      </w:r>
      <w:r w:rsidR="00ED6948" w:rsidRPr="00ED6948">
        <w:rPr>
          <w:spacing w:val="-3"/>
        </w:rPr>
        <w:t xml:space="preserve"> 1st)</w:t>
      </w:r>
      <w:r w:rsidR="00ED6948">
        <w:rPr>
          <w:spacing w:val="-3"/>
        </w:rPr>
        <w:t xml:space="preserve"> × </w:t>
      </w:r>
      <w:r w:rsidR="00ED6948" w:rsidRPr="00ED6948">
        <w:rPr>
          <w:spacing w:val="-3"/>
        </w:rPr>
        <w:t>Commercial pot selectivity</w:t>
      </w:r>
      <w:r w:rsidR="00ED6948">
        <w:rPr>
          <w:spacing w:val="-3"/>
        </w:rPr>
        <w:t xml:space="preserve"> × </w:t>
      </w:r>
      <w:r w:rsidR="00ED6948" w:rsidRPr="00ED6948">
        <w:rPr>
          <w:spacing w:val="-3"/>
        </w:rPr>
        <w:t>Proportion of legal crab per length class</w:t>
      </w:r>
      <w:r w:rsidR="00ED6948">
        <w:rPr>
          <w:spacing w:val="-3"/>
        </w:rPr>
        <w:t xml:space="preserve"> × </w:t>
      </w:r>
      <w:r w:rsidR="00ED6948" w:rsidRPr="00ED6948">
        <w:rPr>
          <w:spacing w:val="-3"/>
        </w:rPr>
        <w:t xml:space="preserve">Average  </w:t>
      </w:r>
      <w:r w:rsidR="004E2F8F">
        <w:rPr>
          <w:spacing w:val="-3"/>
        </w:rPr>
        <w:t>weight (</w:t>
      </w:r>
      <w:proofErr w:type="spellStart"/>
      <w:r w:rsidR="004E2F8F">
        <w:rPr>
          <w:spacing w:val="-3"/>
        </w:rPr>
        <w:t>lb</w:t>
      </w:r>
      <w:proofErr w:type="spellEnd"/>
      <w:r w:rsidR="004E2F8F">
        <w:rPr>
          <w:spacing w:val="-3"/>
        </w:rPr>
        <w:t xml:space="preserve">) </w:t>
      </w:r>
      <w:r w:rsidR="00ED6948" w:rsidRPr="00ED6948">
        <w:rPr>
          <w:spacing w:val="-3"/>
        </w:rPr>
        <w:t xml:space="preserve"> </w:t>
      </w:r>
      <w:r w:rsidR="005D11FC">
        <w:rPr>
          <w:spacing w:val="-3"/>
        </w:rPr>
        <w:t xml:space="preserve">by </w:t>
      </w:r>
      <w:r w:rsidR="00ED6948" w:rsidRPr="00ED6948">
        <w:rPr>
          <w:spacing w:val="-3"/>
        </w:rPr>
        <w:t>length class</w:t>
      </w:r>
      <w:r w:rsidR="00581F43">
        <w:rPr>
          <w:spacing w:val="-3"/>
        </w:rPr>
        <w:t>.</w:t>
      </w:r>
      <w:r w:rsidR="006462FB">
        <w:rPr>
          <w:spacing w:val="-3"/>
        </w:rPr>
        <w:t xml:space="preserve"> </w:t>
      </w:r>
    </w:p>
    <w:p w:rsidR="00441114" w:rsidRDefault="00441114" w:rsidP="006462FB">
      <w:pPr>
        <w:spacing w:before="120"/>
        <w:jc w:val="both"/>
        <w:rPr>
          <w:spacing w:val="-3"/>
        </w:rPr>
      </w:pPr>
    </w:p>
    <w:p w:rsidR="00ED6948" w:rsidRDefault="009C7A09" w:rsidP="00ED6948">
      <w:pPr>
        <w:spacing w:before="120"/>
        <w:ind w:firstLine="720"/>
        <w:jc w:val="both"/>
        <w:rPr>
          <w:spacing w:val="-3"/>
        </w:rPr>
      </w:pPr>
      <w:r w:rsidRPr="008F33F0">
        <w:rPr>
          <w:spacing w:val="-3"/>
          <w:position w:val="-28"/>
        </w:rPr>
        <w:object w:dxaOrig="3620" w:dyaOrig="540" w14:anchorId="36DDC764">
          <v:shape id="_x0000_i1032" type="#_x0000_t75" style="width:192.2pt;height:28.8pt" o:ole="">
            <v:imagedata r:id="rId26" o:title=""/>
          </v:shape>
          <o:OLEObject Type="Embed" ProgID="Equation.3" ShapeID="_x0000_i1032" DrawAspect="Content" ObjectID="_1459679461" r:id="rId27"/>
        </w:object>
      </w:r>
    </w:p>
    <w:p w:rsidR="00AD32F4" w:rsidRDefault="00A54E85" w:rsidP="00ED6948">
      <w:pPr>
        <w:spacing w:before="120"/>
        <w:ind w:firstLine="720"/>
        <w:jc w:val="both"/>
      </w:pPr>
      <w:r w:rsidRPr="00A54E85">
        <w:rPr>
          <w:position w:val="-12"/>
        </w:rPr>
        <w:object w:dxaOrig="3360" w:dyaOrig="360" w14:anchorId="75372609">
          <v:shape id="_x0000_i1033" type="#_x0000_t75" style="width:167.8pt;height:18.15pt" o:ole="">
            <v:imagedata r:id="rId28" o:title=""/>
          </v:shape>
          <o:OLEObject Type="Embed" ProgID="Equation.3" ShapeID="_x0000_i1033" DrawAspect="Content" ObjectID="_1459679462" r:id="rId29"/>
        </w:object>
      </w:r>
    </w:p>
    <w:p w:rsidR="009C7A09" w:rsidRDefault="00934B37" w:rsidP="00ED6948">
      <w:pPr>
        <w:spacing w:before="120"/>
        <w:ind w:firstLine="720"/>
        <w:jc w:val="both"/>
        <w:rPr>
          <w:position w:val="-12"/>
        </w:rPr>
      </w:pPr>
      <w:r w:rsidRPr="008F33F0">
        <w:rPr>
          <w:spacing w:val="-3"/>
          <w:position w:val="-28"/>
        </w:rPr>
        <w:object w:dxaOrig="5740" w:dyaOrig="540" w14:anchorId="5FBB17E3">
          <v:shape id="_x0000_i1034" type="#_x0000_t75" style="width:306.15pt;height:28.8pt" o:ole="">
            <v:imagedata r:id="rId30" o:title=""/>
          </v:shape>
          <o:OLEObject Type="Embed" ProgID="Equation.3" ShapeID="_x0000_i1034" DrawAspect="Content" ObjectID="_1459679463" r:id="rId31"/>
        </w:object>
      </w:r>
    </w:p>
    <w:p w:rsidR="00441114" w:rsidRPr="007013CB" w:rsidRDefault="00441114" w:rsidP="00441114">
      <w:pPr>
        <w:spacing w:before="120"/>
        <w:jc w:val="both"/>
        <w:rPr>
          <w:position w:val="-12"/>
        </w:rPr>
      </w:pPr>
    </w:p>
    <w:p w:rsidR="00441114" w:rsidRDefault="00441114" w:rsidP="00441114">
      <w:pPr>
        <w:spacing w:before="120"/>
        <w:jc w:val="both"/>
        <w:rPr>
          <w:spacing w:val="-3"/>
        </w:rPr>
      </w:pPr>
      <w:r>
        <w:rPr>
          <w:spacing w:val="-3"/>
        </w:rPr>
        <w:t xml:space="preserve">where </w:t>
      </w:r>
      <w:proofErr w:type="spellStart"/>
      <w:r>
        <w:rPr>
          <w:i/>
          <w:spacing w:val="-3"/>
        </w:rPr>
        <w:t>N</w:t>
      </w:r>
      <w:r>
        <w:rPr>
          <w:i/>
          <w:spacing w:val="-3"/>
          <w:vertAlign w:val="subscript"/>
        </w:rPr>
        <w:t>s,l</w:t>
      </w:r>
      <w:proofErr w:type="spellEnd"/>
      <w:r>
        <w:rPr>
          <w:spacing w:val="-3"/>
        </w:rPr>
        <w:t xml:space="preserve"> and </w:t>
      </w:r>
      <w:proofErr w:type="spellStart"/>
      <w:r>
        <w:rPr>
          <w:i/>
          <w:spacing w:val="-3"/>
        </w:rPr>
        <w:t>O</w:t>
      </w:r>
      <w:r>
        <w:rPr>
          <w:i/>
          <w:spacing w:val="-3"/>
          <w:vertAlign w:val="subscript"/>
        </w:rPr>
        <w:t>s,l</w:t>
      </w:r>
      <w:proofErr w:type="spellEnd"/>
      <w:r>
        <w:rPr>
          <w:spacing w:val="-3"/>
        </w:rPr>
        <w:t xml:space="preserve"> are summer abundances of </w:t>
      </w:r>
      <w:proofErr w:type="spellStart"/>
      <w:r>
        <w:rPr>
          <w:spacing w:val="-3"/>
        </w:rPr>
        <w:t>newshell</w:t>
      </w:r>
      <w:proofErr w:type="spellEnd"/>
      <w:r>
        <w:rPr>
          <w:spacing w:val="-3"/>
        </w:rPr>
        <w:t xml:space="preserve"> and </w:t>
      </w:r>
      <w:proofErr w:type="spellStart"/>
      <w:r>
        <w:rPr>
          <w:spacing w:val="-3"/>
        </w:rPr>
        <w:t>oldshell</w:t>
      </w:r>
      <w:proofErr w:type="spellEnd"/>
      <w:r>
        <w:rPr>
          <w:spacing w:val="-3"/>
        </w:rPr>
        <w:t xml:space="preserve"> crabs in length class </w:t>
      </w:r>
      <w:r>
        <w:rPr>
          <w:i/>
          <w:spacing w:val="-3"/>
        </w:rPr>
        <w:t>l</w:t>
      </w:r>
      <w:r>
        <w:rPr>
          <w:spacing w:val="-3"/>
        </w:rPr>
        <w:t xml:space="preserve"> in the terminal year, </w:t>
      </w:r>
      <w:proofErr w:type="spellStart"/>
      <w:r>
        <w:rPr>
          <w:i/>
          <w:spacing w:val="-3"/>
        </w:rPr>
        <w:t>L</w:t>
      </w:r>
      <w:r w:rsidRPr="00D420AA">
        <w:rPr>
          <w:i/>
          <w:spacing w:val="-3"/>
          <w:vertAlign w:val="subscript"/>
        </w:rPr>
        <w:t>l</w:t>
      </w:r>
      <w:proofErr w:type="spellEnd"/>
      <w:r>
        <w:rPr>
          <w:spacing w:val="-3"/>
        </w:rPr>
        <w:t xml:space="preserve"> is the proportion of legal males in length class </w:t>
      </w:r>
      <w:r>
        <w:rPr>
          <w:i/>
          <w:spacing w:val="-3"/>
        </w:rPr>
        <w:t>l</w:t>
      </w:r>
      <w:r>
        <w:rPr>
          <w:spacing w:val="-3"/>
        </w:rPr>
        <w:t xml:space="preserve">, </w:t>
      </w:r>
      <w:proofErr w:type="spellStart"/>
      <w:r>
        <w:rPr>
          <w:i/>
          <w:spacing w:val="-3"/>
        </w:rPr>
        <w:t>S</w:t>
      </w:r>
      <w:r>
        <w:rPr>
          <w:i/>
          <w:spacing w:val="-3"/>
          <w:vertAlign w:val="subscript"/>
        </w:rPr>
        <w:t>s,l</w:t>
      </w:r>
      <w:proofErr w:type="spellEnd"/>
      <w:r>
        <w:rPr>
          <w:spacing w:val="-3"/>
        </w:rPr>
        <w:t xml:space="preserve">  is summer commercial catch selectivity, </w:t>
      </w:r>
      <w:proofErr w:type="spellStart"/>
      <w:r w:rsidRPr="00C80BC2">
        <w:rPr>
          <w:i/>
          <w:spacing w:val="-3"/>
        </w:rPr>
        <w:t>w</w:t>
      </w:r>
      <w:r>
        <w:rPr>
          <w:i/>
          <w:spacing w:val="-3"/>
        </w:rPr>
        <w:t>m</w:t>
      </w:r>
      <w:r w:rsidRPr="00C80BC2">
        <w:rPr>
          <w:i/>
          <w:spacing w:val="-3"/>
          <w:vertAlign w:val="subscript"/>
        </w:rPr>
        <w:t>l</w:t>
      </w:r>
      <w:proofErr w:type="spellEnd"/>
      <w:r w:rsidRPr="00C80BC2">
        <w:rPr>
          <w:i/>
          <w:spacing w:val="-3"/>
        </w:rPr>
        <w:t xml:space="preserve"> </w:t>
      </w:r>
      <w:r>
        <w:rPr>
          <w:spacing w:val="-3"/>
        </w:rPr>
        <w:t xml:space="preserve">is average weight in length class </w:t>
      </w:r>
      <w:r>
        <w:rPr>
          <w:i/>
          <w:spacing w:val="-3"/>
        </w:rPr>
        <w:t>l</w:t>
      </w:r>
      <w:r>
        <w:rPr>
          <w:spacing w:val="-3"/>
        </w:rPr>
        <w:t xml:space="preserve"> and </w:t>
      </w:r>
      <w:proofErr w:type="spellStart"/>
      <w:r w:rsidRPr="007013CB">
        <w:rPr>
          <w:i/>
          <w:spacing w:val="-3"/>
        </w:rPr>
        <w:t>hm</w:t>
      </w:r>
      <w:proofErr w:type="spellEnd"/>
      <w:r>
        <w:rPr>
          <w:spacing w:val="-3"/>
        </w:rPr>
        <w:t xml:space="preserve"> is handling mortality rate</w:t>
      </w:r>
      <w:r w:rsidR="00581F43">
        <w:rPr>
          <w:spacing w:val="-3"/>
        </w:rPr>
        <w:t xml:space="preserve">. </w:t>
      </w:r>
      <w:r>
        <w:rPr>
          <w:spacing w:val="-3"/>
        </w:rPr>
        <w:t xml:space="preserve"> </w:t>
      </w:r>
    </w:p>
    <w:p w:rsidR="006545E6" w:rsidRDefault="006545E6" w:rsidP="007013CB">
      <w:pPr>
        <w:spacing w:before="120"/>
        <w:jc w:val="both"/>
        <w:rPr>
          <w:position w:val="-12"/>
        </w:rPr>
      </w:pPr>
    </w:p>
    <w:p w:rsidR="00533016" w:rsidRDefault="00533016" w:rsidP="007013CB">
      <w:pPr>
        <w:spacing w:before="120"/>
        <w:jc w:val="both"/>
        <w:rPr>
          <w:position w:val="-12"/>
        </w:rPr>
      </w:pPr>
      <w:r>
        <w:rPr>
          <w:position w:val="-12"/>
        </w:rPr>
        <w:t xml:space="preserve">The total </w:t>
      </w:r>
      <w:r w:rsidR="005D11FC">
        <w:rPr>
          <w:position w:val="-12"/>
        </w:rPr>
        <w:t xml:space="preserve">model </w:t>
      </w:r>
      <w:r>
        <w:rPr>
          <w:position w:val="-12"/>
        </w:rPr>
        <w:t xml:space="preserve">male OFL is </w:t>
      </w:r>
    </w:p>
    <w:p w:rsidR="00533016" w:rsidRDefault="00533016" w:rsidP="007013CB">
      <w:pPr>
        <w:spacing w:before="120"/>
        <w:jc w:val="both"/>
        <w:rPr>
          <w:spacing w:val="-3"/>
        </w:rPr>
      </w:pPr>
      <w:r>
        <w:rPr>
          <w:spacing w:val="-3"/>
          <w:position w:val="-28"/>
        </w:rPr>
        <w:t xml:space="preserve">                                    </w:t>
      </w:r>
      <w:r w:rsidR="00A54E85" w:rsidRPr="00A54E85">
        <w:rPr>
          <w:spacing w:val="-3"/>
          <w:position w:val="-12"/>
        </w:rPr>
        <w:object w:dxaOrig="2220" w:dyaOrig="360" w14:anchorId="4A9355D7">
          <v:shape id="_x0000_i1035" type="#_x0000_t75" style="width:118.95pt;height:18.8pt" o:ole="">
            <v:imagedata r:id="rId32" o:title=""/>
          </v:shape>
          <o:OLEObject Type="Embed" ProgID="Equation.3" ShapeID="_x0000_i1035" DrawAspect="Content" ObjectID="_1459679464" r:id="rId33"/>
        </w:object>
      </w:r>
    </w:p>
    <w:p w:rsidR="00AC139B" w:rsidRDefault="00AC139B" w:rsidP="00D565FF">
      <w:pPr>
        <w:spacing w:before="120"/>
        <w:jc w:val="both"/>
        <w:rPr>
          <w:spacing w:val="-3"/>
        </w:rPr>
      </w:pPr>
    </w:p>
    <w:p w:rsidR="00610FE8" w:rsidRDefault="00874FA5" w:rsidP="00816B7F">
      <w:pPr>
        <w:spacing w:before="120"/>
        <w:jc w:val="both"/>
        <w:rPr>
          <w:spacing w:val="-3"/>
        </w:rPr>
      </w:pPr>
      <w:r>
        <w:rPr>
          <w:spacing w:val="-3"/>
        </w:rPr>
        <w:lastRenderedPageBreak/>
        <w:t>Predicted</w:t>
      </w:r>
      <w:r w:rsidR="00D80A8C">
        <w:rPr>
          <w:spacing w:val="-3"/>
        </w:rPr>
        <w:t xml:space="preserve"> legal male </w:t>
      </w:r>
      <w:r w:rsidR="001B287D">
        <w:rPr>
          <w:spacing w:val="-3"/>
        </w:rPr>
        <w:t>and mature male biomass in 2014</w:t>
      </w:r>
      <w:r w:rsidR="00D80A8C">
        <w:rPr>
          <w:spacing w:val="-3"/>
        </w:rPr>
        <w:t xml:space="preserve"> are</w:t>
      </w:r>
      <w:r w:rsidR="00610FE8">
        <w:rPr>
          <w:spacing w:val="-3"/>
        </w:rPr>
        <w:t>:</w:t>
      </w:r>
    </w:p>
    <w:p w:rsidR="00782355" w:rsidRDefault="00782355" w:rsidP="003C7579">
      <w:pPr>
        <w:spacing w:before="120"/>
        <w:ind w:firstLine="720"/>
        <w:jc w:val="both"/>
        <w:rPr>
          <w:spacing w:val="-3"/>
        </w:rPr>
      </w:pPr>
    </w:p>
    <w:p w:rsidR="00FC1259" w:rsidRDefault="00913EA0" w:rsidP="00FC1259">
      <w:pPr>
        <w:ind w:firstLine="720"/>
        <w:jc w:val="both"/>
        <w:rPr>
          <w:spacing w:val="-3"/>
        </w:rPr>
      </w:pPr>
      <w:r>
        <w:rPr>
          <w:spacing w:val="-3"/>
        </w:rPr>
        <w:t>Legal male biomass</w:t>
      </w:r>
      <w:r w:rsidR="00610FE8">
        <w:rPr>
          <w:spacing w:val="-3"/>
        </w:rPr>
        <w:t xml:space="preserve">:  </w:t>
      </w:r>
    </w:p>
    <w:p w:rsidR="0078716F" w:rsidRDefault="0078716F" w:rsidP="009F3EE6">
      <w:pPr>
        <w:ind w:firstLine="720"/>
        <w:jc w:val="both"/>
        <w:rPr>
          <w:spacing w:val="-3"/>
        </w:rPr>
      </w:pPr>
    </w:p>
    <w:p w:rsidR="009F3EE6" w:rsidRDefault="00076A92" w:rsidP="009F3EE6">
      <w:pPr>
        <w:ind w:firstLine="720"/>
        <w:jc w:val="both"/>
        <w:rPr>
          <w:spacing w:val="-3"/>
        </w:rPr>
      </w:pPr>
      <w:r>
        <w:rPr>
          <w:spacing w:val="-3"/>
        </w:rPr>
        <w:t>3.05</w:t>
      </w:r>
      <w:r w:rsidR="009F3EE6" w:rsidRPr="00E13052">
        <w:rPr>
          <w:spacing w:val="-3"/>
        </w:rPr>
        <w:t xml:space="preserve"> million </w:t>
      </w:r>
      <w:proofErr w:type="spellStart"/>
      <w:r w:rsidR="009F3EE6" w:rsidRPr="00E13052">
        <w:rPr>
          <w:spacing w:val="-3"/>
        </w:rPr>
        <w:t>lb</w:t>
      </w:r>
      <w:proofErr w:type="spellEnd"/>
      <w:r w:rsidR="009F3EE6" w:rsidRPr="00E13052">
        <w:rPr>
          <w:spacing w:val="-3"/>
        </w:rPr>
        <w:t xml:space="preserve"> with a standard deviation of </w:t>
      </w:r>
      <w:r>
        <w:rPr>
          <w:spacing w:val="-3"/>
        </w:rPr>
        <w:t>0.46</w:t>
      </w:r>
      <w:r w:rsidR="009F3EE6" w:rsidRPr="00E13052">
        <w:rPr>
          <w:spacing w:val="-3"/>
        </w:rPr>
        <w:t xml:space="preserve"> million lb.</w:t>
      </w:r>
      <w:r>
        <w:rPr>
          <w:spacing w:val="-3"/>
        </w:rPr>
        <w:t xml:space="preserve"> (model 0)</w:t>
      </w:r>
    </w:p>
    <w:p w:rsidR="00A54E85" w:rsidRDefault="00076A92" w:rsidP="00A54E85">
      <w:pPr>
        <w:ind w:firstLine="720"/>
        <w:jc w:val="both"/>
        <w:rPr>
          <w:spacing w:val="-3"/>
        </w:rPr>
      </w:pPr>
      <w:r>
        <w:rPr>
          <w:spacing w:val="-3"/>
        </w:rPr>
        <w:t xml:space="preserve">3.22 </w:t>
      </w:r>
      <w:r w:rsidRPr="00E13052">
        <w:rPr>
          <w:spacing w:val="-3"/>
        </w:rPr>
        <w:t xml:space="preserve">million </w:t>
      </w:r>
      <w:proofErr w:type="spellStart"/>
      <w:r w:rsidRPr="00E13052">
        <w:rPr>
          <w:spacing w:val="-3"/>
        </w:rPr>
        <w:t>lb</w:t>
      </w:r>
      <w:proofErr w:type="spellEnd"/>
      <w:r w:rsidRPr="00E13052">
        <w:rPr>
          <w:spacing w:val="-3"/>
        </w:rPr>
        <w:t xml:space="preserve"> with a standard deviation of </w:t>
      </w:r>
      <w:r>
        <w:rPr>
          <w:spacing w:val="-3"/>
        </w:rPr>
        <w:t>0.49</w:t>
      </w:r>
      <w:r w:rsidRPr="00E13052">
        <w:rPr>
          <w:spacing w:val="-3"/>
        </w:rPr>
        <w:t xml:space="preserve"> million lb.</w:t>
      </w:r>
      <w:r>
        <w:rPr>
          <w:spacing w:val="-3"/>
        </w:rPr>
        <w:t xml:space="preserve"> (model 2.i)</w:t>
      </w:r>
    </w:p>
    <w:p w:rsidR="005D3BD2" w:rsidRDefault="005D3BD2" w:rsidP="005D3BD2">
      <w:pPr>
        <w:ind w:firstLine="720"/>
        <w:jc w:val="both"/>
        <w:rPr>
          <w:spacing w:val="-3"/>
        </w:rPr>
      </w:pPr>
      <w:r>
        <w:rPr>
          <w:spacing w:val="-3"/>
        </w:rPr>
        <w:t xml:space="preserve">3.19 </w:t>
      </w:r>
      <w:r w:rsidRPr="00E13052">
        <w:rPr>
          <w:spacing w:val="-3"/>
        </w:rPr>
        <w:t xml:space="preserve">million </w:t>
      </w:r>
      <w:proofErr w:type="spellStart"/>
      <w:r w:rsidRPr="00E13052">
        <w:rPr>
          <w:spacing w:val="-3"/>
        </w:rPr>
        <w:t>lb</w:t>
      </w:r>
      <w:proofErr w:type="spellEnd"/>
      <w:r w:rsidRPr="00E13052">
        <w:rPr>
          <w:spacing w:val="-3"/>
        </w:rPr>
        <w:t xml:space="preserve"> with a standard deviation of </w:t>
      </w:r>
      <w:r>
        <w:rPr>
          <w:spacing w:val="-3"/>
        </w:rPr>
        <w:t>0.48</w:t>
      </w:r>
      <w:r w:rsidRPr="00E13052">
        <w:rPr>
          <w:spacing w:val="-3"/>
        </w:rPr>
        <w:t xml:space="preserve"> million lb.</w:t>
      </w:r>
      <w:r>
        <w:rPr>
          <w:spacing w:val="-3"/>
        </w:rPr>
        <w:t xml:space="preserve"> (model 2.io)</w:t>
      </w:r>
    </w:p>
    <w:p w:rsidR="00FC1259" w:rsidRPr="00E13052" w:rsidRDefault="00FC1259" w:rsidP="0078716F">
      <w:pPr>
        <w:jc w:val="both"/>
        <w:rPr>
          <w:spacing w:val="-3"/>
        </w:rPr>
      </w:pPr>
    </w:p>
    <w:p w:rsidR="00610FE8" w:rsidRDefault="00610FE8" w:rsidP="003C7579">
      <w:pPr>
        <w:spacing w:before="120"/>
        <w:ind w:firstLine="720"/>
        <w:jc w:val="both"/>
        <w:rPr>
          <w:spacing w:val="-3"/>
        </w:rPr>
      </w:pPr>
      <w:r w:rsidRPr="00E13052">
        <w:rPr>
          <w:spacing w:val="-3"/>
        </w:rPr>
        <w:t xml:space="preserve">Mature male biomass:  </w:t>
      </w:r>
    </w:p>
    <w:p w:rsidR="0078716F" w:rsidRDefault="0078716F" w:rsidP="0078716F">
      <w:pPr>
        <w:jc w:val="both"/>
        <w:rPr>
          <w:spacing w:val="-3"/>
        </w:rPr>
      </w:pPr>
    </w:p>
    <w:p w:rsidR="00076A92" w:rsidRDefault="00076A92" w:rsidP="00076A92">
      <w:pPr>
        <w:ind w:firstLine="720"/>
        <w:jc w:val="both"/>
        <w:rPr>
          <w:spacing w:val="-3"/>
        </w:rPr>
      </w:pPr>
      <w:r>
        <w:rPr>
          <w:spacing w:val="-3"/>
        </w:rPr>
        <w:t>3.66</w:t>
      </w:r>
      <w:r w:rsidR="009F3EE6">
        <w:rPr>
          <w:spacing w:val="-3"/>
        </w:rPr>
        <w:t xml:space="preserve"> </w:t>
      </w:r>
      <w:r w:rsidR="009F3EE6" w:rsidRPr="00E13052">
        <w:rPr>
          <w:spacing w:val="-3"/>
        </w:rPr>
        <w:t xml:space="preserve">million </w:t>
      </w:r>
      <w:proofErr w:type="spellStart"/>
      <w:r w:rsidR="009F3EE6" w:rsidRPr="00E13052">
        <w:rPr>
          <w:spacing w:val="-3"/>
        </w:rPr>
        <w:t>l</w:t>
      </w:r>
      <w:r w:rsidR="009F3EE6">
        <w:rPr>
          <w:spacing w:val="-3"/>
        </w:rPr>
        <w:t>b</w:t>
      </w:r>
      <w:proofErr w:type="spellEnd"/>
      <w:r w:rsidR="009F3EE6">
        <w:rPr>
          <w:spacing w:val="-3"/>
        </w:rPr>
        <w:t xml:space="preserve"> </w:t>
      </w:r>
      <w:r>
        <w:rPr>
          <w:spacing w:val="-3"/>
        </w:rPr>
        <w:t>with a standard deviation of 0.66 million lb. (model 0)</w:t>
      </w:r>
    </w:p>
    <w:p w:rsidR="000D300F" w:rsidRDefault="00076A92" w:rsidP="00076A92">
      <w:pPr>
        <w:ind w:firstLine="720"/>
        <w:jc w:val="both"/>
        <w:rPr>
          <w:spacing w:val="-3"/>
        </w:rPr>
      </w:pPr>
      <w:r>
        <w:rPr>
          <w:spacing w:val="-3"/>
        </w:rPr>
        <w:t xml:space="preserve">3.72 </w:t>
      </w:r>
      <w:r w:rsidRPr="00E13052">
        <w:rPr>
          <w:spacing w:val="-3"/>
        </w:rPr>
        <w:t xml:space="preserve">million </w:t>
      </w:r>
      <w:proofErr w:type="spellStart"/>
      <w:r w:rsidRPr="00E13052">
        <w:rPr>
          <w:spacing w:val="-3"/>
        </w:rPr>
        <w:t>l</w:t>
      </w:r>
      <w:r>
        <w:rPr>
          <w:spacing w:val="-3"/>
        </w:rPr>
        <w:t>b</w:t>
      </w:r>
      <w:proofErr w:type="spellEnd"/>
      <w:r>
        <w:rPr>
          <w:spacing w:val="-3"/>
        </w:rPr>
        <w:t xml:space="preserve"> with a standard deviation of 0.64</w:t>
      </w:r>
      <w:r w:rsidRPr="00E13052">
        <w:rPr>
          <w:spacing w:val="-3"/>
        </w:rPr>
        <w:t xml:space="preserve"> million lb.</w:t>
      </w:r>
      <w:r w:rsidR="000D300F">
        <w:rPr>
          <w:spacing w:val="-3"/>
        </w:rPr>
        <w:t xml:space="preserve"> </w:t>
      </w:r>
      <w:r>
        <w:rPr>
          <w:spacing w:val="-3"/>
        </w:rPr>
        <w:t>(model 2.i)</w:t>
      </w:r>
    </w:p>
    <w:p w:rsidR="005D3BD2" w:rsidRDefault="005D3BD2" w:rsidP="005D3BD2">
      <w:pPr>
        <w:ind w:firstLine="720"/>
        <w:jc w:val="both"/>
        <w:rPr>
          <w:spacing w:val="-3"/>
        </w:rPr>
      </w:pPr>
      <w:r>
        <w:rPr>
          <w:spacing w:val="-3"/>
        </w:rPr>
        <w:t xml:space="preserve">3.71 </w:t>
      </w:r>
      <w:r w:rsidRPr="00E13052">
        <w:rPr>
          <w:spacing w:val="-3"/>
        </w:rPr>
        <w:t xml:space="preserve">million </w:t>
      </w:r>
      <w:proofErr w:type="spellStart"/>
      <w:r w:rsidRPr="00E13052">
        <w:rPr>
          <w:spacing w:val="-3"/>
        </w:rPr>
        <w:t>l</w:t>
      </w:r>
      <w:r>
        <w:rPr>
          <w:spacing w:val="-3"/>
        </w:rPr>
        <w:t>b</w:t>
      </w:r>
      <w:proofErr w:type="spellEnd"/>
      <w:r>
        <w:rPr>
          <w:spacing w:val="-3"/>
        </w:rPr>
        <w:t xml:space="preserve"> with a standard deviation of 0.64</w:t>
      </w:r>
      <w:r w:rsidRPr="00E13052">
        <w:rPr>
          <w:spacing w:val="-3"/>
        </w:rPr>
        <w:t xml:space="preserve"> million lb.</w:t>
      </w:r>
      <w:r>
        <w:rPr>
          <w:spacing w:val="-3"/>
        </w:rPr>
        <w:t xml:space="preserve"> (model 2.io)</w:t>
      </w:r>
    </w:p>
    <w:p w:rsidR="0033366B" w:rsidRDefault="0033366B" w:rsidP="009F3EE6">
      <w:pPr>
        <w:spacing w:before="120"/>
        <w:jc w:val="both"/>
        <w:rPr>
          <w:i/>
        </w:rPr>
      </w:pPr>
    </w:p>
    <w:p w:rsidR="009F3EE6" w:rsidRDefault="00610FE8" w:rsidP="009F3EE6">
      <w:pPr>
        <w:spacing w:before="120"/>
        <w:jc w:val="both"/>
      </w:pPr>
      <w:r w:rsidRPr="00E13052">
        <w:rPr>
          <w:i/>
        </w:rPr>
        <w:t>B</w:t>
      </w:r>
      <w:r w:rsidRPr="00E13052">
        <w:rPr>
          <w:i/>
          <w:vertAlign w:val="subscript"/>
        </w:rPr>
        <w:t>MSY</w:t>
      </w:r>
      <w:r w:rsidRPr="00E13052">
        <w:t xml:space="preserve"> proxy</w:t>
      </w:r>
      <w:r w:rsidR="009F3EE6">
        <w:t xml:space="preserve"> was calculated as an average MMB during 1980-2014 periods</w:t>
      </w:r>
      <w:r w:rsidR="00581F43">
        <w:t xml:space="preserve">. </w:t>
      </w:r>
    </w:p>
    <w:p w:rsidR="009F3EE6" w:rsidRDefault="009F3EE6" w:rsidP="009F3EE6">
      <w:pPr>
        <w:spacing w:before="120"/>
        <w:ind w:firstLine="720"/>
        <w:jc w:val="both"/>
      </w:pPr>
    </w:p>
    <w:p w:rsidR="009F3EE6" w:rsidRDefault="00AB64B2" w:rsidP="009F3EE6">
      <w:pPr>
        <w:ind w:firstLine="720"/>
        <w:jc w:val="both"/>
        <w:rPr>
          <w:spacing w:val="-3"/>
        </w:rPr>
      </w:pPr>
      <w:r>
        <w:rPr>
          <w:spacing w:val="-3"/>
        </w:rPr>
        <w:t>4.18</w:t>
      </w:r>
      <w:r w:rsidR="009F3EE6">
        <w:rPr>
          <w:spacing w:val="-3"/>
        </w:rPr>
        <w:t xml:space="preserve"> </w:t>
      </w:r>
      <w:r w:rsidR="009F3EE6" w:rsidRPr="00E13052">
        <w:rPr>
          <w:spacing w:val="-3"/>
        </w:rPr>
        <w:t xml:space="preserve">million </w:t>
      </w:r>
      <w:proofErr w:type="spellStart"/>
      <w:r w:rsidR="009F3EE6" w:rsidRPr="00E13052">
        <w:rPr>
          <w:spacing w:val="-3"/>
        </w:rPr>
        <w:t>l</w:t>
      </w:r>
      <w:r w:rsidR="009F3EE6">
        <w:rPr>
          <w:spacing w:val="-3"/>
        </w:rPr>
        <w:t>b</w:t>
      </w:r>
      <w:proofErr w:type="spellEnd"/>
      <w:r w:rsidR="00076A92">
        <w:rPr>
          <w:spacing w:val="-3"/>
        </w:rPr>
        <w:t xml:space="preserve"> (model 0)</w:t>
      </w:r>
    </w:p>
    <w:p w:rsidR="00076A92" w:rsidRDefault="00AB64B2" w:rsidP="009F3EE6">
      <w:pPr>
        <w:ind w:firstLine="720"/>
        <w:jc w:val="both"/>
        <w:rPr>
          <w:spacing w:val="-3"/>
        </w:rPr>
      </w:pPr>
      <w:r>
        <w:rPr>
          <w:spacing w:val="-3"/>
        </w:rPr>
        <w:t>4.21</w:t>
      </w:r>
      <w:r w:rsidR="00076A92">
        <w:rPr>
          <w:spacing w:val="-3"/>
        </w:rPr>
        <w:t xml:space="preserve"> </w:t>
      </w:r>
      <w:r w:rsidR="00076A92" w:rsidRPr="00E13052">
        <w:rPr>
          <w:spacing w:val="-3"/>
        </w:rPr>
        <w:t xml:space="preserve">million </w:t>
      </w:r>
      <w:proofErr w:type="spellStart"/>
      <w:r w:rsidR="00076A92" w:rsidRPr="00E13052">
        <w:rPr>
          <w:spacing w:val="-3"/>
        </w:rPr>
        <w:t>l</w:t>
      </w:r>
      <w:r w:rsidR="00076A92">
        <w:rPr>
          <w:spacing w:val="-3"/>
        </w:rPr>
        <w:t>b</w:t>
      </w:r>
      <w:proofErr w:type="spellEnd"/>
      <w:r w:rsidR="00076A92">
        <w:rPr>
          <w:spacing w:val="-3"/>
        </w:rPr>
        <w:t xml:space="preserve"> (model 2.i)</w:t>
      </w:r>
    </w:p>
    <w:p w:rsidR="005D3BD2" w:rsidRPr="00E13052" w:rsidRDefault="005D3BD2" w:rsidP="005D3BD2">
      <w:pPr>
        <w:ind w:firstLine="720"/>
        <w:jc w:val="both"/>
        <w:rPr>
          <w:spacing w:val="-3"/>
        </w:rPr>
      </w:pPr>
      <w:r>
        <w:rPr>
          <w:spacing w:val="-3"/>
        </w:rPr>
        <w:t xml:space="preserve">4.19 </w:t>
      </w:r>
      <w:r w:rsidRPr="00E13052">
        <w:rPr>
          <w:spacing w:val="-3"/>
        </w:rPr>
        <w:t xml:space="preserve">million </w:t>
      </w:r>
      <w:proofErr w:type="spellStart"/>
      <w:r w:rsidRPr="00E13052">
        <w:rPr>
          <w:spacing w:val="-3"/>
        </w:rPr>
        <w:t>l</w:t>
      </w:r>
      <w:r>
        <w:rPr>
          <w:spacing w:val="-3"/>
        </w:rPr>
        <w:t>b</w:t>
      </w:r>
      <w:proofErr w:type="spellEnd"/>
      <w:r>
        <w:rPr>
          <w:spacing w:val="-3"/>
        </w:rPr>
        <w:t xml:space="preserve"> (model 2.io)</w:t>
      </w:r>
    </w:p>
    <w:p w:rsidR="009F3EE6" w:rsidRDefault="009F3EE6" w:rsidP="009F3EE6">
      <w:pPr>
        <w:spacing w:before="120"/>
        <w:ind w:firstLine="720"/>
        <w:jc w:val="both"/>
      </w:pPr>
    </w:p>
    <w:p w:rsidR="0078716F" w:rsidRDefault="00500F5D" w:rsidP="009F3EE6">
      <w:pPr>
        <w:spacing w:before="120"/>
        <w:jc w:val="both"/>
      </w:pPr>
      <w:r>
        <w:t xml:space="preserve">Since </w:t>
      </w:r>
      <w:r w:rsidR="00076A92">
        <w:t>projected MMB for 2014</w:t>
      </w:r>
      <w:r w:rsidR="0078716F">
        <w:t>was</w:t>
      </w:r>
      <w:r w:rsidR="005D11FC">
        <w:t xml:space="preserve"> </w:t>
      </w:r>
      <w:r w:rsidR="0078716F">
        <w:t xml:space="preserve"> less than </w:t>
      </w:r>
      <w:r w:rsidR="0078716F" w:rsidRPr="00E13052">
        <w:rPr>
          <w:i/>
        </w:rPr>
        <w:t>B</w:t>
      </w:r>
      <w:r w:rsidR="0078716F" w:rsidRPr="00E13052">
        <w:rPr>
          <w:i/>
          <w:vertAlign w:val="subscript"/>
        </w:rPr>
        <w:t>MSY</w:t>
      </w:r>
      <w:r w:rsidR="0078716F" w:rsidRPr="00E13052">
        <w:t xml:space="preserve"> proxy</w:t>
      </w:r>
      <w:r w:rsidR="00993EC5">
        <w:t xml:space="preserve">, </w:t>
      </w:r>
      <w:r w:rsidR="0078716F" w:rsidRPr="00E13052">
        <w:rPr>
          <w:i/>
        </w:rPr>
        <w:t>F</w:t>
      </w:r>
      <w:r w:rsidR="0078716F" w:rsidRPr="00E13052">
        <w:rPr>
          <w:i/>
          <w:vertAlign w:val="subscript"/>
        </w:rPr>
        <w:t>OFL</w:t>
      </w:r>
      <w:r w:rsidR="0078716F" w:rsidRPr="00E13052">
        <w:t xml:space="preserve"> </w:t>
      </w:r>
      <w:r w:rsidR="0078716F">
        <w:t xml:space="preserve">calculation was based on equation (2), </w:t>
      </w:r>
    </w:p>
    <w:p w:rsidR="0078716F" w:rsidRDefault="0078716F" w:rsidP="0078716F">
      <w:pPr>
        <w:spacing w:before="120"/>
        <w:ind w:firstLine="720"/>
        <w:jc w:val="both"/>
      </w:pPr>
      <w:r w:rsidRPr="009F1122">
        <w:rPr>
          <w:position w:val="-14"/>
        </w:rPr>
        <w:object w:dxaOrig="6200" w:dyaOrig="380">
          <v:shape id="_x0000_i1036" type="#_x0000_t75" style="width:309.9pt;height:17.55pt" o:ole="">
            <v:imagedata r:id="rId22" o:title=""/>
          </v:shape>
          <o:OLEObject Type="Embed" ProgID="Equation.3" ShapeID="_x0000_i1036" DrawAspect="Content" ObjectID="_1459679465" r:id="rId34"/>
        </w:object>
      </w:r>
    </w:p>
    <w:p w:rsidR="0078716F" w:rsidRDefault="0078716F" w:rsidP="003C7579">
      <w:pPr>
        <w:spacing w:before="120"/>
        <w:jc w:val="both"/>
      </w:pPr>
      <w:r>
        <w:tab/>
      </w:r>
      <w:r w:rsidRPr="0078716F">
        <w:rPr>
          <w:i/>
        </w:rPr>
        <w:t>F</w:t>
      </w:r>
      <w:r w:rsidRPr="0078716F">
        <w:rPr>
          <w:i/>
          <w:vertAlign w:val="subscript"/>
        </w:rPr>
        <w:t>OFL</w:t>
      </w:r>
      <w:r>
        <w:t xml:space="preserve"> = </w:t>
      </w:r>
      <w:r w:rsidR="00F93EC8">
        <w:t>0.156</w:t>
      </w:r>
      <w:r w:rsidR="00F8545F">
        <w:t xml:space="preserve">  Model 0</w:t>
      </w:r>
    </w:p>
    <w:p w:rsidR="00F93EC8" w:rsidRDefault="00F93EC8" w:rsidP="00F93EC8">
      <w:pPr>
        <w:spacing w:before="120"/>
        <w:ind w:firstLine="720"/>
        <w:jc w:val="both"/>
      </w:pPr>
      <w:r w:rsidRPr="0078716F">
        <w:rPr>
          <w:i/>
        </w:rPr>
        <w:t>F</w:t>
      </w:r>
      <w:r w:rsidRPr="0078716F">
        <w:rPr>
          <w:i/>
          <w:vertAlign w:val="subscript"/>
        </w:rPr>
        <w:t>OFL</w:t>
      </w:r>
      <w:r w:rsidR="00AB64B2">
        <w:t xml:space="preserve"> = 0.157</w:t>
      </w:r>
      <w:r w:rsidR="00F8545F">
        <w:t xml:space="preserve">  Model 2.i</w:t>
      </w:r>
    </w:p>
    <w:p w:rsidR="005D3BD2" w:rsidRDefault="005D3BD2" w:rsidP="005D3BD2">
      <w:pPr>
        <w:spacing w:before="120"/>
        <w:ind w:firstLine="720"/>
        <w:jc w:val="both"/>
      </w:pPr>
      <w:r w:rsidRPr="0078716F">
        <w:rPr>
          <w:i/>
        </w:rPr>
        <w:t>F</w:t>
      </w:r>
      <w:r w:rsidRPr="0078716F">
        <w:rPr>
          <w:i/>
          <w:vertAlign w:val="subscript"/>
        </w:rPr>
        <w:t>OFL</w:t>
      </w:r>
      <w:r>
        <w:t xml:space="preserve"> = 0.157  Model 2.io</w:t>
      </w:r>
    </w:p>
    <w:p w:rsidR="0078716F" w:rsidRDefault="0078716F" w:rsidP="003C7579">
      <w:pPr>
        <w:spacing w:before="120"/>
        <w:jc w:val="both"/>
      </w:pPr>
    </w:p>
    <w:p w:rsidR="002C75F5" w:rsidRDefault="002C75F5" w:rsidP="003C7579">
      <w:pPr>
        <w:spacing w:before="120"/>
        <w:jc w:val="both"/>
      </w:pPr>
      <w:r w:rsidRPr="00E13052">
        <w:t xml:space="preserve">Retained OFL </w:t>
      </w:r>
      <w:r w:rsidR="00A54E85">
        <w:t xml:space="preserve">for summer commercial fishery </w:t>
      </w:r>
      <w:r w:rsidRPr="00E13052">
        <w:t xml:space="preserve">is </w:t>
      </w:r>
    </w:p>
    <w:p w:rsidR="002C75F5" w:rsidRPr="00A54E85" w:rsidRDefault="002C75F5" w:rsidP="00A54E85">
      <w:pPr>
        <w:spacing w:before="120"/>
        <w:jc w:val="both"/>
      </w:pPr>
    </w:p>
    <w:p w:rsidR="002C75F5" w:rsidRDefault="0026063D" w:rsidP="001F596F">
      <w:pPr>
        <w:ind w:firstLine="720"/>
        <w:jc w:val="both"/>
        <w:rPr>
          <w:spacing w:val="-3"/>
        </w:rPr>
      </w:pPr>
      <w:proofErr w:type="spellStart"/>
      <w:r>
        <w:rPr>
          <w:spacing w:val="-3"/>
        </w:rPr>
        <w:t>OFL</w:t>
      </w:r>
      <w:r w:rsidR="00A54E85" w:rsidRPr="00A54E85">
        <w:rPr>
          <w:spacing w:val="-3"/>
          <w:vertAlign w:val="subscript"/>
        </w:rPr>
        <w:t>r</w:t>
      </w:r>
      <w:proofErr w:type="spellEnd"/>
      <w:r>
        <w:rPr>
          <w:spacing w:val="-3"/>
        </w:rPr>
        <w:t xml:space="preserve"> = </w:t>
      </w:r>
      <w:r w:rsidR="00500F5D">
        <w:rPr>
          <w:spacing w:val="-3"/>
        </w:rPr>
        <w:t xml:space="preserve"> </w:t>
      </w:r>
      <w:r w:rsidR="00F93EC8">
        <w:rPr>
          <w:spacing w:val="-3"/>
        </w:rPr>
        <w:t>0.437</w:t>
      </w:r>
      <w:r w:rsidR="002C75F5" w:rsidRPr="00E13052">
        <w:rPr>
          <w:spacing w:val="-3"/>
        </w:rPr>
        <w:t xml:space="preserve"> million lb</w:t>
      </w:r>
      <w:r w:rsidR="00581F43">
        <w:rPr>
          <w:spacing w:val="-3"/>
        </w:rPr>
        <w:t xml:space="preserve">. </w:t>
      </w:r>
      <w:r w:rsidR="00F8545F">
        <w:rPr>
          <w:spacing w:val="-3"/>
        </w:rPr>
        <w:t>Model 0</w:t>
      </w:r>
    </w:p>
    <w:p w:rsidR="00F93EC8" w:rsidRDefault="00F93EC8" w:rsidP="00F93EC8">
      <w:pPr>
        <w:ind w:firstLine="720"/>
        <w:jc w:val="both"/>
        <w:rPr>
          <w:spacing w:val="-3"/>
        </w:rPr>
      </w:pPr>
      <w:proofErr w:type="spellStart"/>
      <w:r>
        <w:rPr>
          <w:spacing w:val="-3"/>
        </w:rPr>
        <w:t>OFL</w:t>
      </w:r>
      <w:r w:rsidR="00A54E85" w:rsidRPr="00A54E85">
        <w:rPr>
          <w:spacing w:val="-3"/>
          <w:vertAlign w:val="subscript"/>
        </w:rPr>
        <w:t>r</w:t>
      </w:r>
      <w:proofErr w:type="spellEnd"/>
      <w:r>
        <w:rPr>
          <w:spacing w:val="-3"/>
        </w:rPr>
        <w:t xml:space="preserve"> =  0.464</w:t>
      </w:r>
      <w:r w:rsidRPr="00E13052">
        <w:rPr>
          <w:spacing w:val="-3"/>
        </w:rPr>
        <w:t xml:space="preserve"> million lb</w:t>
      </w:r>
      <w:r w:rsidR="00581F43">
        <w:rPr>
          <w:spacing w:val="-3"/>
        </w:rPr>
        <w:t xml:space="preserve">. </w:t>
      </w:r>
      <w:r w:rsidR="00F8545F">
        <w:rPr>
          <w:spacing w:val="-3"/>
        </w:rPr>
        <w:t>Model 2.i</w:t>
      </w:r>
    </w:p>
    <w:p w:rsidR="005D3BD2" w:rsidRDefault="005D3BD2" w:rsidP="005D3BD2">
      <w:pPr>
        <w:ind w:firstLine="720"/>
        <w:jc w:val="both"/>
        <w:rPr>
          <w:spacing w:val="-3"/>
        </w:rPr>
      </w:pPr>
      <w:proofErr w:type="spellStart"/>
      <w:r>
        <w:rPr>
          <w:spacing w:val="-3"/>
        </w:rPr>
        <w:t>OFL</w:t>
      </w:r>
      <w:r w:rsidRPr="00A54E85">
        <w:rPr>
          <w:spacing w:val="-3"/>
          <w:vertAlign w:val="subscript"/>
        </w:rPr>
        <w:t>r</w:t>
      </w:r>
      <w:proofErr w:type="spellEnd"/>
      <w:r>
        <w:rPr>
          <w:spacing w:val="-3"/>
        </w:rPr>
        <w:t xml:space="preserve"> =  0.463</w:t>
      </w:r>
      <w:r w:rsidRPr="00E13052">
        <w:rPr>
          <w:spacing w:val="-3"/>
        </w:rPr>
        <w:t xml:space="preserve"> million lb</w:t>
      </w:r>
      <w:r w:rsidR="00581F43">
        <w:rPr>
          <w:spacing w:val="-3"/>
        </w:rPr>
        <w:t xml:space="preserve">. </w:t>
      </w:r>
      <w:r>
        <w:rPr>
          <w:spacing w:val="-3"/>
        </w:rPr>
        <w:t>Model 2.i</w:t>
      </w:r>
      <w:r w:rsidR="00EF6835">
        <w:rPr>
          <w:spacing w:val="-3"/>
        </w:rPr>
        <w:t>o</w:t>
      </w:r>
    </w:p>
    <w:p w:rsidR="00A54E85" w:rsidRDefault="00A54E85" w:rsidP="00A54E85">
      <w:pPr>
        <w:spacing w:before="120"/>
        <w:jc w:val="both"/>
      </w:pPr>
    </w:p>
    <w:p w:rsidR="00A54E85" w:rsidRDefault="00A54E85" w:rsidP="00A54E85">
      <w:pPr>
        <w:spacing w:before="120"/>
        <w:jc w:val="both"/>
      </w:pPr>
      <w:r>
        <w:t>Non r</w:t>
      </w:r>
      <w:r w:rsidRPr="00E13052">
        <w:t xml:space="preserve">etained OFL </w:t>
      </w:r>
      <w:r>
        <w:t xml:space="preserve">for summer commercial fishery </w:t>
      </w:r>
      <w:r w:rsidRPr="00E13052">
        <w:t xml:space="preserve">is </w:t>
      </w:r>
    </w:p>
    <w:p w:rsidR="00A54E85" w:rsidRDefault="00A54E85" w:rsidP="00A54E85">
      <w:pPr>
        <w:spacing w:before="120"/>
        <w:jc w:val="both"/>
      </w:pPr>
    </w:p>
    <w:p w:rsidR="00A54E85" w:rsidRDefault="00A54E85" w:rsidP="00A54E85">
      <w:pPr>
        <w:ind w:firstLine="720"/>
        <w:jc w:val="both"/>
        <w:rPr>
          <w:spacing w:val="-3"/>
        </w:rPr>
      </w:pPr>
      <w:proofErr w:type="spellStart"/>
      <w:r>
        <w:rPr>
          <w:spacing w:val="-3"/>
        </w:rPr>
        <w:t>OFL</w:t>
      </w:r>
      <w:r>
        <w:rPr>
          <w:spacing w:val="-3"/>
          <w:vertAlign w:val="subscript"/>
        </w:rPr>
        <w:t>nr</w:t>
      </w:r>
      <w:proofErr w:type="spellEnd"/>
      <w:r>
        <w:rPr>
          <w:spacing w:val="-3"/>
        </w:rPr>
        <w:t xml:space="preserve"> =  </w:t>
      </w:r>
      <w:r w:rsidR="00AB64B2">
        <w:rPr>
          <w:spacing w:val="-3"/>
        </w:rPr>
        <w:t>0.017</w:t>
      </w:r>
      <w:r w:rsidRPr="00E13052">
        <w:rPr>
          <w:spacing w:val="-3"/>
        </w:rPr>
        <w:t xml:space="preserve"> million lb</w:t>
      </w:r>
      <w:r w:rsidR="00581F43">
        <w:rPr>
          <w:spacing w:val="-3"/>
        </w:rPr>
        <w:t>.</w:t>
      </w:r>
      <w:r w:rsidR="00F8545F">
        <w:rPr>
          <w:spacing w:val="-3"/>
        </w:rPr>
        <w:t xml:space="preserve"> </w:t>
      </w:r>
      <w:r w:rsidR="00EF6835">
        <w:rPr>
          <w:spacing w:val="-3"/>
        </w:rPr>
        <w:t xml:space="preserve"> Model 0</w:t>
      </w:r>
    </w:p>
    <w:p w:rsidR="00A54E85" w:rsidRDefault="00A54E85" w:rsidP="00A54E85">
      <w:pPr>
        <w:ind w:firstLine="720"/>
        <w:jc w:val="both"/>
        <w:rPr>
          <w:spacing w:val="-3"/>
        </w:rPr>
      </w:pPr>
      <w:proofErr w:type="spellStart"/>
      <w:r>
        <w:rPr>
          <w:spacing w:val="-3"/>
        </w:rPr>
        <w:t>OFL</w:t>
      </w:r>
      <w:r>
        <w:rPr>
          <w:spacing w:val="-3"/>
          <w:vertAlign w:val="subscript"/>
        </w:rPr>
        <w:t>nr</w:t>
      </w:r>
      <w:proofErr w:type="spellEnd"/>
      <w:r>
        <w:rPr>
          <w:spacing w:val="-3"/>
        </w:rPr>
        <w:t xml:space="preserve"> =  0.013</w:t>
      </w:r>
      <w:r w:rsidRPr="00E13052">
        <w:rPr>
          <w:spacing w:val="-3"/>
        </w:rPr>
        <w:t xml:space="preserve"> million lb.</w:t>
      </w:r>
      <w:r w:rsidR="00EF6835">
        <w:rPr>
          <w:spacing w:val="-3"/>
        </w:rPr>
        <w:t xml:space="preserve">  Model 2.i</w:t>
      </w:r>
    </w:p>
    <w:p w:rsidR="005D3BD2" w:rsidRDefault="005D3BD2" w:rsidP="005D3BD2">
      <w:pPr>
        <w:ind w:firstLine="720"/>
        <w:jc w:val="both"/>
        <w:rPr>
          <w:spacing w:val="-3"/>
        </w:rPr>
      </w:pPr>
      <w:proofErr w:type="spellStart"/>
      <w:r>
        <w:rPr>
          <w:spacing w:val="-3"/>
        </w:rPr>
        <w:t>OFL</w:t>
      </w:r>
      <w:r>
        <w:rPr>
          <w:spacing w:val="-3"/>
          <w:vertAlign w:val="subscript"/>
        </w:rPr>
        <w:t>nr</w:t>
      </w:r>
      <w:proofErr w:type="spellEnd"/>
      <w:r>
        <w:rPr>
          <w:spacing w:val="-3"/>
        </w:rPr>
        <w:t xml:space="preserve"> =  0.014</w:t>
      </w:r>
      <w:r w:rsidRPr="00E13052">
        <w:rPr>
          <w:spacing w:val="-3"/>
        </w:rPr>
        <w:t xml:space="preserve"> million lb.</w:t>
      </w:r>
      <w:r w:rsidR="00EF6835">
        <w:rPr>
          <w:spacing w:val="-3"/>
        </w:rPr>
        <w:t xml:space="preserve">  Model 2.io</w:t>
      </w:r>
    </w:p>
    <w:p w:rsidR="00A54E85" w:rsidRDefault="00A54E85" w:rsidP="00A54E85">
      <w:pPr>
        <w:spacing w:before="120"/>
        <w:jc w:val="both"/>
      </w:pPr>
    </w:p>
    <w:p w:rsidR="00A54E85" w:rsidRDefault="00A54E85" w:rsidP="00A54E85">
      <w:pPr>
        <w:spacing w:before="120"/>
        <w:jc w:val="both"/>
      </w:pPr>
      <w:r>
        <w:t xml:space="preserve">Total OFL for summer commercial fishery is </w:t>
      </w:r>
    </w:p>
    <w:p w:rsidR="00A54E85" w:rsidRDefault="00A54E85" w:rsidP="00A54E85">
      <w:pPr>
        <w:spacing w:before="120"/>
        <w:jc w:val="both"/>
      </w:pPr>
    </w:p>
    <w:p w:rsidR="00A54E85" w:rsidRDefault="00A54E85" w:rsidP="00A54E85">
      <w:pPr>
        <w:ind w:firstLine="720"/>
        <w:jc w:val="both"/>
        <w:rPr>
          <w:spacing w:val="-3"/>
        </w:rPr>
      </w:pPr>
      <w:r>
        <w:rPr>
          <w:spacing w:val="-3"/>
        </w:rPr>
        <w:t>OFL</w:t>
      </w:r>
      <w:r>
        <w:rPr>
          <w:spacing w:val="-3"/>
          <w:vertAlign w:val="subscript"/>
        </w:rPr>
        <w:t>T</w:t>
      </w:r>
      <w:r>
        <w:rPr>
          <w:spacing w:val="-3"/>
        </w:rPr>
        <w:t xml:space="preserve"> =  </w:t>
      </w:r>
      <w:r w:rsidR="00AB64B2">
        <w:rPr>
          <w:spacing w:val="-3"/>
        </w:rPr>
        <w:t>0.454</w:t>
      </w:r>
      <w:r w:rsidRPr="00E13052">
        <w:rPr>
          <w:spacing w:val="-3"/>
        </w:rPr>
        <w:t xml:space="preserve"> million lb.</w:t>
      </w:r>
      <w:r w:rsidR="00EF6835">
        <w:rPr>
          <w:spacing w:val="-3"/>
        </w:rPr>
        <w:t xml:space="preserve"> Model 0</w:t>
      </w:r>
    </w:p>
    <w:p w:rsidR="00A54E85" w:rsidRDefault="00A54E85" w:rsidP="00A54E85">
      <w:pPr>
        <w:ind w:firstLine="720"/>
        <w:jc w:val="both"/>
        <w:rPr>
          <w:spacing w:val="-3"/>
        </w:rPr>
      </w:pPr>
      <w:r>
        <w:rPr>
          <w:spacing w:val="-3"/>
        </w:rPr>
        <w:t>OFL</w:t>
      </w:r>
      <w:r>
        <w:rPr>
          <w:spacing w:val="-3"/>
          <w:vertAlign w:val="subscript"/>
        </w:rPr>
        <w:t>T</w:t>
      </w:r>
      <w:r>
        <w:rPr>
          <w:spacing w:val="-3"/>
        </w:rPr>
        <w:t xml:space="preserve"> =  0.477</w:t>
      </w:r>
      <w:r w:rsidRPr="00E13052">
        <w:rPr>
          <w:spacing w:val="-3"/>
        </w:rPr>
        <w:t xml:space="preserve"> million lb.</w:t>
      </w:r>
      <w:r w:rsidR="00EF6835">
        <w:rPr>
          <w:spacing w:val="-3"/>
        </w:rPr>
        <w:t xml:space="preserve"> Model 2.i</w:t>
      </w:r>
    </w:p>
    <w:p w:rsidR="005D3BD2" w:rsidRDefault="005D3BD2" w:rsidP="005D3BD2">
      <w:pPr>
        <w:ind w:firstLine="720"/>
        <w:jc w:val="both"/>
        <w:rPr>
          <w:spacing w:val="-3"/>
        </w:rPr>
      </w:pPr>
      <w:r>
        <w:rPr>
          <w:spacing w:val="-3"/>
        </w:rPr>
        <w:t>OFL</w:t>
      </w:r>
      <w:r>
        <w:rPr>
          <w:spacing w:val="-3"/>
          <w:vertAlign w:val="subscript"/>
        </w:rPr>
        <w:t>T</w:t>
      </w:r>
      <w:r>
        <w:rPr>
          <w:spacing w:val="-3"/>
        </w:rPr>
        <w:t xml:space="preserve"> =  0.477</w:t>
      </w:r>
      <w:r w:rsidRPr="00E13052">
        <w:rPr>
          <w:spacing w:val="-3"/>
        </w:rPr>
        <w:t xml:space="preserve"> million lb.</w:t>
      </w:r>
      <w:r w:rsidR="00EF6835">
        <w:rPr>
          <w:spacing w:val="-3"/>
        </w:rPr>
        <w:t xml:space="preserve"> Model 2.io</w:t>
      </w:r>
    </w:p>
    <w:p w:rsidR="00C816FC" w:rsidRPr="00CA4BD3" w:rsidRDefault="00C816FC" w:rsidP="00CA4BD3">
      <w:pPr>
        <w:spacing w:line="360" w:lineRule="auto"/>
        <w:rPr>
          <w:b/>
          <w:i/>
          <w:sz w:val="28"/>
          <w:szCs w:val="28"/>
        </w:rPr>
      </w:pPr>
    </w:p>
    <w:p w:rsidR="009B2BD9" w:rsidRDefault="003F4C80" w:rsidP="000A03C9">
      <w:pPr>
        <w:pStyle w:val="ListParagraph"/>
        <w:numPr>
          <w:ilvl w:val="0"/>
          <w:numId w:val="4"/>
        </w:numPr>
        <w:spacing w:line="360" w:lineRule="auto"/>
        <w:ind w:left="360"/>
        <w:rPr>
          <w:b/>
          <w:i/>
          <w:sz w:val="28"/>
          <w:szCs w:val="28"/>
        </w:rPr>
      </w:pPr>
      <w:r>
        <w:rPr>
          <w:b/>
          <w:i/>
          <w:sz w:val="28"/>
          <w:szCs w:val="28"/>
        </w:rPr>
        <w:t xml:space="preserve">Calculation of the ABC </w:t>
      </w:r>
    </w:p>
    <w:p w:rsidR="00F60A24" w:rsidRDefault="00F60A24" w:rsidP="00F60A24">
      <w:pPr>
        <w:pStyle w:val="ListParagraph"/>
        <w:spacing w:line="360" w:lineRule="auto"/>
        <w:ind w:left="360"/>
      </w:pPr>
      <w:r>
        <w:t>1</w:t>
      </w:r>
      <w:r w:rsidR="00581F43">
        <w:t xml:space="preserve">. </w:t>
      </w:r>
      <w:r>
        <w:t xml:space="preserve">Specification of the probability distribution of the OFL. </w:t>
      </w:r>
    </w:p>
    <w:p w:rsidR="00C5086C" w:rsidRDefault="00C5086C" w:rsidP="00C5086C">
      <w:pPr>
        <w:pStyle w:val="ListParagraph"/>
        <w:ind w:left="360"/>
      </w:pPr>
      <w:r>
        <w:t>Probability distribution of the OFL was determined based on the CPT recommendation in J</w:t>
      </w:r>
      <w:r w:rsidR="00502E04">
        <w:t>anuary 2013</w:t>
      </w:r>
      <w:r>
        <w:t xml:space="preserve"> as follows: </w:t>
      </w:r>
    </w:p>
    <w:p w:rsidR="00C5086C" w:rsidRDefault="00C5086C" w:rsidP="00C5086C">
      <w:pPr>
        <w:pStyle w:val="ListParagraph"/>
        <w:ind w:left="360"/>
      </w:pPr>
    </w:p>
    <w:p w:rsidR="00C5086C" w:rsidRDefault="00C5086C" w:rsidP="00C5086C">
      <w:pPr>
        <w:pStyle w:val="ListParagraph"/>
        <w:ind w:left="360"/>
        <w:rPr>
          <w:b/>
          <w:bCs/>
          <w:sz w:val="23"/>
          <w:szCs w:val="23"/>
        </w:rPr>
      </w:pPr>
      <w:r>
        <w:rPr>
          <w:b/>
          <w:bCs/>
          <w:sz w:val="23"/>
          <w:szCs w:val="23"/>
        </w:rPr>
        <w:t xml:space="preserve">Tier 4 crab stocks </w:t>
      </w:r>
    </w:p>
    <w:p w:rsidR="00C5086C" w:rsidRDefault="00C5086C" w:rsidP="00C5086C">
      <w:pPr>
        <w:pStyle w:val="ListParagraph"/>
        <w:ind w:left="360"/>
        <w:rPr>
          <w:sz w:val="23"/>
          <w:szCs w:val="23"/>
        </w:rPr>
      </w:pPr>
      <w:r>
        <w:rPr>
          <w:sz w:val="23"/>
          <w:szCs w:val="23"/>
        </w:rPr>
        <w:t>Calculation of a distribution for the OFL for Tier 4 stocks involves repeating four steps (detailed below). The aim is to have the median of the distribution for the OFL equal the point estimate (so that P*=0.5 implies that the ABC equals to the point estimate of the OFL). The proposed steps are: (a) Sample current MMB from a normal distribution with mean given by the point estimate of current MMB and CV equal to the sampling CV. (b)</w:t>
      </w:r>
      <w:r w:rsidR="00EE103A">
        <w:rPr>
          <w:sz w:val="23"/>
          <w:szCs w:val="23"/>
        </w:rPr>
        <w:t xml:space="preserve"> </w:t>
      </w:r>
      <w:r>
        <w:rPr>
          <w:sz w:val="23"/>
          <w:szCs w:val="23"/>
        </w:rPr>
        <w:t xml:space="preserve">The </w:t>
      </w:r>
      <w:r>
        <w:rPr>
          <w:i/>
          <w:iCs/>
          <w:sz w:val="23"/>
          <w:szCs w:val="23"/>
        </w:rPr>
        <w:t>B</w:t>
      </w:r>
      <w:r>
        <w:rPr>
          <w:sz w:val="16"/>
          <w:szCs w:val="16"/>
        </w:rPr>
        <w:t xml:space="preserve">MSY </w:t>
      </w:r>
      <w:r>
        <w:rPr>
          <w:sz w:val="23"/>
          <w:szCs w:val="23"/>
        </w:rPr>
        <w:t xml:space="preserve">proxy is the average MMB over a pre-specified set of years. Uncertainty in the </w:t>
      </w:r>
      <w:r>
        <w:rPr>
          <w:i/>
          <w:iCs/>
          <w:sz w:val="23"/>
          <w:szCs w:val="23"/>
        </w:rPr>
        <w:t>B</w:t>
      </w:r>
      <w:r>
        <w:rPr>
          <w:sz w:val="16"/>
          <w:szCs w:val="16"/>
        </w:rPr>
        <w:t xml:space="preserve">MSY </w:t>
      </w:r>
      <w:r>
        <w:rPr>
          <w:sz w:val="23"/>
          <w:szCs w:val="23"/>
        </w:rPr>
        <w:t xml:space="preserve">proxy only accounts for uncertainty in MMB for the years for which it is assumed the stock was “at </w:t>
      </w:r>
      <w:r>
        <w:rPr>
          <w:i/>
          <w:iCs/>
          <w:sz w:val="23"/>
          <w:szCs w:val="23"/>
        </w:rPr>
        <w:t>B</w:t>
      </w:r>
      <w:r>
        <w:rPr>
          <w:sz w:val="16"/>
          <w:szCs w:val="16"/>
        </w:rPr>
        <w:t>MSY</w:t>
      </w:r>
      <w:r>
        <w:rPr>
          <w:sz w:val="23"/>
          <w:szCs w:val="23"/>
        </w:rPr>
        <w:t xml:space="preserve">” and not uncertainty in the years concerned. For each of the years used when defining the </w:t>
      </w:r>
      <w:r>
        <w:rPr>
          <w:i/>
          <w:iCs/>
          <w:sz w:val="23"/>
          <w:szCs w:val="23"/>
        </w:rPr>
        <w:t>B</w:t>
      </w:r>
      <w:r>
        <w:rPr>
          <w:sz w:val="16"/>
          <w:szCs w:val="16"/>
        </w:rPr>
        <w:t xml:space="preserve">MSY </w:t>
      </w:r>
      <w:r>
        <w:rPr>
          <w:sz w:val="23"/>
          <w:szCs w:val="23"/>
        </w:rPr>
        <w:t>proxy, sample MMB from a distribution with mean given by its point estimate and CV equal to the sampling CV. The pseudo B</w:t>
      </w:r>
      <w:r>
        <w:rPr>
          <w:sz w:val="16"/>
          <w:szCs w:val="16"/>
        </w:rPr>
        <w:t xml:space="preserve">MSY </w:t>
      </w:r>
      <w:r>
        <w:rPr>
          <w:sz w:val="23"/>
          <w:szCs w:val="23"/>
        </w:rPr>
        <w:t xml:space="preserve">proxy is then the average of the samples values. (c)Sample </w:t>
      </w:r>
      <w:r>
        <w:rPr>
          <w:i/>
          <w:iCs/>
          <w:sz w:val="23"/>
          <w:szCs w:val="23"/>
        </w:rPr>
        <w:t xml:space="preserve">M </w:t>
      </w:r>
      <w:r>
        <w:rPr>
          <w:sz w:val="23"/>
          <w:szCs w:val="23"/>
        </w:rPr>
        <w:t xml:space="preserve">from a normal distribution with mean equal to the assumed </w:t>
      </w:r>
      <w:r>
        <w:rPr>
          <w:i/>
          <w:iCs/>
          <w:sz w:val="23"/>
          <w:szCs w:val="23"/>
        </w:rPr>
        <w:t xml:space="preserve">M </w:t>
      </w:r>
      <w:r>
        <w:rPr>
          <w:sz w:val="23"/>
          <w:szCs w:val="23"/>
        </w:rPr>
        <w:t>and CV equal to an assumed CV (e.g. 0.2)</w:t>
      </w:r>
      <w:r w:rsidR="00581F43">
        <w:rPr>
          <w:sz w:val="23"/>
          <w:szCs w:val="23"/>
        </w:rPr>
        <w:t xml:space="preserve">. </w:t>
      </w:r>
      <w:r>
        <w:rPr>
          <w:sz w:val="23"/>
          <w:szCs w:val="23"/>
        </w:rPr>
        <w:t>(d)</w:t>
      </w:r>
      <w:r w:rsidR="00EE103A">
        <w:rPr>
          <w:sz w:val="23"/>
          <w:szCs w:val="23"/>
        </w:rPr>
        <w:t xml:space="preserve"> </w:t>
      </w:r>
      <w:r>
        <w:rPr>
          <w:sz w:val="23"/>
          <w:szCs w:val="23"/>
        </w:rPr>
        <w:t xml:space="preserve">Compute the OFL. Form a cumulative distribution for the OFL from the sampled values. Find the median of this distribution. Using normal </w:t>
      </w:r>
      <w:proofErr w:type="spellStart"/>
      <w:r>
        <w:rPr>
          <w:sz w:val="23"/>
          <w:szCs w:val="23"/>
        </w:rPr>
        <w:t>quantiles</w:t>
      </w:r>
      <w:proofErr w:type="spellEnd"/>
      <w:r>
        <w:rPr>
          <w:sz w:val="23"/>
          <w:szCs w:val="23"/>
        </w:rPr>
        <w:t xml:space="preserve"> to rescale the distribution so that the median equals the OFL (similar to a bias-corrected bootstrap).</w:t>
      </w:r>
    </w:p>
    <w:p w:rsidR="00B36576" w:rsidRDefault="00B36576" w:rsidP="00B36576">
      <w:pPr>
        <w:pStyle w:val="ListParagraph"/>
        <w:ind w:left="0"/>
      </w:pPr>
    </w:p>
    <w:p w:rsidR="00263EA6" w:rsidRDefault="00C5086C" w:rsidP="00263EA6">
      <w:pPr>
        <w:pStyle w:val="ListParagraph"/>
        <w:ind w:left="0"/>
      </w:pPr>
      <w:r>
        <w:t>For the Norton Sound</w:t>
      </w:r>
      <w:r w:rsidR="00913EA0">
        <w:t xml:space="preserve"> red </w:t>
      </w:r>
      <w:r w:rsidR="00181F1B">
        <w:t>king crab, calculation of</w:t>
      </w:r>
      <w:r w:rsidR="00716AFE">
        <w:t xml:space="preserve"> the</w:t>
      </w:r>
      <w:r w:rsidR="00181F1B">
        <w:t xml:space="preserve"> OFL </w:t>
      </w:r>
      <w:r w:rsidR="00913EA0">
        <w:t xml:space="preserve"> </w:t>
      </w:r>
      <w:r w:rsidR="00716AFE">
        <w:t xml:space="preserve">is </w:t>
      </w:r>
      <w:r w:rsidR="00913EA0">
        <w:t xml:space="preserve">based on </w:t>
      </w:r>
      <w:r w:rsidR="0073651E">
        <w:t xml:space="preserve">MMB and applied to </w:t>
      </w:r>
      <w:r w:rsidR="00913EA0">
        <w:t>summer commercial retained legal male biomass</w:t>
      </w:r>
      <w:r w:rsidR="00581F43">
        <w:t>.</w:t>
      </w:r>
      <w:r w:rsidR="007F5E9C">
        <w:t xml:space="preserve"> </w:t>
      </w:r>
      <w:r>
        <w:rPr>
          <w:sz w:val="23"/>
          <w:szCs w:val="23"/>
        </w:rPr>
        <w:t xml:space="preserve">For calculation of the ABC, default percentile is </w:t>
      </w:r>
      <w:r w:rsidR="00B36576">
        <w:t>P* = 49; however</w:t>
      </w:r>
      <w:r w:rsidR="00D33613">
        <w:t xml:space="preserve">, for the Norton Sound Stock </w:t>
      </w:r>
      <w:r w:rsidR="00B36576">
        <w:t>the NPFMC adopted 10% buffer of OFL (i.e., ABC = 0.9×OFL)</w:t>
      </w:r>
      <w:r w:rsidR="00181F1B">
        <w:t xml:space="preserve"> in 2012</w:t>
      </w:r>
      <w:r w:rsidR="00581F43">
        <w:t>.</w:t>
      </w:r>
      <w:r w:rsidR="00B36576">
        <w:t xml:space="preserve">. </w:t>
      </w:r>
      <w:r>
        <w:t xml:space="preserve"> </w:t>
      </w:r>
      <w:r w:rsidR="00F8545F">
        <w:t xml:space="preserve"> </w:t>
      </w:r>
      <w:r w:rsidR="00EE103A">
        <w:t>B</w:t>
      </w:r>
      <w:r w:rsidR="00F8545F">
        <w:t xml:space="preserve">ased on the status change from </w:t>
      </w:r>
      <w:r w:rsidR="002578B6">
        <w:t>4a to 4b</w:t>
      </w:r>
      <w:r w:rsidR="00EE103A">
        <w:t xml:space="preserve"> a </w:t>
      </w:r>
      <w:r w:rsidR="002578B6">
        <w:t xml:space="preserve">larger buffer may be recommended. </w:t>
      </w:r>
    </w:p>
    <w:p w:rsidR="00315995" w:rsidRDefault="00315995" w:rsidP="00263EA6"/>
    <w:p w:rsidR="00315995" w:rsidRPr="00E13052" w:rsidRDefault="00315995" w:rsidP="00315995">
      <w:pPr>
        <w:spacing w:before="120"/>
        <w:jc w:val="both"/>
      </w:pPr>
      <w:r w:rsidRPr="00E13052">
        <w:t>Ret</w:t>
      </w:r>
      <w:r w:rsidR="00E13052">
        <w:t>ained ABC for legal male crab is</w:t>
      </w:r>
      <w:r w:rsidRPr="00E13052">
        <w:t xml:space="preserve"> </w:t>
      </w:r>
      <w:r w:rsidR="001F596F">
        <w:t>90% of OFL</w:t>
      </w:r>
    </w:p>
    <w:p w:rsidR="00500F5D" w:rsidRDefault="00500F5D" w:rsidP="00500F5D">
      <w:pPr>
        <w:ind w:firstLine="360"/>
        <w:jc w:val="both"/>
        <w:rPr>
          <w:spacing w:val="-3"/>
        </w:rPr>
      </w:pPr>
    </w:p>
    <w:p w:rsidR="00315995" w:rsidRDefault="00500F5D" w:rsidP="00500F5D">
      <w:pPr>
        <w:ind w:firstLine="360"/>
        <w:jc w:val="both"/>
        <w:rPr>
          <w:spacing w:val="-3"/>
        </w:rPr>
      </w:pPr>
      <w:r>
        <w:rPr>
          <w:spacing w:val="-3"/>
        </w:rPr>
        <w:t>ABC = 0.9</w:t>
      </w:r>
      <w:r w:rsidR="00EE103A">
        <w:rPr>
          <w:spacing w:val="-3"/>
        </w:rPr>
        <w:t>*</w:t>
      </w:r>
      <w:r>
        <w:rPr>
          <w:spacing w:val="-3"/>
        </w:rPr>
        <w:t>OFL</w:t>
      </w:r>
    </w:p>
    <w:p w:rsidR="00F93EC8" w:rsidRPr="00E13052" w:rsidRDefault="00F93EC8" w:rsidP="00F93EC8">
      <w:pPr>
        <w:ind w:firstLine="360"/>
        <w:jc w:val="both"/>
        <w:rPr>
          <w:spacing w:val="-3"/>
        </w:rPr>
      </w:pPr>
      <w:r>
        <w:rPr>
          <w:spacing w:val="-3"/>
        </w:rPr>
        <w:t>ABC =  0.394</w:t>
      </w:r>
      <w:r w:rsidRPr="00E13052">
        <w:rPr>
          <w:spacing w:val="-3"/>
        </w:rPr>
        <w:t xml:space="preserve"> million lb</w:t>
      </w:r>
      <w:r w:rsidR="00581F43">
        <w:rPr>
          <w:spacing w:val="-3"/>
        </w:rPr>
        <w:t xml:space="preserve">. </w:t>
      </w:r>
      <w:r w:rsidR="00AB64B2">
        <w:rPr>
          <w:spacing w:val="-3"/>
        </w:rPr>
        <w:t xml:space="preserve"> Model 0</w:t>
      </w:r>
    </w:p>
    <w:p w:rsidR="00315995" w:rsidRDefault="00500F5D" w:rsidP="001F596F">
      <w:pPr>
        <w:ind w:firstLine="360"/>
        <w:jc w:val="both"/>
        <w:rPr>
          <w:spacing w:val="-3"/>
        </w:rPr>
      </w:pPr>
      <w:r>
        <w:rPr>
          <w:spacing w:val="-3"/>
        </w:rPr>
        <w:t xml:space="preserve">ABC =  </w:t>
      </w:r>
      <w:r w:rsidR="00F93EC8">
        <w:rPr>
          <w:spacing w:val="-3"/>
        </w:rPr>
        <w:t>0.417</w:t>
      </w:r>
      <w:r w:rsidR="00315995" w:rsidRPr="00E13052">
        <w:rPr>
          <w:spacing w:val="-3"/>
        </w:rPr>
        <w:t xml:space="preserve"> million lb</w:t>
      </w:r>
      <w:r w:rsidR="00581F43">
        <w:rPr>
          <w:spacing w:val="-3"/>
        </w:rPr>
        <w:t xml:space="preserve">. </w:t>
      </w:r>
      <w:r w:rsidR="00F8545F">
        <w:rPr>
          <w:spacing w:val="-3"/>
        </w:rPr>
        <w:t xml:space="preserve"> Model 2.i</w:t>
      </w:r>
      <w:r w:rsidR="007A4983">
        <w:rPr>
          <w:spacing w:val="-3"/>
        </w:rPr>
        <w:t xml:space="preserve"> </w:t>
      </w:r>
    </w:p>
    <w:p w:rsidR="005D3BD2" w:rsidRDefault="005D3BD2" w:rsidP="00C7250F">
      <w:pPr>
        <w:ind w:firstLine="360"/>
        <w:jc w:val="both"/>
        <w:rPr>
          <w:spacing w:val="-3"/>
        </w:rPr>
      </w:pPr>
      <w:r>
        <w:rPr>
          <w:spacing w:val="-3"/>
        </w:rPr>
        <w:t>ABC =  0.417</w:t>
      </w:r>
      <w:r w:rsidRPr="00E13052">
        <w:rPr>
          <w:spacing w:val="-3"/>
        </w:rPr>
        <w:t xml:space="preserve"> million lb</w:t>
      </w:r>
      <w:r w:rsidR="00581F43">
        <w:rPr>
          <w:spacing w:val="-3"/>
        </w:rPr>
        <w:t xml:space="preserve">. </w:t>
      </w:r>
      <w:r>
        <w:rPr>
          <w:spacing w:val="-3"/>
        </w:rPr>
        <w:t xml:space="preserve"> Model 2.io </w:t>
      </w:r>
    </w:p>
    <w:p w:rsidR="00F8545F" w:rsidRDefault="00F8545F" w:rsidP="002578B6">
      <w:pPr>
        <w:jc w:val="both"/>
        <w:rPr>
          <w:spacing w:val="-3"/>
        </w:rPr>
      </w:pPr>
    </w:p>
    <w:p w:rsidR="002578B6" w:rsidRPr="00E13052" w:rsidRDefault="002578B6" w:rsidP="002578B6">
      <w:pPr>
        <w:jc w:val="both"/>
        <w:rPr>
          <w:spacing w:val="-3"/>
        </w:rPr>
      </w:pPr>
      <w:r>
        <w:rPr>
          <w:spacing w:val="-3"/>
        </w:rPr>
        <w:t>This ABC is inclusive of both summer commercial and winter commercial/subsistence fishery.</w:t>
      </w:r>
      <w:r w:rsidR="00563EC2">
        <w:rPr>
          <w:spacing w:val="-3"/>
        </w:rPr>
        <w:t xml:space="preserve">  </w:t>
      </w:r>
      <w:r>
        <w:rPr>
          <w:spacing w:val="-3"/>
        </w:rPr>
        <w:t xml:space="preserve">   </w:t>
      </w:r>
    </w:p>
    <w:p w:rsidR="00A705D2" w:rsidRPr="00E93C88" w:rsidRDefault="00A705D2" w:rsidP="008264B6">
      <w:pPr>
        <w:pStyle w:val="ListParagraph"/>
        <w:ind w:left="360"/>
      </w:pPr>
    </w:p>
    <w:p w:rsidR="003F4C80" w:rsidRDefault="00F226ED" w:rsidP="000A03C9">
      <w:pPr>
        <w:pStyle w:val="ListParagraph"/>
        <w:numPr>
          <w:ilvl w:val="0"/>
          <w:numId w:val="4"/>
        </w:numPr>
        <w:spacing w:line="360" w:lineRule="auto"/>
        <w:ind w:left="360"/>
        <w:rPr>
          <w:b/>
          <w:i/>
          <w:sz w:val="28"/>
          <w:szCs w:val="28"/>
        </w:rPr>
      </w:pPr>
      <w:r>
        <w:rPr>
          <w:b/>
          <w:i/>
          <w:sz w:val="28"/>
          <w:szCs w:val="28"/>
        </w:rPr>
        <w:t xml:space="preserve">Rebuilding Analyses </w:t>
      </w:r>
    </w:p>
    <w:p w:rsidR="009B2BD9" w:rsidRDefault="009B2BD9" w:rsidP="009B2BD9">
      <w:pPr>
        <w:pStyle w:val="ListParagraph"/>
        <w:spacing w:line="360" w:lineRule="auto"/>
        <w:ind w:left="360"/>
        <w:rPr>
          <w:spacing w:val="-3"/>
        </w:rPr>
      </w:pPr>
      <w:r w:rsidRPr="009B2BD9">
        <w:rPr>
          <w:spacing w:val="-3"/>
        </w:rPr>
        <w:lastRenderedPageBreak/>
        <w:t>Not applicable</w:t>
      </w:r>
    </w:p>
    <w:p w:rsidR="001E3466" w:rsidRPr="008264B6" w:rsidRDefault="001E3466" w:rsidP="008264B6">
      <w:pPr>
        <w:pStyle w:val="ListParagraph"/>
        <w:spacing w:line="360" w:lineRule="auto"/>
        <w:ind w:left="360"/>
        <w:rPr>
          <w:spacing w:val="-3"/>
        </w:rPr>
      </w:pPr>
    </w:p>
    <w:p w:rsidR="0009675C" w:rsidRDefault="009B2BD9" w:rsidP="000A03C9">
      <w:pPr>
        <w:pStyle w:val="ListParagraph"/>
        <w:numPr>
          <w:ilvl w:val="0"/>
          <w:numId w:val="4"/>
        </w:numPr>
        <w:ind w:left="360"/>
        <w:rPr>
          <w:b/>
          <w:i/>
          <w:sz w:val="28"/>
          <w:szCs w:val="28"/>
        </w:rPr>
      </w:pPr>
      <w:r w:rsidRPr="009B2BD9">
        <w:rPr>
          <w:b/>
          <w:i/>
          <w:sz w:val="28"/>
          <w:szCs w:val="28"/>
        </w:rPr>
        <w:t>Data Gaps and Research Priorities</w:t>
      </w:r>
    </w:p>
    <w:p w:rsidR="00AC0B6A" w:rsidRDefault="00AC0B6A" w:rsidP="0009675C">
      <w:pPr>
        <w:pStyle w:val="ListParagraph"/>
        <w:ind w:left="0"/>
      </w:pPr>
    </w:p>
    <w:p w:rsidR="0009675C" w:rsidRPr="00315995" w:rsidRDefault="001F596F" w:rsidP="001F596F">
      <w:pPr>
        <w:pStyle w:val="ListParagraph"/>
        <w:ind w:left="0"/>
      </w:pPr>
      <w:r>
        <w:t>The major data gap that hinder this year’s OFL/ABC calculation is uncertainties regarding biomass of Norton Sound red king crab</w:t>
      </w:r>
      <w:r w:rsidR="00581F43">
        <w:t xml:space="preserve">. </w:t>
      </w:r>
      <w:r w:rsidR="0079225E" w:rsidRPr="00315995">
        <w:t xml:space="preserve">In addition, life-history of the Norton Sound red king crab stock is poorly </w:t>
      </w:r>
      <w:r w:rsidR="009E33B0" w:rsidRPr="00315995">
        <w:t>understood</w:t>
      </w:r>
      <w:r w:rsidR="00581F43">
        <w:t xml:space="preserve">. </w:t>
      </w:r>
      <w:r w:rsidR="009E33B0" w:rsidRPr="00315995">
        <w:t>This includes size</w:t>
      </w:r>
      <w:r w:rsidR="00EE103A">
        <w:t>-</w:t>
      </w:r>
      <w:r w:rsidR="009E33B0" w:rsidRPr="00315995">
        <w:t>at</w:t>
      </w:r>
      <w:r w:rsidR="00EE103A">
        <w:t>-</w:t>
      </w:r>
      <w:r w:rsidR="009E33B0" w:rsidRPr="00315995">
        <w:t xml:space="preserve">maturity, natural mortality rate, </w:t>
      </w:r>
      <w:r w:rsidR="00614C1B" w:rsidRPr="00315995">
        <w:t xml:space="preserve">timing and locations of reproduction, </w:t>
      </w:r>
      <w:r w:rsidR="00EE103A">
        <w:t>and</w:t>
      </w:r>
      <w:r w:rsidR="00614C1B" w:rsidRPr="00315995">
        <w:t xml:space="preserve"> location of females during summer</w:t>
      </w:r>
      <w:r w:rsidR="00581F43">
        <w:t>.</w:t>
      </w:r>
      <w:r w:rsidR="00614C1B" w:rsidRPr="00315995">
        <w:t xml:space="preserve"> </w:t>
      </w:r>
    </w:p>
    <w:p w:rsidR="0079225E" w:rsidRPr="0009675C" w:rsidRDefault="0079225E" w:rsidP="0009675C">
      <w:pPr>
        <w:pStyle w:val="ListParagraph"/>
        <w:ind w:left="0"/>
      </w:pPr>
    </w:p>
    <w:p w:rsidR="00595683" w:rsidRDefault="0009675C" w:rsidP="0009675C">
      <w:pPr>
        <w:pStyle w:val="ListParagraph"/>
        <w:ind w:left="360"/>
      </w:pPr>
      <w:r w:rsidRPr="0009675C">
        <w:t xml:space="preserve"> </w:t>
      </w:r>
    </w:p>
    <w:p w:rsidR="0009675C" w:rsidRPr="0009675C" w:rsidRDefault="0009675C" w:rsidP="0009675C">
      <w:pPr>
        <w:pStyle w:val="ListParagraph"/>
        <w:spacing w:line="360" w:lineRule="auto"/>
        <w:ind w:left="360"/>
        <w:rPr>
          <w:b/>
          <w:i/>
          <w:sz w:val="28"/>
          <w:szCs w:val="28"/>
        </w:rPr>
      </w:pPr>
    </w:p>
    <w:p w:rsidR="0009675C" w:rsidRPr="008264B6" w:rsidRDefault="00EE103A" w:rsidP="008264B6">
      <w:pPr>
        <w:rPr>
          <w:b/>
          <w:sz w:val="28"/>
        </w:rPr>
      </w:pPr>
      <w:r>
        <w:rPr>
          <w:b/>
          <w:sz w:val="28"/>
          <w:szCs w:val="28"/>
        </w:rPr>
        <w:br w:type="page"/>
      </w:r>
    </w:p>
    <w:p w:rsidR="00E31A95" w:rsidRPr="009B2BD9" w:rsidRDefault="00E31A95" w:rsidP="009B2BD9">
      <w:pPr>
        <w:spacing w:line="360" w:lineRule="auto"/>
        <w:jc w:val="center"/>
        <w:rPr>
          <w:b/>
          <w:sz w:val="28"/>
          <w:szCs w:val="28"/>
        </w:rPr>
      </w:pPr>
      <w:r w:rsidRPr="009B2BD9">
        <w:rPr>
          <w:b/>
          <w:sz w:val="28"/>
          <w:szCs w:val="28"/>
        </w:rPr>
        <w:lastRenderedPageBreak/>
        <w:t>Acknowledgments</w:t>
      </w:r>
    </w:p>
    <w:p w:rsidR="00816B7F" w:rsidRDefault="00E31A95" w:rsidP="002237E0">
      <w:pPr>
        <w:tabs>
          <w:tab w:val="left" w:pos="-720"/>
        </w:tabs>
        <w:suppressAutoHyphens/>
        <w:jc w:val="both"/>
      </w:pPr>
      <w:r>
        <w:t xml:space="preserve">We thank </w:t>
      </w:r>
      <w:r w:rsidR="00C46BB1">
        <w:t xml:space="preserve">all CPT </w:t>
      </w:r>
      <w:r w:rsidR="002237E0">
        <w:t xml:space="preserve">modeling workshop attendants </w:t>
      </w:r>
      <w:r>
        <w:t xml:space="preserve">for </w:t>
      </w:r>
      <w:r w:rsidR="002237E0">
        <w:t>critical review of the assessment model and suggestions for improvements and diagnoses</w:t>
      </w:r>
      <w:r w:rsidR="00581F43">
        <w:t xml:space="preserve">. </w:t>
      </w:r>
      <w:r w:rsidR="002237E0">
        <w:t xml:space="preserve"> </w:t>
      </w:r>
    </w:p>
    <w:p w:rsidR="002237E0" w:rsidRDefault="002237E0" w:rsidP="00816B7F">
      <w:pPr>
        <w:tabs>
          <w:tab w:val="left" w:pos="-720"/>
        </w:tabs>
        <w:suppressAutoHyphens/>
        <w:spacing w:line="360" w:lineRule="auto"/>
        <w:jc w:val="both"/>
      </w:pPr>
    </w:p>
    <w:p w:rsidR="00444865" w:rsidRPr="009B2BD9" w:rsidRDefault="00444865" w:rsidP="00F226ED">
      <w:pPr>
        <w:spacing w:line="360" w:lineRule="auto"/>
        <w:rPr>
          <w:b/>
          <w:sz w:val="28"/>
          <w:szCs w:val="28"/>
        </w:rPr>
      </w:pPr>
      <w:r w:rsidRPr="009B2BD9">
        <w:rPr>
          <w:b/>
          <w:sz w:val="28"/>
          <w:szCs w:val="28"/>
        </w:rPr>
        <w:t>References</w:t>
      </w:r>
    </w:p>
    <w:p w:rsidR="00444865" w:rsidRDefault="00444865" w:rsidP="00444865">
      <w:pPr>
        <w:widowControl w:val="0"/>
        <w:tabs>
          <w:tab w:val="left" w:pos="-720"/>
        </w:tabs>
        <w:suppressAutoHyphens/>
        <w:rPr>
          <w:b/>
          <w:spacing w:val="-3"/>
        </w:rPr>
      </w:pPr>
    </w:p>
    <w:p w:rsidR="00F87C2C" w:rsidRPr="00DF6C0F" w:rsidRDefault="00F87C2C" w:rsidP="00E13052">
      <w:pPr>
        <w:widowControl w:val="0"/>
        <w:suppressAutoHyphens/>
        <w:spacing w:after="240"/>
        <w:ind w:left="720" w:hanging="720"/>
        <w:jc w:val="both"/>
        <w:rPr>
          <w:spacing w:val="-3"/>
        </w:rPr>
      </w:pPr>
      <w:proofErr w:type="spellStart"/>
      <w:r w:rsidRPr="00DF6C0F">
        <w:rPr>
          <w:spacing w:val="-3"/>
        </w:rPr>
        <w:t>Alverson</w:t>
      </w:r>
      <w:proofErr w:type="spellEnd"/>
      <w:r w:rsidRPr="00DF6C0F">
        <w:rPr>
          <w:spacing w:val="-3"/>
        </w:rPr>
        <w:t xml:space="preserve">, D.L., and W.T. </w:t>
      </w:r>
      <w:proofErr w:type="spellStart"/>
      <w:r w:rsidRPr="00DF6C0F">
        <w:rPr>
          <w:spacing w:val="-3"/>
        </w:rPr>
        <w:t>Pereyra</w:t>
      </w:r>
      <w:proofErr w:type="spellEnd"/>
      <w:r w:rsidRPr="00DF6C0F">
        <w:rPr>
          <w:spacing w:val="-3"/>
        </w:rPr>
        <w:t xml:space="preserve">. 1969. </w:t>
      </w:r>
      <w:proofErr w:type="spellStart"/>
      <w:r w:rsidRPr="00DF6C0F">
        <w:rPr>
          <w:spacing w:val="-3"/>
        </w:rPr>
        <w:t>Demersal</w:t>
      </w:r>
      <w:proofErr w:type="spellEnd"/>
      <w:r w:rsidRPr="00DF6C0F">
        <w:rPr>
          <w:spacing w:val="-3"/>
        </w:rPr>
        <w:t xml:space="preserve"> fish in the Northeastern Pacific Ocean - an evaluation of exploratory fishing methods and analytical approaches to stock size and yield forecasts. J. Fish. Res. Board Can. 26:1985-2001.</w:t>
      </w:r>
    </w:p>
    <w:p w:rsidR="0025032F" w:rsidRDefault="0025032F" w:rsidP="00C0305C">
      <w:pPr>
        <w:pStyle w:val="Lit-Cited"/>
        <w:spacing w:after="240"/>
        <w:ind w:left="720" w:hanging="720"/>
        <w:rPr>
          <w:sz w:val="24"/>
          <w:szCs w:val="24"/>
        </w:rPr>
      </w:pPr>
      <w:r>
        <w:rPr>
          <w:sz w:val="24"/>
          <w:szCs w:val="24"/>
        </w:rPr>
        <w:t>Bishop, G., M.S.M. Siddeek, J. Zheng, and T. Hamazaki. 2013</w:t>
      </w:r>
      <w:r w:rsidR="00581F43">
        <w:rPr>
          <w:sz w:val="24"/>
          <w:szCs w:val="24"/>
        </w:rPr>
        <w:t xml:space="preserve">. </w:t>
      </w:r>
      <w:r>
        <w:rPr>
          <w:sz w:val="24"/>
          <w:szCs w:val="24"/>
        </w:rPr>
        <w:t>Summary Report: Norton Sound red king crab CPUE standardization</w:t>
      </w:r>
      <w:r w:rsidR="00581F43">
        <w:rPr>
          <w:sz w:val="24"/>
          <w:szCs w:val="24"/>
        </w:rPr>
        <w:t xml:space="preserve">. </w:t>
      </w:r>
      <w:r>
        <w:rPr>
          <w:sz w:val="24"/>
          <w:szCs w:val="24"/>
        </w:rPr>
        <w:t>Unpublished manuscript</w:t>
      </w:r>
      <w:r w:rsidR="00581F43">
        <w:rPr>
          <w:sz w:val="24"/>
          <w:szCs w:val="24"/>
        </w:rPr>
        <w:t>.</w:t>
      </w:r>
      <w:r>
        <w:rPr>
          <w:sz w:val="24"/>
          <w:szCs w:val="24"/>
        </w:rPr>
        <w:t xml:space="preserve"> Alaska Depart of Fish and Game, Division of Commercial Fisheries, Juneau. </w:t>
      </w:r>
    </w:p>
    <w:p w:rsidR="00F87C2C" w:rsidRDefault="00F87C2C" w:rsidP="00E13052">
      <w:pPr>
        <w:widowControl w:val="0"/>
        <w:tabs>
          <w:tab w:val="left" w:pos="-720"/>
          <w:tab w:val="left" w:pos="0"/>
        </w:tabs>
        <w:suppressAutoHyphens/>
        <w:spacing w:after="240"/>
        <w:ind w:left="720" w:hanging="720"/>
        <w:jc w:val="both"/>
        <w:rPr>
          <w:spacing w:val="-3"/>
        </w:rPr>
      </w:pPr>
      <w:r w:rsidRPr="00DF6C0F">
        <w:rPr>
          <w:spacing w:val="-3"/>
        </w:rPr>
        <w:t xml:space="preserve">Fournier, D., and C.P. Archibald. 1982. A general theory for analyzing catch at age data. Can. J. Fish. </w:t>
      </w:r>
      <w:proofErr w:type="spellStart"/>
      <w:r w:rsidRPr="00DF6C0F">
        <w:rPr>
          <w:spacing w:val="-3"/>
        </w:rPr>
        <w:t>Aquat</w:t>
      </w:r>
      <w:proofErr w:type="spellEnd"/>
      <w:r w:rsidRPr="00DF6C0F">
        <w:rPr>
          <w:spacing w:val="-3"/>
        </w:rPr>
        <w:t xml:space="preserve">. Sci. 39:1195-1207. </w:t>
      </w:r>
    </w:p>
    <w:p w:rsidR="00696668" w:rsidRPr="00DF6C0F" w:rsidRDefault="00696668" w:rsidP="00E13052">
      <w:pPr>
        <w:widowControl w:val="0"/>
        <w:tabs>
          <w:tab w:val="left" w:pos="-720"/>
          <w:tab w:val="left" w:pos="0"/>
        </w:tabs>
        <w:suppressAutoHyphens/>
        <w:spacing w:after="240"/>
        <w:ind w:left="720" w:hanging="720"/>
        <w:jc w:val="both"/>
        <w:rPr>
          <w:spacing w:val="-3"/>
        </w:rPr>
      </w:pPr>
      <w:r w:rsidRPr="00696668">
        <w:rPr>
          <w:spacing w:val="-3"/>
        </w:rPr>
        <w:t xml:space="preserve">Fournier, D.A., H.J. </w:t>
      </w:r>
      <w:proofErr w:type="spellStart"/>
      <w:r w:rsidRPr="00696668">
        <w:rPr>
          <w:spacing w:val="-3"/>
        </w:rPr>
        <w:t>Skaug</w:t>
      </w:r>
      <w:proofErr w:type="spellEnd"/>
      <w:r w:rsidRPr="00696668">
        <w:rPr>
          <w:spacing w:val="-3"/>
        </w:rPr>
        <w:t xml:space="preserve">, J. Ancheta, J. </w:t>
      </w:r>
      <w:proofErr w:type="spellStart"/>
      <w:r w:rsidRPr="00696668">
        <w:rPr>
          <w:spacing w:val="-3"/>
        </w:rPr>
        <w:t>Ianelli</w:t>
      </w:r>
      <w:proofErr w:type="spellEnd"/>
      <w:r w:rsidRPr="00696668">
        <w:rPr>
          <w:spacing w:val="-3"/>
        </w:rPr>
        <w:t xml:space="preserve">, A. Magnusson, M.N. Maunder, A. Nielsen, and J. </w:t>
      </w:r>
      <w:proofErr w:type="spellStart"/>
      <w:r w:rsidRPr="00696668">
        <w:rPr>
          <w:spacing w:val="-3"/>
        </w:rPr>
        <w:t>Sibert</w:t>
      </w:r>
      <w:proofErr w:type="spellEnd"/>
      <w:r w:rsidRPr="00696668">
        <w:rPr>
          <w:spacing w:val="-3"/>
        </w:rPr>
        <w:t xml:space="preserve">. 2012. AD Model Builder: using automatic differentiation for statistical inference of highly parameterized </w:t>
      </w:r>
      <w:r>
        <w:rPr>
          <w:spacing w:val="-3"/>
        </w:rPr>
        <w:t xml:space="preserve">complex nonlinear models. Optimization </w:t>
      </w:r>
      <w:r w:rsidRPr="00696668">
        <w:rPr>
          <w:spacing w:val="-3"/>
        </w:rPr>
        <w:t xml:space="preserve">Methods </w:t>
      </w:r>
      <w:r>
        <w:rPr>
          <w:spacing w:val="-3"/>
        </w:rPr>
        <w:t xml:space="preserve">and </w:t>
      </w:r>
      <w:r w:rsidRPr="00696668">
        <w:rPr>
          <w:spacing w:val="-3"/>
        </w:rPr>
        <w:t>Softw</w:t>
      </w:r>
      <w:r>
        <w:rPr>
          <w:spacing w:val="-3"/>
        </w:rPr>
        <w:t>are</w:t>
      </w:r>
      <w:r w:rsidRPr="00696668">
        <w:rPr>
          <w:spacing w:val="-3"/>
        </w:rPr>
        <w:t xml:space="preserve"> 27:233-249.</w:t>
      </w:r>
    </w:p>
    <w:p w:rsidR="0058349E" w:rsidRDefault="0058349E" w:rsidP="00E13052">
      <w:pPr>
        <w:widowControl w:val="0"/>
        <w:tabs>
          <w:tab w:val="left" w:pos="-720"/>
          <w:tab w:val="left" w:pos="0"/>
        </w:tabs>
        <w:suppressAutoHyphens/>
        <w:spacing w:after="240"/>
        <w:ind w:left="720" w:hanging="720"/>
        <w:jc w:val="both"/>
        <w:rPr>
          <w:spacing w:val="-3"/>
        </w:rPr>
      </w:pPr>
      <w:r>
        <w:rPr>
          <w:spacing w:val="-3"/>
        </w:rPr>
        <w:t>Menard, J., J. Soong, and</w:t>
      </w:r>
      <w:r w:rsidRPr="00472FD2">
        <w:rPr>
          <w:spacing w:val="-3"/>
        </w:rPr>
        <w:t xml:space="preserve"> S. Kent</w:t>
      </w:r>
      <w:r>
        <w:rPr>
          <w:spacing w:val="-3"/>
        </w:rPr>
        <w:t xml:space="preserve">  2011</w:t>
      </w:r>
      <w:r w:rsidR="00581F43">
        <w:rPr>
          <w:spacing w:val="-3"/>
        </w:rPr>
        <w:t xml:space="preserve">. </w:t>
      </w:r>
      <w:r>
        <w:rPr>
          <w:spacing w:val="-3"/>
        </w:rPr>
        <w:t>2009</w:t>
      </w:r>
      <w:r w:rsidRPr="00472FD2">
        <w:rPr>
          <w:spacing w:val="-3"/>
        </w:rPr>
        <w:t xml:space="preserve"> Annual Management Report Norton Sound, </w:t>
      </w:r>
      <w:r>
        <w:rPr>
          <w:spacing w:val="-3"/>
        </w:rPr>
        <w:t>Port</w:t>
      </w:r>
      <w:r w:rsidRPr="00472FD2">
        <w:rPr>
          <w:spacing w:val="-3"/>
        </w:rPr>
        <w:t xml:space="preserve"> Clarence, and Kotzebue</w:t>
      </w:r>
      <w:r w:rsidR="00581F43">
        <w:rPr>
          <w:spacing w:val="-3"/>
        </w:rPr>
        <w:t xml:space="preserve">. </w:t>
      </w:r>
      <w:r>
        <w:rPr>
          <w:spacing w:val="-3"/>
        </w:rPr>
        <w:t>Fishery Management Report No. 11-46</w:t>
      </w:r>
      <w:r w:rsidRPr="00472FD2">
        <w:rPr>
          <w:spacing w:val="-3"/>
        </w:rPr>
        <w:t xml:space="preserve">. </w:t>
      </w:r>
    </w:p>
    <w:p w:rsidR="00EA5F16" w:rsidRPr="0023404D" w:rsidRDefault="00F87C2C" w:rsidP="00E13052">
      <w:pPr>
        <w:widowControl w:val="0"/>
        <w:suppressAutoHyphens/>
        <w:spacing w:after="240"/>
        <w:ind w:left="720" w:hanging="720"/>
        <w:jc w:val="both"/>
        <w:rPr>
          <w:spacing w:val="-3"/>
        </w:rPr>
      </w:pPr>
      <w:proofErr w:type="spellStart"/>
      <w:r w:rsidRPr="00DF6C0F">
        <w:rPr>
          <w:spacing w:val="-3"/>
        </w:rPr>
        <w:t>Methot</w:t>
      </w:r>
      <w:proofErr w:type="spellEnd"/>
      <w:r w:rsidRPr="00DF6C0F">
        <w:rPr>
          <w:spacing w:val="-3"/>
        </w:rPr>
        <w:t>, R.D. 1989. Synthetic estimates of historical abundance and mortality for northern anchovy. Amer. Fish. Soc. Sym. 6:66-82.</w:t>
      </w:r>
    </w:p>
    <w:p w:rsidR="00C0305C" w:rsidRDefault="00EA5F16" w:rsidP="00C0305C">
      <w:pPr>
        <w:spacing w:after="240"/>
        <w:ind w:left="720" w:hanging="720"/>
        <w:jc w:val="both"/>
      </w:pPr>
      <w:r>
        <w:t>NPFMC/NMFS  2010</w:t>
      </w:r>
      <w:r w:rsidR="00581F43">
        <w:t xml:space="preserve">. </w:t>
      </w:r>
      <w:r>
        <w:t>Environmental assessment for proposed amendments 38 and 39 to the fishery management plan for the Bering Sea and Aleutian Islands king and tanner crabs to comply with the annual catch limit requirements (Amendment 38) and to revise the rebuilding plan for the EBS snow crab (Amendment 39)</w:t>
      </w:r>
      <w:r w:rsidR="00581F43">
        <w:t xml:space="preserve">. </w:t>
      </w:r>
      <w:r>
        <w:t xml:space="preserve">NPFMC AGENDA C-3, October 2010. </w:t>
      </w:r>
    </w:p>
    <w:p w:rsidR="00EA5F16" w:rsidRPr="00C0305C" w:rsidRDefault="00EA5F16" w:rsidP="00C0305C">
      <w:pPr>
        <w:spacing w:after="240"/>
        <w:ind w:left="720" w:hanging="720"/>
        <w:jc w:val="both"/>
        <w:rPr>
          <w:color w:val="0000FF"/>
          <w:u w:val="single"/>
        </w:rPr>
      </w:pPr>
      <w:r>
        <w:t xml:space="preserve"> </w:t>
      </w:r>
      <w:hyperlink r:id="rId35" w:history="1">
        <w:r w:rsidRPr="00ED7E44">
          <w:rPr>
            <w:rStyle w:val="Hyperlink"/>
          </w:rPr>
          <w:t>http://www.fakr.noaa.gov/npfmc/PDFdocuments/conservation_issues/ACL/CrabACL910.pdf</w:t>
        </w:r>
      </w:hyperlink>
    </w:p>
    <w:p w:rsidR="00F87C2C" w:rsidRDefault="00F87C2C" w:rsidP="00E13052">
      <w:pPr>
        <w:widowControl w:val="0"/>
        <w:tabs>
          <w:tab w:val="left" w:pos="-720"/>
          <w:tab w:val="left" w:pos="0"/>
        </w:tabs>
        <w:suppressAutoHyphens/>
        <w:spacing w:after="240"/>
        <w:ind w:left="720" w:hanging="720"/>
        <w:jc w:val="both"/>
        <w:rPr>
          <w:spacing w:val="-3"/>
        </w:rPr>
      </w:pPr>
      <w:r w:rsidRPr="00DF6C0F">
        <w:rPr>
          <w:spacing w:val="-3"/>
        </w:rPr>
        <w:t>Powell</w:t>
      </w:r>
      <w:r>
        <w:rPr>
          <w:spacing w:val="-3"/>
        </w:rPr>
        <w:t xml:space="preserve">, G.C., R. Peterson, and L. Schwarz. 1983. The red king crab, </w:t>
      </w:r>
      <w:proofErr w:type="spellStart"/>
      <w:r>
        <w:rPr>
          <w:i/>
          <w:spacing w:val="-3"/>
        </w:rPr>
        <w:t>Paralithodes</w:t>
      </w:r>
      <w:proofErr w:type="spellEnd"/>
      <w:r>
        <w:rPr>
          <w:i/>
          <w:spacing w:val="-3"/>
        </w:rPr>
        <w:t xml:space="preserve"> </w:t>
      </w:r>
      <w:proofErr w:type="spellStart"/>
      <w:r>
        <w:rPr>
          <w:i/>
          <w:spacing w:val="-3"/>
        </w:rPr>
        <w:t>camtschatica</w:t>
      </w:r>
      <w:proofErr w:type="spellEnd"/>
      <w:r>
        <w:rPr>
          <w:spacing w:val="-3"/>
        </w:rPr>
        <w:t xml:space="preserve"> (</w:t>
      </w:r>
      <w:proofErr w:type="spellStart"/>
      <w:r>
        <w:rPr>
          <w:spacing w:val="-3"/>
        </w:rPr>
        <w:t>Tilesius</w:t>
      </w:r>
      <w:proofErr w:type="spellEnd"/>
      <w:r>
        <w:rPr>
          <w:spacing w:val="-3"/>
        </w:rPr>
        <w:t xml:space="preserve">), in Norton Sound, Alaska: History of biological research and resource utilization through 1982. Alaska Dept. Fish and Game, Inf. </w:t>
      </w:r>
      <w:proofErr w:type="spellStart"/>
      <w:r>
        <w:rPr>
          <w:spacing w:val="-3"/>
        </w:rPr>
        <w:t>Leafl</w:t>
      </w:r>
      <w:proofErr w:type="spellEnd"/>
      <w:r>
        <w:rPr>
          <w:spacing w:val="-3"/>
        </w:rPr>
        <w:t>. 222. 103 pp.</w:t>
      </w:r>
    </w:p>
    <w:p w:rsidR="0014669D" w:rsidRPr="0014669D" w:rsidRDefault="0014669D" w:rsidP="00E13052">
      <w:pPr>
        <w:pStyle w:val="Lit-Cited"/>
        <w:spacing w:after="240"/>
        <w:ind w:left="720" w:hanging="720"/>
        <w:rPr>
          <w:sz w:val="24"/>
          <w:szCs w:val="24"/>
        </w:rPr>
      </w:pPr>
      <w:r w:rsidRPr="0014669D">
        <w:rPr>
          <w:sz w:val="24"/>
          <w:szCs w:val="24"/>
        </w:rPr>
        <w:t>Schwarz, L</w:t>
      </w:r>
      <w:r w:rsidR="00581F43">
        <w:rPr>
          <w:sz w:val="24"/>
          <w:szCs w:val="24"/>
        </w:rPr>
        <w:t xml:space="preserve">. </w:t>
      </w:r>
      <w:r w:rsidRPr="0014669D">
        <w:rPr>
          <w:sz w:val="24"/>
          <w:szCs w:val="24"/>
        </w:rPr>
        <w:t>1984</w:t>
      </w:r>
      <w:r w:rsidR="00581F43">
        <w:rPr>
          <w:sz w:val="24"/>
          <w:szCs w:val="24"/>
        </w:rPr>
        <w:t>.</w:t>
      </w:r>
      <w:r w:rsidRPr="0014669D">
        <w:rPr>
          <w:sz w:val="24"/>
          <w:szCs w:val="24"/>
        </w:rPr>
        <w:t xml:space="preserve"> Norton Sound section of the Bering Sea 1983 king crab fishery report to the Board of Fisheries</w:t>
      </w:r>
      <w:r w:rsidR="00581F43">
        <w:rPr>
          <w:sz w:val="24"/>
          <w:szCs w:val="24"/>
        </w:rPr>
        <w:t>.</w:t>
      </w:r>
      <w:r w:rsidRPr="0014669D">
        <w:rPr>
          <w:sz w:val="24"/>
          <w:szCs w:val="24"/>
        </w:rPr>
        <w:t xml:space="preserve"> Alaska Department of Fish and Game, Division of Commercial Fisheries, Region III: Shellfish Report No. 5, Anchorage.</w:t>
      </w:r>
    </w:p>
    <w:p w:rsidR="00E67E15" w:rsidRDefault="00E67E15" w:rsidP="00E13052">
      <w:pPr>
        <w:spacing w:after="240"/>
        <w:ind w:left="720" w:hanging="720"/>
        <w:jc w:val="both"/>
      </w:pPr>
      <w:r>
        <w:t xml:space="preserve">Stevens, B.G., and R. A. </w:t>
      </w:r>
      <w:proofErr w:type="spellStart"/>
      <w:r>
        <w:t>MacIntosh</w:t>
      </w:r>
      <w:proofErr w:type="spellEnd"/>
      <w:r w:rsidR="00581F43">
        <w:t xml:space="preserve">. </w:t>
      </w:r>
      <w:r>
        <w:t>1986</w:t>
      </w:r>
      <w:r w:rsidR="00581F43">
        <w:t>.</w:t>
      </w:r>
      <w:r>
        <w:t xml:space="preserve"> Analysis of crab data from the 1985 NMFS survey of the northeast Bering Sea and Norton Sound</w:t>
      </w:r>
      <w:r w:rsidR="00581F43">
        <w:t>.</w:t>
      </w:r>
      <w:r>
        <w:t xml:space="preserve"> National Marine Fisheries Service, </w:t>
      </w:r>
      <w:r>
        <w:lastRenderedPageBreak/>
        <w:t>Northwest and Alaska Fisheries Center, NWAFC Processed Report 86-16</w:t>
      </w:r>
      <w:r w:rsidR="00581F43">
        <w:t xml:space="preserve">. </w:t>
      </w:r>
      <w:r>
        <w:t>September 1986.</w:t>
      </w:r>
    </w:p>
    <w:p w:rsidR="00E67E15" w:rsidRDefault="00E67E15" w:rsidP="00E13052">
      <w:pPr>
        <w:spacing w:after="240"/>
        <w:ind w:left="720" w:hanging="720"/>
        <w:jc w:val="both"/>
      </w:pPr>
      <w:r>
        <w:t>Stevens, B.G</w:t>
      </w:r>
      <w:r w:rsidR="00581F43">
        <w:t xml:space="preserve">. </w:t>
      </w:r>
      <w:r>
        <w:t>1989</w:t>
      </w:r>
      <w:r w:rsidR="00581F43">
        <w:t>.</w:t>
      </w:r>
      <w:r>
        <w:t xml:space="preserve"> Analysis of crab data from the 1988 NMFS survey of Norton Sound and the northeast Bering Sea</w:t>
      </w:r>
      <w:r w:rsidR="00581F43">
        <w:t xml:space="preserve">. </w:t>
      </w:r>
      <w:r>
        <w:t>National Marine Fisheries Service, Northwest and Alaska Fisheries Center, unpublished report</w:t>
      </w:r>
      <w:r w:rsidR="00581F43">
        <w:t xml:space="preserve">. </w:t>
      </w:r>
      <w:r>
        <w:t>February 1989.</w:t>
      </w:r>
    </w:p>
    <w:p w:rsidR="00EA5F16" w:rsidRPr="00E13052" w:rsidRDefault="00E67E15" w:rsidP="00E13052">
      <w:pPr>
        <w:spacing w:after="240"/>
        <w:ind w:left="720" w:hanging="720"/>
        <w:jc w:val="both"/>
      </w:pPr>
      <w:r>
        <w:t>Stevens, B.G</w:t>
      </w:r>
      <w:r w:rsidR="00581F43">
        <w:t xml:space="preserve">. </w:t>
      </w:r>
      <w:r>
        <w:t>1992</w:t>
      </w:r>
      <w:r w:rsidR="00581F43">
        <w:t xml:space="preserve">. </w:t>
      </w:r>
      <w:r>
        <w:t>Results of the 1991 NMFS survey of red king crab in Norton Sound</w:t>
      </w:r>
      <w:r w:rsidR="00581F43">
        <w:t>.</w:t>
      </w:r>
      <w:r>
        <w:t xml:space="preserve"> National Marine Fisheries Service, Alaska Fisheries Science Center, unpublished memorandum to the State of Alaska</w:t>
      </w:r>
      <w:r w:rsidR="00581F43">
        <w:t xml:space="preserve">. </w:t>
      </w:r>
      <w:r>
        <w:t>May 1992.</w:t>
      </w:r>
    </w:p>
    <w:p w:rsidR="00696668" w:rsidRPr="00E13052" w:rsidRDefault="0082272C" w:rsidP="00E13052">
      <w:pPr>
        <w:widowControl w:val="0"/>
        <w:tabs>
          <w:tab w:val="left" w:pos="-720"/>
          <w:tab w:val="left" w:pos="0"/>
        </w:tabs>
        <w:suppressAutoHyphens/>
        <w:spacing w:after="240"/>
        <w:ind w:left="720" w:hanging="720"/>
        <w:jc w:val="both"/>
      </w:pPr>
      <w:r>
        <w:t>Soong, J. 200</w:t>
      </w:r>
      <w:r w:rsidR="00E87468">
        <w:t>8</w:t>
      </w:r>
      <w:r w:rsidR="00581F43">
        <w:t xml:space="preserve">. </w:t>
      </w:r>
      <w:r>
        <w:t>Analysis of red king crab data from the 200</w:t>
      </w:r>
      <w:r w:rsidR="00E87468">
        <w:t>8</w:t>
      </w:r>
      <w:r>
        <w:t xml:space="preserve"> Alaska Department of Fish and Game trawl survey of Norton Sound</w:t>
      </w:r>
      <w:r w:rsidR="00581F43">
        <w:t xml:space="preserve">. </w:t>
      </w:r>
      <w:r>
        <w:t>Alaska Department of Fish and Game, Fishery Data Series No. 0</w:t>
      </w:r>
      <w:r w:rsidR="00E87468">
        <w:t>8</w:t>
      </w:r>
      <w:r>
        <w:t>-5</w:t>
      </w:r>
      <w:r w:rsidR="00E87468">
        <w:t>8</w:t>
      </w:r>
      <w:r>
        <w:t>, Anchorage.</w:t>
      </w:r>
    </w:p>
    <w:p w:rsidR="00696668" w:rsidRPr="00696668" w:rsidRDefault="00EF6318" w:rsidP="00E13052">
      <w:pPr>
        <w:spacing w:after="240"/>
        <w:ind w:left="720" w:hanging="720"/>
        <w:jc w:val="both"/>
      </w:pPr>
      <w:proofErr w:type="spellStart"/>
      <w:r>
        <w:t>Wolotira</w:t>
      </w:r>
      <w:proofErr w:type="spellEnd"/>
      <w:r>
        <w:t>, R.J., Jr., T.M. Sample, and M. Morin, Jr</w:t>
      </w:r>
      <w:r w:rsidR="00581F43">
        <w:t xml:space="preserve">. </w:t>
      </w:r>
      <w:r>
        <w:t>1977</w:t>
      </w:r>
      <w:r w:rsidR="00581F43">
        <w:t>.</w:t>
      </w:r>
      <w:r>
        <w:t xml:space="preserve"> </w:t>
      </w:r>
      <w:proofErr w:type="spellStart"/>
      <w:r>
        <w:t>Demersal</w:t>
      </w:r>
      <w:proofErr w:type="spellEnd"/>
      <w:r>
        <w:t xml:space="preserve"> fish and shellfish resources of Norton Sound, the southeastern Chukchi Sea, and adjacent waters in the baseline year 1976</w:t>
      </w:r>
      <w:r w:rsidR="00581F43">
        <w:t>.</w:t>
      </w:r>
      <w:r>
        <w:t xml:space="preserve"> National Marine Fisheries Service, Northwest and Alaska Fisheries Center, Processed Report. October 1977.</w:t>
      </w:r>
    </w:p>
    <w:p w:rsidR="00696668" w:rsidRPr="00F91C5E" w:rsidRDefault="006D5951" w:rsidP="00E13052">
      <w:pPr>
        <w:widowControl w:val="0"/>
        <w:tabs>
          <w:tab w:val="left" w:pos="-720"/>
          <w:tab w:val="left" w:pos="0"/>
        </w:tabs>
        <w:suppressAutoHyphens/>
        <w:spacing w:after="240"/>
        <w:ind w:left="720" w:hanging="720"/>
        <w:jc w:val="both"/>
        <w:rPr>
          <w:spacing w:val="-3"/>
        </w:rPr>
      </w:pPr>
      <w:r w:rsidRPr="006D5951">
        <w:rPr>
          <w:spacing w:val="-3"/>
        </w:rPr>
        <w:t xml:space="preserve">Zheng, J. 2005. A review of natural mortality estimation for crab stocks: data-limited for every stock? Pages 595-612 </w:t>
      </w:r>
      <w:r w:rsidRPr="006D5951">
        <w:rPr>
          <w:i/>
          <w:spacing w:val="-3"/>
        </w:rPr>
        <w:t>in</w:t>
      </w:r>
      <w:r w:rsidRPr="006D5951">
        <w:rPr>
          <w:spacing w:val="-3"/>
        </w:rPr>
        <w:t xml:space="preserve"> G.H. Kruse, V.F. </w:t>
      </w:r>
      <w:proofErr w:type="spellStart"/>
      <w:r w:rsidRPr="006D5951">
        <w:rPr>
          <w:spacing w:val="-3"/>
        </w:rPr>
        <w:t>Gallucci</w:t>
      </w:r>
      <w:proofErr w:type="spellEnd"/>
      <w:r w:rsidRPr="006D5951">
        <w:rPr>
          <w:spacing w:val="-3"/>
        </w:rPr>
        <w:t xml:space="preserve">, D.E. Hay, R.I. Perry, R.M. Peterman, T.C. Shirley, P.D. Spencer, B. Wilson, and D. </w:t>
      </w:r>
      <w:proofErr w:type="spellStart"/>
      <w:r w:rsidRPr="006D5951">
        <w:rPr>
          <w:spacing w:val="-3"/>
        </w:rPr>
        <w:t>Woodby</w:t>
      </w:r>
      <w:proofErr w:type="spellEnd"/>
      <w:r w:rsidRPr="006D5951">
        <w:rPr>
          <w:spacing w:val="-3"/>
        </w:rPr>
        <w:t xml:space="preserve"> (eds.). Fisheries Assessment and Management in Data-</w:t>
      </w:r>
      <w:proofErr w:type="spellStart"/>
      <w:r w:rsidRPr="006D5951">
        <w:rPr>
          <w:spacing w:val="-3"/>
        </w:rPr>
        <w:t>limite</w:t>
      </w:r>
      <w:proofErr w:type="spellEnd"/>
      <w:r w:rsidRPr="006D5951">
        <w:rPr>
          <w:spacing w:val="-3"/>
        </w:rPr>
        <w:t xml:space="preserve"> Situation. Alaska Sea Grant College Program, AK-SG-05-02, Fairbanks.</w:t>
      </w:r>
    </w:p>
    <w:p w:rsidR="00563EC2" w:rsidRDefault="00C741F4" w:rsidP="00563EC2">
      <w:pPr>
        <w:widowControl w:val="0"/>
        <w:tabs>
          <w:tab w:val="left" w:pos="-720"/>
          <w:tab w:val="left" w:pos="0"/>
        </w:tabs>
        <w:suppressAutoHyphens/>
        <w:spacing w:after="240"/>
        <w:ind w:left="720" w:hanging="720"/>
        <w:jc w:val="both"/>
        <w:rPr>
          <w:spacing w:val="-3"/>
        </w:rPr>
      </w:pPr>
      <w:r w:rsidRPr="00C741F4">
        <w:rPr>
          <w:spacing w:val="-3"/>
        </w:rPr>
        <w:t xml:space="preserve">Zheng, J., G.H. Kruse, and L. Fair. 1998. Use of multiple data sets to assess red king crab, </w:t>
      </w:r>
      <w:proofErr w:type="spellStart"/>
      <w:r w:rsidRPr="00C741F4">
        <w:rPr>
          <w:i/>
          <w:spacing w:val="-3"/>
        </w:rPr>
        <w:t>Paralithodes</w:t>
      </w:r>
      <w:proofErr w:type="spellEnd"/>
      <w:r w:rsidRPr="00C741F4">
        <w:rPr>
          <w:i/>
          <w:spacing w:val="-3"/>
        </w:rPr>
        <w:t xml:space="preserve"> </w:t>
      </w:r>
      <w:proofErr w:type="spellStart"/>
      <w:r w:rsidRPr="00C741F4">
        <w:rPr>
          <w:i/>
          <w:spacing w:val="-3"/>
        </w:rPr>
        <w:t>camtschaticus</w:t>
      </w:r>
      <w:proofErr w:type="spellEnd"/>
      <w:r w:rsidRPr="00C741F4">
        <w:rPr>
          <w:spacing w:val="-3"/>
        </w:rPr>
        <w:t>, in Norton Sound, Alaska: A length-based stock synthesis approach</w:t>
      </w:r>
      <w:r w:rsidR="00581F43">
        <w:rPr>
          <w:spacing w:val="-3"/>
        </w:rPr>
        <w:t xml:space="preserve">. </w:t>
      </w:r>
      <w:r w:rsidRPr="00C741F4">
        <w:rPr>
          <w:spacing w:val="-3"/>
        </w:rPr>
        <w:t xml:space="preserve">Pages 591-612 </w:t>
      </w:r>
      <w:r w:rsidRPr="00C741F4">
        <w:rPr>
          <w:i/>
          <w:spacing w:val="-3"/>
        </w:rPr>
        <w:t>In</w:t>
      </w:r>
      <w:r w:rsidRPr="00C741F4">
        <w:rPr>
          <w:spacing w:val="-3"/>
        </w:rPr>
        <w:t xml:space="preserve"> Fishery Stock Assessment Models, edited by F. Funk, T.J. Quinn II, J. Heifetz, J.N. </w:t>
      </w:r>
      <w:proofErr w:type="spellStart"/>
      <w:r w:rsidRPr="00C741F4">
        <w:rPr>
          <w:spacing w:val="-3"/>
        </w:rPr>
        <w:t>Ianelli</w:t>
      </w:r>
      <w:proofErr w:type="spellEnd"/>
      <w:r w:rsidRPr="00C741F4">
        <w:rPr>
          <w:spacing w:val="-3"/>
        </w:rPr>
        <w:t xml:space="preserve">, J.E. Powers, J.F. </w:t>
      </w:r>
      <w:proofErr w:type="spellStart"/>
      <w:r w:rsidRPr="00C741F4">
        <w:rPr>
          <w:spacing w:val="-3"/>
        </w:rPr>
        <w:t>Schweigert</w:t>
      </w:r>
      <w:proofErr w:type="spellEnd"/>
      <w:r w:rsidRPr="00C741F4">
        <w:rPr>
          <w:spacing w:val="-3"/>
        </w:rPr>
        <w:t>, P.J. Sullivan, and C.-I. Zhang, Alaska Sea Grant College Program Report No. AK-SG-98-01,</w:t>
      </w:r>
      <w:r w:rsidR="005B6826">
        <w:rPr>
          <w:spacing w:val="-3"/>
        </w:rPr>
        <w:t xml:space="preserve"> University of Alaska Fairbanks</w:t>
      </w:r>
      <w:bookmarkStart w:id="2" w:name="_GoBack"/>
      <w:bookmarkEnd w:id="2"/>
    </w:p>
    <w:sectPr w:rsidR="00563EC2" w:rsidSect="003944AD">
      <w:headerReference w:type="default" r:id="rId36"/>
      <w:footerReference w:type="default" r:id="rId37"/>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34" w:rsidRDefault="00BC5134" w:rsidP="00715E21">
      <w:r>
        <w:separator/>
      </w:r>
    </w:p>
  </w:endnote>
  <w:endnote w:type="continuationSeparator" w:id="0">
    <w:p w:rsidR="00BC5134" w:rsidRDefault="00BC5134" w:rsidP="00715E21">
      <w:r>
        <w:continuationSeparator/>
      </w:r>
    </w:p>
  </w:endnote>
  <w:endnote w:type="continuationNotice" w:id="1">
    <w:p w:rsidR="00BC5134" w:rsidRDefault="00BC5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990993"/>
      <w:docPartObj>
        <w:docPartGallery w:val="Page Numbers (Bottom of Page)"/>
        <w:docPartUnique/>
      </w:docPartObj>
    </w:sdtPr>
    <w:sdtEndPr>
      <w:rPr>
        <w:noProof/>
      </w:rPr>
    </w:sdtEndPr>
    <w:sdtContent>
      <w:p w:rsidR="00833620" w:rsidRDefault="00833620">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E92B59" w:rsidRDefault="00E92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34" w:rsidRDefault="00BC5134" w:rsidP="00715E21">
      <w:r>
        <w:separator/>
      </w:r>
    </w:p>
  </w:footnote>
  <w:footnote w:type="continuationSeparator" w:id="0">
    <w:p w:rsidR="00BC5134" w:rsidRDefault="00BC5134" w:rsidP="00715E21">
      <w:r>
        <w:continuationSeparator/>
      </w:r>
    </w:p>
  </w:footnote>
  <w:footnote w:type="continuationNotice" w:id="1">
    <w:p w:rsidR="00BC5134" w:rsidRDefault="00BC51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B59" w:rsidRPr="00CD658F" w:rsidRDefault="00E92B59" w:rsidP="00865964">
    <w:pPr>
      <w:pStyle w:val="Header"/>
      <w:jc w:val="center"/>
      <w:rPr>
        <w:i/>
        <w:sz w:val="20"/>
        <w:szCs w:val="20"/>
      </w:rPr>
    </w:pPr>
    <w:r w:rsidRPr="00CF6038">
      <w:rPr>
        <w:i/>
        <w:sz w:val="20"/>
        <w:szCs w:val="20"/>
      </w:rPr>
      <w:t>Draft - Norton Sound Red Kin</w:t>
    </w:r>
    <w:r>
      <w:rPr>
        <w:i/>
        <w:sz w:val="20"/>
        <w:szCs w:val="20"/>
      </w:rPr>
      <w:t>g Crab Stock Assessment May,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9BC"/>
    <w:multiLevelType w:val="hybridMultilevel"/>
    <w:tmpl w:val="EA56A3C6"/>
    <w:lvl w:ilvl="0" w:tplc="83EC90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159A5"/>
    <w:multiLevelType w:val="hybridMultilevel"/>
    <w:tmpl w:val="BD04F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30E7"/>
    <w:multiLevelType w:val="hybridMultilevel"/>
    <w:tmpl w:val="B754B7C4"/>
    <w:lvl w:ilvl="0" w:tplc="0F14C646">
      <w:start w:val="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2714E"/>
    <w:multiLevelType w:val="hybridMultilevel"/>
    <w:tmpl w:val="3D228AB6"/>
    <w:lvl w:ilvl="0" w:tplc="2496E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3D0AD6"/>
    <w:multiLevelType w:val="hybridMultilevel"/>
    <w:tmpl w:val="718C966A"/>
    <w:lvl w:ilvl="0" w:tplc="1BF4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8545BE"/>
    <w:multiLevelType w:val="hybridMultilevel"/>
    <w:tmpl w:val="D31097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332CA"/>
    <w:multiLevelType w:val="hybridMultilevel"/>
    <w:tmpl w:val="484AB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6901C5"/>
    <w:multiLevelType w:val="hybridMultilevel"/>
    <w:tmpl w:val="B41E8A1E"/>
    <w:lvl w:ilvl="0" w:tplc="45727E6E">
      <w:start w:val="1"/>
      <w:numFmt w:val="decimal"/>
      <w:lvlText w:val="%1."/>
      <w:lvlJc w:val="right"/>
      <w:pPr>
        <w:ind w:left="1440" w:hanging="360"/>
      </w:pPr>
      <w:rPr>
        <w:rFonts w:ascii="Times New Roman" w:eastAsia="MS Mincho" w:hAnsi="Times New Roman" w:cs="Times New Roman"/>
      </w:rPr>
    </w:lvl>
    <w:lvl w:ilvl="1" w:tplc="EEA009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633CD6"/>
    <w:multiLevelType w:val="hybridMultilevel"/>
    <w:tmpl w:val="4070796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18884C6C"/>
    <w:multiLevelType w:val="multilevel"/>
    <w:tmpl w:val="5A468B86"/>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numFmt w:val="bullet"/>
      <w:lvlText w:val="-"/>
      <w:lvlJc w:val="left"/>
      <w:pPr>
        <w:ind w:left="3060" w:hanging="360"/>
      </w:pPr>
      <w:rPr>
        <w:rFonts w:ascii="Times New Roman" w:eastAsia="MS Mincho" w:hAnsi="Times New Roman" w:cs="Times New Roman" w:hint="default"/>
      </w:rPr>
    </w:lvl>
    <w:lvl w:ilvl="3">
      <w:start w:val="1"/>
      <w:numFmt w:val="lowerLetter"/>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278D14AA"/>
    <w:multiLevelType w:val="hybridMultilevel"/>
    <w:tmpl w:val="4BDEE3BE"/>
    <w:lvl w:ilvl="0" w:tplc="BFE8B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003DB"/>
    <w:multiLevelType w:val="hybridMultilevel"/>
    <w:tmpl w:val="2408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C73E6"/>
    <w:multiLevelType w:val="hybridMultilevel"/>
    <w:tmpl w:val="141CB89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427759F"/>
    <w:multiLevelType w:val="hybridMultilevel"/>
    <w:tmpl w:val="3CA4C39E"/>
    <w:lvl w:ilvl="0" w:tplc="0409001B">
      <w:start w:val="1"/>
      <w:numFmt w:val="lowerRoman"/>
      <w:lvlText w:val="%1."/>
      <w:lvlJc w:val="right"/>
      <w:pPr>
        <w:ind w:left="1440" w:hanging="360"/>
      </w:pPr>
      <w:rPr>
        <w:rFonts w:hint="default"/>
      </w:rPr>
    </w:lvl>
    <w:lvl w:ilvl="1" w:tplc="EEA009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7FD213C"/>
    <w:multiLevelType w:val="hybridMultilevel"/>
    <w:tmpl w:val="BE4E2EC2"/>
    <w:lvl w:ilvl="0" w:tplc="1F5EC130">
      <w:start w:val="1"/>
      <w:numFmt w:val="lowerLetter"/>
      <w:lvlText w:val="%1."/>
      <w:lvlJc w:val="left"/>
      <w:pPr>
        <w:ind w:left="720" w:hanging="360"/>
      </w:pPr>
      <w:rPr>
        <w:rFonts w:ascii="Times New Roman" w:eastAsia="MS Mincho" w:hAnsi="Times New Roman" w:cs="Times New Roman"/>
        <w:color w:val="000000" w:themeColor="text1"/>
      </w:rPr>
    </w:lvl>
    <w:lvl w:ilvl="1" w:tplc="1A021A82">
      <w:start w:val="1"/>
      <w:numFmt w:val="decimal"/>
      <w:lvlText w:val="%2."/>
      <w:lvlJc w:val="left"/>
      <w:pPr>
        <w:ind w:left="1440" w:hanging="360"/>
      </w:pPr>
      <w:rPr>
        <w:rFonts w:ascii="Times New Roman" w:eastAsia="MS Mincho"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44A0D"/>
    <w:multiLevelType w:val="hybridMultilevel"/>
    <w:tmpl w:val="B944E2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F841CF"/>
    <w:multiLevelType w:val="hybridMultilevel"/>
    <w:tmpl w:val="A69E783C"/>
    <w:lvl w:ilvl="0" w:tplc="0C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36DD0"/>
    <w:multiLevelType w:val="hybridMultilevel"/>
    <w:tmpl w:val="5094B6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1A6965"/>
    <w:multiLevelType w:val="hybridMultilevel"/>
    <w:tmpl w:val="0DC81AD8"/>
    <w:lvl w:ilvl="0" w:tplc="2496E7A6">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5767936">
      <w:start w:val="1"/>
      <w:numFmt w:val="decimal"/>
      <w:lvlText w:val="%5)"/>
      <w:lvlJc w:val="left"/>
      <w:pPr>
        <w:ind w:left="3600" w:hanging="360"/>
      </w:pPr>
      <w:rPr>
        <w:rFonts w:hint="default"/>
      </w:rPr>
    </w:lvl>
    <w:lvl w:ilvl="5" w:tplc="3B06C6B0">
      <w:start w:val="6"/>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1F2542"/>
    <w:multiLevelType w:val="hybridMultilevel"/>
    <w:tmpl w:val="42B4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AA482A"/>
    <w:multiLevelType w:val="hybridMultilevel"/>
    <w:tmpl w:val="5906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BE03A9"/>
    <w:multiLevelType w:val="multilevel"/>
    <w:tmpl w:val="FDCAE8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3B57B13"/>
    <w:multiLevelType w:val="hybridMultilevel"/>
    <w:tmpl w:val="D31097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947DC"/>
    <w:multiLevelType w:val="hybridMultilevel"/>
    <w:tmpl w:val="06789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5634A8"/>
    <w:multiLevelType w:val="hybridMultilevel"/>
    <w:tmpl w:val="97203846"/>
    <w:lvl w:ilvl="0" w:tplc="0409001B">
      <w:start w:val="1"/>
      <w:numFmt w:val="lowerRoman"/>
      <w:lvlText w:val="%1."/>
      <w:lvlJc w:val="right"/>
      <w:pPr>
        <w:ind w:left="1440" w:hanging="360"/>
      </w:pPr>
      <w:rPr>
        <w:rFonts w:hint="default"/>
      </w:rPr>
    </w:lvl>
    <w:lvl w:ilvl="1" w:tplc="EEA009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7F553A"/>
    <w:multiLevelType w:val="hybridMultilevel"/>
    <w:tmpl w:val="B14E7444"/>
    <w:lvl w:ilvl="0" w:tplc="D44288D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6035B8C"/>
    <w:multiLevelType w:val="hybridMultilevel"/>
    <w:tmpl w:val="75443D62"/>
    <w:lvl w:ilvl="0" w:tplc="E33629B0">
      <w:start w:val="7"/>
      <w:numFmt w:val="lowerLetter"/>
      <w:lvlText w:val="%1."/>
      <w:lvlJc w:val="left"/>
      <w:pPr>
        <w:ind w:left="1440" w:hanging="360"/>
      </w:pPr>
      <w:rPr>
        <w:rFonts w:hint="default"/>
      </w:rPr>
    </w:lvl>
    <w:lvl w:ilvl="1" w:tplc="EEA009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023664"/>
    <w:multiLevelType w:val="hybridMultilevel"/>
    <w:tmpl w:val="67A48862"/>
    <w:lvl w:ilvl="0" w:tplc="1F5EC130">
      <w:start w:val="1"/>
      <w:numFmt w:val="lowerLetter"/>
      <w:lvlText w:val="%1."/>
      <w:lvlJc w:val="left"/>
      <w:pPr>
        <w:ind w:left="720" w:hanging="360"/>
      </w:pPr>
      <w:rPr>
        <w:rFonts w:ascii="Times New Roman" w:eastAsia="MS Mincho" w:hAnsi="Times New Roman" w:cs="Times New Roman"/>
        <w:color w:val="000000" w:themeColor="text1"/>
      </w:rPr>
    </w:lvl>
    <w:lvl w:ilvl="1" w:tplc="1A021A82">
      <w:numFmt w:val="decimal"/>
      <w:lvlText w:val="%2."/>
      <w:lvlJc w:val="left"/>
      <w:pPr>
        <w:ind w:left="1440" w:hanging="360"/>
      </w:pPr>
      <w:rPr>
        <w:rFonts w:ascii="Times New Roman" w:eastAsia="MS Mincho"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A62D6B"/>
    <w:multiLevelType w:val="hybridMultilevel"/>
    <w:tmpl w:val="335487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AC25F42"/>
    <w:multiLevelType w:val="hybridMultilevel"/>
    <w:tmpl w:val="DB62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6E5C72"/>
    <w:multiLevelType w:val="hybridMultilevel"/>
    <w:tmpl w:val="1456AD34"/>
    <w:lvl w:ilvl="0" w:tplc="0409001B">
      <w:start w:val="1"/>
      <w:numFmt w:val="lowerRoman"/>
      <w:lvlText w:val="%1."/>
      <w:lvlJc w:val="right"/>
      <w:pPr>
        <w:ind w:left="1440" w:hanging="360"/>
      </w:pPr>
      <w:rPr>
        <w:rFonts w:hint="default"/>
      </w:rPr>
    </w:lvl>
    <w:lvl w:ilvl="1" w:tplc="EEA009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783C8D"/>
    <w:multiLevelType w:val="hybridMultilevel"/>
    <w:tmpl w:val="68C0F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03B40"/>
    <w:multiLevelType w:val="hybridMultilevel"/>
    <w:tmpl w:val="87C63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4344C"/>
    <w:multiLevelType w:val="multilevel"/>
    <w:tmpl w:val="7CE61DB6"/>
    <w:lvl w:ilvl="0">
      <w:start w:val="1"/>
      <w:numFmt w:val="decimal"/>
      <w:lvlText w:val="%1."/>
      <w:lvlJc w:val="left"/>
      <w:pPr>
        <w:ind w:left="720" w:hanging="360"/>
      </w:pPr>
      <w:rPr>
        <w:rFonts w:hint="default"/>
      </w:rPr>
    </w:lvl>
    <w:lvl w:ilvl="1">
      <w:start w:val="1"/>
      <w:numFmt w:val="lowerLetter"/>
      <w:lvlText w:val="%2."/>
      <w:lvlJc w:val="left"/>
      <w:pPr>
        <w:ind w:left="162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D197ADB"/>
    <w:multiLevelType w:val="hybridMultilevel"/>
    <w:tmpl w:val="08BC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14235"/>
    <w:multiLevelType w:val="hybridMultilevel"/>
    <w:tmpl w:val="39746DDA"/>
    <w:lvl w:ilvl="0" w:tplc="2496E7A6">
      <w:start w:val="1"/>
      <w:numFmt w:val="decimal"/>
      <w:lvlText w:val="%1."/>
      <w:lvlJc w:val="left"/>
      <w:pPr>
        <w:ind w:left="720" w:hanging="360"/>
      </w:pPr>
      <w:rPr>
        <w:rFonts w:hint="default"/>
      </w:rPr>
    </w:lvl>
    <w:lvl w:ilvl="1" w:tplc="13FE3C28">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18"/>
  </w:num>
  <w:num w:numId="4">
    <w:abstractNumId w:val="9"/>
  </w:num>
  <w:num w:numId="5">
    <w:abstractNumId w:val="35"/>
  </w:num>
  <w:num w:numId="6">
    <w:abstractNumId w:val="22"/>
  </w:num>
  <w:num w:numId="7">
    <w:abstractNumId w:val="5"/>
  </w:num>
  <w:num w:numId="8">
    <w:abstractNumId w:val="28"/>
  </w:num>
  <w:num w:numId="9">
    <w:abstractNumId w:val="26"/>
  </w:num>
  <w:num w:numId="10">
    <w:abstractNumId w:val="27"/>
  </w:num>
  <w:num w:numId="11">
    <w:abstractNumId w:val="31"/>
  </w:num>
  <w:num w:numId="12">
    <w:abstractNumId w:val="33"/>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7"/>
  </w:num>
  <w:num w:numId="17">
    <w:abstractNumId w:val="10"/>
  </w:num>
  <w:num w:numId="18">
    <w:abstractNumId w:val="30"/>
  </w:num>
  <w:num w:numId="19">
    <w:abstractNumId w:val="13"/>
  </w:num>
  <w:num w:numId="20">
    <w:abstractNumId w:val="17"/>
  </w:num>
  <w:num w:numId="21">
    <w:abstractNumId w:val="11"/>
  </w:num>
  <w:num w:numId="22">
    <w:abstractNumId w:val="23"/>
  </w:num>
  <w:num w:numId="23">
    <w:abstractNumId w:val="20"/>
  </w:num>
  <w:num w:numId="24">
    <w:abstractNumId w:val="19"/>
  </w:num>
  <w:num w:numId="25">
    <w:abstractNumId w:val="29"/>
  </w:num>
  <w:num w:numId="26">
    <w:abstractNumId w:val="6"/>
  </w:num>
  <w:num w:numId="27">
    <w:abstractNumId w:val="2"/>
  </w:num>
  <w:num w:numId="28">
    <w:abstractNumId w:val="0"/>
  </w:num>
  <w:num w:numId="29">
    <w:abstractNumId w:val="32"/>
  </w:num>
  <w:num w:numId="30">
    <w:abstractNumId w:val="14"/>
  </w:num>
  <w:num w:numId="31">
    <w:abstractNumId w:val="4"/>
  </w:num>
  <w:num w:numId="32">
    <w:abstractNumId w:val="16"/>
  </w:num>
  <w:num w:numId="33">
    <w:abstractNumId w:val="21"/>
  </w:num>
  <w:num w:numId="34">
    <w:abstractNumId w:val="25"/>
  </w:num>
  <w:num w:numId="35">
    <w:abstractNumId w:val="34"/>
  </w:num>
  <w:num w:numId="3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FE"/>
    <w:rsid w:val="00000423"/>
    <w:rsid w:val="000014F9"/>
    <w:rsid w:val="00001630"/>
    <w:rsid w:val="000022DA"/>
    <w:rsid w:val="00003605"/>
    <w:rsid w:val="00004317"/>
    <w:rsid w:val="00005CE2"/>
    <w:rsid w:val="0000706A"/>
    <w:rsid w:val="00007900"/>
    <w:rsid w:val="00010450"/>
    <w:rsid w:val="00011408"/>
    <w:rsid w:val="00011678"/>
    <w:rsid w:val="00012402"/>
    <w:rsid w:val="0001356B"/>
    <w:rsid w:val="0001502E"/>
    <w:rsid w:val="00015099"/>
    <w:rsid w:val="00016215"/>
    <w:rsid w:val="00017705"/>
    <w:rsid w:val="0002039D"/>
    <w:rsid w:val="00020585"/>
    <w:rsid w:val="00020F21"/>
    <w:rsid w:val="00021200"/>
    <w:rsid w:val="000217F9"/>
    <w:rsid w:val="00021F2C"/>
    <w:rsid w:val="000223E2"/>
    <w:rsid w:val="00025338"/>
    <w:rsid w:val="000258B5"/>
    <w:rsid w:val="000263D7"/>
    <w:rsid w:val="0002679F"/>
    <w:rsid w:val="00027FC7"/>
    <w:rsid w:val="00030162"/>
    <w:rsid w:val="00030C84"/>
    <w:rsid w:val="00030FAF"/>
    <w:rsid w:val="00032367"/>
    <w:rsid w:val="00032661"/>
    <w:rsid w:val="00033459"/>
    <w:rsid w:val="0003367F"/>
    <w:rsid w:val="00033856"/>
    <w:rsid w:val="00034150"/>
    <w:rsid w:val="00036FD7"/>
    <w:rsid w:val="000370F0"/>
    <w:rsid w:val="0004057D"/>
    <w:rsid w:val="00040BFF"/>
    <w:rsid w:val="00040EE8"/>
    <w:rsid w:val="0004194F"/>
    <w:rsid w:val="00041C2D"/>
    <w:rsid w:val="00041D81"/>
    <w:rsid w:val="0004251E"/>
    <w:rsid w:val="000434D9"/>
    <w:rsid w:val="00044623"/>
    <w:rsid w:val="00045D04"/>
    <w:rsid w:val="0004702E"/>
    <w:rsid w:val="000473A0"/>
    <w:rsid w:val="000479DE"/>
    <w:rsid w:val="00051B82"/>
    <w:rsid w:val="00051FF8"/>
    <w:rsid w:val="000540A4"/>
    <w:rsid w:val="00055F60"/>
    <w:rsid w:val="000561A6"/>
    <w:rsid w:val="00056D25"/>
    <w:rsid w:val="00060052"/>
    <w:rsid w:val="00060FAD"/>
    <w:rsid w:val="00061069"/>
    <w:rsid w:val="00061227"/>
    <w:rsid w:val="0006194B"/>
    <w:rsid w:val="000628BC"/>
    <w:rsid w:val="00062953"/>
    <w:rsid w:val="00063C36"/>
    <w:rsid w:val="00064460"/>
    <w:rsid w:val="00065581"/>
    <w:rsid w:val="0006697B"/>
    <w:rsid w:val="00066B79"/>
    <w:rsid w:val="00067B86"/>
    <w:rsid w:val="0007041F"/>
    <w:rsid w:val="00071E34"/>
    <w:rsid w:val="00072F82"/>
    <w:rsid w:val="000747B1"/>
    <w:rsid w:val="00076A1D"/>
    <w:rsid w:val="00076A92"/>
    <w:rsid w:val="000772AB"/>
    <w:rsid w:val="00080498"/>
    <w:rsid w:val="00080B78"/>
    <w:rsid w:val="00080D41"/>
    <w:rsid w:val="00081224"/>
    <w:rsid w:val="00081D5B"/>
    <w:rsid w:val="000823B1"/>
    <w:rsid w:val="0008482A"/>
    <w:rsid w:val="00084D67"/>
    <w:rsid w:val="000865A5"/>
    <w:rsid w:val="000875DD"/>
    <w:rsid w:val="00087B3D"/>
    <w:rsid w:val="00090375"/>
    <w:rsid w:val="000905EE"/>
    <w:rsid w:val="0009416F"/>
    <w:rsid w:val="00094B1C"/>
    <w:rsid w:val="0009675C"/>
    <w:rsid w:val="000969C5"/>
    <w:rsid w:val="00097368"/>
    <w:rsid w:val="00097A53"/>
    <w:rsid w:val="00097C8A"/>
    <w:rsid w:val="000A00AA"/>
    <w:rsid w:val="000A01A4"/>
    <w:rsid w:val="000A03C9"/>
    <w:rsid w:val="000A076E"/>
    <w:rsid w:val="000A0F0C"/>
    <w:rsid w:val="000A14C3"/>
    <w:rsid w:val="000A19BB"/>
    <w:rsid w:val="000A2085"/>
    <w:rsid w:val="000A20C6"/>
    <w:rsid w:val="000A262F"/>
    <w:rsid w:val="000A28E3"/>
    <w:rsid w:val="000A2F51"/>
    <w:rsid w:val="000A35A9"/>
    <w:rsid w:val="000A543D"/>
    <w:rsid w:val="000A6638"/>
    <w:rsid w:val="000A6F7D"/>
    <w:rsid w:val="000B0517"/>
    <w:rsid w:val="000B062D"/>
    <w:rsid w:val="000B08EA"/>
    <w:rsid w:val="000B1634"/>
    <w:rsid w:val="000B1799"/>
    <w:rsid w:val="000B364D"/>
    <w:rsid w:val="000B3967"/>
    <w:rsid w:val="000B4170"/>
    <w:rsid w:val="000B4BB5"/>
    <w:rsid w:val="000B4DEE"/>
    <w:rsid w:val="000B54F2"/>
    <w:rsid w:val="000B5AD4"/>
    <w:rsid w:val="000B6BE5"/>
    <w:rsid w:val="000B6CA3"/>
    <w:rsid w:val="000B72B8"/>
    <w:rsid w:val="000B79D5"/>
    <w:rsid w:val="000C0B17"/>
    <w:rsid w:val="000C13B7"/>
    <w:rsid w:val="000C2622"/>
    <w:rsid w:val="000C322F"/>
    <w:rsid w:val="000C40C1"/>
    <w:rsid w:val="000C4C06"/>
    <w:rsid w:val="000C52CC"/>
    <w:rsid w:val="000C7301"/>
    <w:rsid w:val="000D115C"/>
    <w:rsid w:val="000D1ABA"/>
    <w:rsid w:val="000D21BC"/>
    <w:rsid w:val="000D274B"/>
    <w:rsid w:val="000D2D37"/>
    <w:rsid w:val="000D2D87"/>
    <w:rsid w:val="000D300F"/>
    <w:rsid w:val="000D4256"/>
    <w:rsid w:val="000D45E5"/>
    <w:rsid w:val="000D6C48"/>
    <w:rsid w:val="000E0DA9"/>
    <w:rsid w:val="000E1AA9"/>
    <w:rsid w:val="000E2008"/>
    <w:rsid w:val="000E3C9F"/>
    <w:rsid w:val="000E4452"/>
    <w:rsid w:val="000E4B45"/>
    <w:rsid w:val="000E4E7A"/>
    <w:rsid w:val="000E4F3D"/>
    <w:rsid w:val="000E5002"/>
    <w:rsid w:val="000E50AD"/>
    <w:rsid w:val="000E5A5F"/>
    <w:rsid w:val="000E666C"/>
    <w:rsid w:val="000E6C12"/>
    <w:rsid w:val="000E7087"/>
    <w:rsid w:val="000E75E3"/>
    <w:rsid w:val="000E77DF"/>
    <w:rsid w:val="000F15CF"/>
    <w:rsid w:val="000F249A"/>
    <w:rsid w:val="000F2B0F"/>
    <w:rsid w:val="000F3835"/>
    <w:rsid w:val="000F440F"/>
    <w:rsid w:val="000F4DA9"/>
    <w:rsid w:val="000F55CB"/>
    <w:rsid w:val="000F6C43"/>
    <w:rsid w:val="000F7213"/>
    <w:rsid w:val="000F7CAE"/>
    <w:rsid w:val="0010033A"/>
    <w:rsid w:val="001012F8"/>
    <w:rsid w:val="00101AF4"/>
    <w:rsid w:val="00101EAB"/>
    <w:rsid w:val="00103E37"/>
    <w:rsid w:val="001045F0"/>
    <w:rsid w:val="0010469B"/>
    <w:rsid w:val="00104E97"/>
    <w:rsid w:val="00105FFD"/>
    <w:rsid w:val="00106323"/>
    <w:rsid w:val="00106790"/>
    <w:rsid w:val="0010753C"/>
    <w:rsid w:val="001075CB"/>
    <w:rsid w:val="0010773D"/>
    <w:rsid w:val="00107EF7"/>
    <w:rsid w:val="0011024D"/>
    <w:rsid w:val="00110518"/>
    <w:rsid w:val="001127F2"/>
    <w:rsid w:val="0011289F"/>
    <w:rsid w:val="00112E06"/>
    <w:rsid w:val="001130CA"/>
    <w:rsid w:val="0011358D"/>
    <w:rsid w:val="00113995"/>
    <w:rsid w:val="00114632"/>
    <w:rsid w:val="0011513D"/>
    <w:rsid w:val="00115D30"/>
    <w:rsid w:val="00116AEB"/>
    <w:rsid w:val="00117063"/>
    <w:rsid w:val="0011726E"/>
    <w:rsid w:val="00117296"/>
    <w:rsid w:val="0011770A"/>
    <w:rsid w:val="0012009F"/>
    <w:rsid w:val="00120393"/>
    <w:rsid w:val="00122D6C"/>
    <w:rsid w:val="00123392"/>
    <w:rsid w:val="0012386F"/>
    <w:rsid w:val="001241F1"/>
    <w:rsid w:val="00124583"/>
    <w:rsid w:val="001248C2"/>
    <w:rsid w:val="00124A4C"/>
    <w:rsid w:val="00126F45"/>
    <w:rsid w:val="00131101"/>
    <w:rsid w:val="001317FA"/>
    <w:rsid w:val="00131B19"/>
    <w:rsid w:val="001324C1"/>
    <w:rsid w:val="00132A91"/>
    <w:rsid w:val="00132DC5"/>
    <w:rsid w:val="00133662"/>
    <w:rsid w:val="00134980"/>
    <w:rsid w:val="00134B6F"/>
    <w:rsid w:val="00134D98"/>
    <w:rsid w:val="0013520E"/>
    <w:rsid w:val="00135AC8"/>
    <w:rsid w:val="001361E9"/>
    <w:rsid w:val="00140D76"/>
    <w:rsid w:val="00140F96"/>
    <w:rsid w:val="00141648"/>
    <w:rsid w:val="00143909"/>
    <w:rsid w:val="0014669D"/>
    <w:rsid w:val="0014694A"/>
    <w:rsid w:val="00147F2A"/>
    <w:rsid w:val="001505E6"/>
    <w:rsid w:val="00150719"/>
    <w:rsid w:val="00151DB7"/>
    <w:rsid w:val="001527F3"/>
    <w:rsid w:val="00152809"/>
    <w:rsid w:val="00154F38"/>
    <w:rsid w:val="0015508D"/>
    <w:rsid w:val="001564D6"/>
    <w:rsid w:val="001568ED"/>
    <w:rsid w:val="001570DC"/>
    <w:rsid w:val="0015748A"/>
    <w:rsid w:val="00160FBF"/>
    <w:rsid w:val="001611C0"/>
    <w:rsid w:val="0016158B"/>
    <w:rsid w:val="001633CD"/>
    <w:rsid w:val="00163F22"/>
    <w:rsid w:val="001647BC"/>
    <w:rsid w:val="00165DE7"/>
    <w:rsid w:val="001675B0"/>
    <w:rsid w:val="00167647"/>
    <w:rsid w:val="00167E6C"/>
    <w:rsid w:val="00170235"/>
    <w:rsid w:val="0017161D"/>
    <w:rsid w:val="001717AC"/>
    <w:rsid w:val="00171C11"/>
    <w:rsid w:val="00172669"/>
    <w:rsid w:val="001727A0"/>
    <w:rsid w:val="0017391D"/>
    <w:rsid w:val="001757BB"/>
    <w:rsid w:val="00175C08"/>
    <w:rsid w:val="001764B9"/>
    <w:rsid w:val="0017702B"/>
    <w:rsid w:val="0017795D"/>
    <w:rsid w:val="00180302"/>
    <w:rsid w:val="00180385"/>
    <w:rsid w:val="00180BB8"/>
    <w:rsid w:val="00181637"/>
    <w:rsid w:val="0018168E"/>
    <w:rsid w:val="001819D9"/>
    <w:rsid w:val="00181B12"/>
    <w:rsid w:val="00181C09"/>
    <w:rsid w:val="00181EC0"/>
    <w:rsid w:val="00181F1B"/>
    <w:rsid w:val="001820EF"/>
    <w:rsid w:val="00185834"/>
    <w:rsid w:val="0018626F"/>
    <w:rsid w:val="00191514"/>
    <w:rsid w:val="001916B3"/>
    <w:rsid w:val="0019286D"/>
    <w:rsid w:val="00192A56"/>
    <w:rsid w:val="00193209"/>
    <w:rsid w:val="00193AAF"/>
    <w:rsid w:val="001946BF"/>
    <w:rsid w:val="00194CE2"/>
    <w:rsid w:val="0019607C"/>
    <w:rsid w:val="00196627"/>
    <w:rsid w:val="001968D1"/>
    <w:rsid w:val="00197B01"/>
    <w:rsid w:val="001A0A45"/>
    <w:rsid w:val="001A2A28"/>
    <w:rsid w:val="001A2B39"/>
    <w:rsid w:val="001A2C82"/>
    <w:rsid w:val="001A3474"/>
    <w:rsid w:val="001A3492"/>
    <w:rsid w:val="001A3BBD"/>
    <w:rsid w:val="001A3DC2"/>
    <w:rsid w:val="001A3DDF"/>
    <w:rsid w:val="001A435C"/>
    <w:rsid w:val="001A5FF8"/>
    <w:rsid w:val="001A67C7"/>
    <w:rsid w:val="001A6AE8"/>
    <w:rsid w:val="001A6FAE"/>
    <w:rsid w:val="001A7556"/>
    <w:rsid w:val="001A7795"/>
    <w:rsid w:val="001A7986"/>
    <w:rsid w:val="001B0578"/>
    <w:rsid w:val="001B287D"/>
    <w:rsid w:val="001B3AC4"/>
    <w:rsid w:val="001B46C7"/>
    <w:rsid w:val="001B4D5F"/>
    <w:rsid w:val="001B5360"/>
    <w:rsid w:val="001B7A8F"/>
    <w:rsid w:val="001B7B13"/>
    <w:rsid w:val="001B7B9C"/>
    <w:rsid w:val="001B7EC2"/>
    <w:rsid w:val="001C0D70"/>
    <w:rsid w:val="001C1175"/>
    <w:rsid w:val="001C1B2B"/>
    <w:rsid w:val="001C27F6"/>
    <w:rsid w:val="001C29AD"/>
    <w:rsid w:val="001C3422"/>
    <w:rsid w:val="001C45A6"/>
    <w:rsid w:val="001C499F"/>
    <w:rsid w:val="001C49A5"/>
    <w:rsid w:val="001C565B"/>
    <w:rsid w:val="001C56F8"/>
    <w:rsid w:val="001C6002"/>
    <w:rsid w:val="001C7D41"/>
    <w:rsid w:val="001D08D5"/>
    <w:rsid w:val="001D0BED"/>
    <w:rsid w:val="001D1D62"/>
    <w:rsid w:val="001D2CF6"/>
    <w:rsid w:val="001D30D2"/>
    <w:rsid w:val="001D32C3"/>
    <w:rsid w:val="001D45E0"/>
    <w:rsid w:val="001D4721"/>
    <w:rsid w:val="001D5ABC"/>
    <w:rsid w:val="001D6E94"/>
    <w:rsid w:val="001D7B7A"/>
    <w:rsid w:val="001E05A5"/>
    <w:rsid w:val="001E0998"/>
    <w:rsid w:val="001E09F7"/>
    <w:rsid w:val="001E250A"/>
    <w:rsid w:val="001E2F7B"/>
    <w:rsid w:val="001E3466"/>
    <w:rsid w:val="001E34AF"/>
    <w:rsid w:val="001E3E58"/>
    <w:rsid w:val="001E55B3"/>
    <w:rsid w:val="001E66BE"/>
    <w:rsid w:val="001E7681"/>
    <w:rsid w:val="001E7D33"/>
    <w:rsid w:val="001F09D2"/>
    <w:rsid w:val="001F1094"/>
    <w:rsid w:val="001F447A"/>
    <w:rsid w:val="001F4CBB"/>
    <w:rsid w:val="001F596F"/>
    <w:rsid w:val="001F6168"/>
    <w:rsid w:val="001F75F1"/>
    <w:rsid w:val="002001F6"/>
    <w:rsid w:val="002006CF"/>
    <w:rsid w:val="002007A9"/>
    <w:rsid w:val="00200BC6"/>
    <w:rsid w:val="002011F4"/>
    <w:rsid w:val="00202D11"/>
    <w:rsid w:val="00202E77"/>
    <w:rsid w:val="002046AC"/>
    <w:rsid w:val="002053DB"/>
    <w:rsid w:val="0020562F"/>
    <w:rsid w:val="00205715"/>
    <w:rsid w:val="0020606D"/>
    <w:rsid w:val="00206AD5"/>
    <w:rsid w:val="00207271"/>
    <w:rsid w:val="0020753A"/>
    <w:rsid w:val="00207E86"/>
    <w:rsid w:val="00207F90"/>
    <w:rsid w:val="00210E81"/>
    <w:rsid w:val="00210EFB"/>
    <w:rsid w:val="002116FB"/>
    <w:rsid w:val="00211761"/>
    <w:rsid w:val="00213B76"/>
    <w:rsid w:val="00213E46"/>
    <w:rsid w:val="00214DEB"/>
    <w:rsid w:val="00215F23"/>
    <w:rsid w:val="002170D0"/>
    <w:rsid w:val="00217382"/>
    <w:rsid w:val="0022191C"/>
    <w:rsid w:val="00222230"/>
    <w:rsid w:val="002228E6"/>
    <w:rsid w:val="00222C6B"/>
    <w:rsid w:val="00223756"/>
    <w:rsid w:val="002237E0"/>
    <w:rsid w:val="00225BF6"/>
    <w:rsid w:val="00225F80"/>
    <w:rsid w:val="00226B99"/>
    <w:rsid w:val="00231717"/>
    <w:rsid w:val="00231757"/>
    <w:rsid w:val="00232921"/>
    <w:rsid w:val="00233BDE"/>
    <w:rsid w:val="0023404D"/>
    <w:rsid w:val="00234E87"/>
    <w:rsid w:val="0023531C"/>
    <w:rsid w:val="00235D32"/>
    <w:rsid w:val="00236BE3"/>
    <w:rsid w:val="00236CF5"/>
    <w:rsid w:val="002401BC"/>
    <w:rsid w:val="00240A59"/>
    <w:rsid w:val="00240BAE"/>
    <w:rsid w:val="00240F23"/>
    <w:rsid w:val="00241A52"/>
    <w:rsid w:val="0024290C"/>
    <w:rsid w:val="00242AD2"/>
    <w:rsid w:val="00243D81"/>
    <w:rsid w:val="0024425B"/>
    <w:rsid w:val="0024436A"/>
    <w:rsid w:val="002443E4"/>
    <w:rsid w:val="002449F2"/>
    <w:rsid w:val="002453A1"/>
    <w:rsid w:val="0024713C"/>
    <w:rsid w:val="00247437"/>
    <w:rsid w:val="0025032F"/>
    <w:rsid w:val="002508A5"/>
    <w:rsid w:val="00250C91"/>
    <w:rsid w:val="002511ED"/>
    <w:rsid w:val="00252909"/>
    <w:rsid w:val="00252DC0"/>
    <w:rsid w:val="00253601"/>
    <w:rsid w:val="002539EC"/>
    <w:rsid w:val="00253A77"/>
    <w:rsid w:val="00253BB2"/>
    <w:rsid w:val="00253C1C"/>
    <w:rsid w:val="00254FC1"/>
    <w:rsid w:val="00255C9A"/>
    <w:rsid w:val="00255CCE"/>
    <w:rsid w:val="00256209"/>
    <w:rsid w:val="00256377"/>
    <w:rsid w:val="00256E80"/>
    <w:rsid w:val="002578B6"/>
    <w:rsid w:val="00257B54"/>
    <w:rsid w:val="00257FE8"/>
    <w:rsid w:val="00260362"/>
    <w:rsid w:val="0026063D"/>
    <w:rsid w:val="002612FE"/>
    <w:rsid w:val="0026138D"/>
    <w:rsid w:val="0026167C"/>
    <w:rsid w:val="00262590"/>
    <w:rsid w:val="00262B91"/>
    <w:rsid w:val="00263A2B"/>
    <w:rsid w:val="00263A2E"/>
    <w:rsid w:val="00263EA6"/>
    <w:rsid w:val="00263ECD"/>
    <w:rsid w:val="00265F36"/>
    <w:rsid w:val="00266916"/>
    <w:rsid w:val="002676B5"/>
    <w:rsid w:val="00271D41"/>
    <w:rsid w:val="002725E4"/>
    <w:rsid w:val="00272C55"/>
    <w:rsid w:val="00274223"/>
    <w:rsid w:val="002747BF"/>
    <w:rsid w:val="00274820"/>
    <w:rsid w:val="00274881"/>
    <w:rsid w:val="00275C82"/>
    <w:rsid w:val="00275DCB"/>
    <w:rsid w:val="00275DFD"/>
    <w:rsid w:val="00276B07"/>
    <w:rsid w:val="00280F47"/>
    <w:rsid w:val="002819CD"/>
    <w:rsid w:val="00281FF9"/>
    <w:rsid w:val="00282332"/>
    <w:rsid w:val="0028254D"/>
    <w:rsid w:val="00283C55"/>
    <w:rsid w:val="00284258"/>
    <w:rsid w:val="00284882"/>
    <w:rsid w:val="002854B8"/>
    <w:rsid w:val="00285BA6"/>
    <w:rsid w:val="002866C8"/>
    <w:rsid w:val="002868F9"/>
    <w:rsid w:val="00286B0A"/>
    <w:rsid w:val="00287FC6"/>
    <w:rsid w:val="00290C3F"/>
    <w:rsid w:val="002912F8"/>
    <w:rsid w:val="00292016"/>
    <w:rsid w:val="002921B5"/>
    <w:rsid w:val="002923FC"/>
    <w:rsid w:val="00292E44"/>
    <w:rsid w:val="00293FBB"/>
    <w:rsid w:val="002943FB"/>
    <w:rsid w:val="002945D8"/>
    <w:rsid w:val="00295726"/>
    <w:rsid w:val="002958DF"/>
    <w:rsid w:val="00296D7A"/>
    <w:rsid w:val="0029779C"/>
    <w:rsid w:val="002977E5"/>
    <w:rsid w:val="002A01E8"/>
    <w:rsid w:val="002A072D"/>
    <w:rsid w:val="002A0C8C"/>
    <w:rsid w:val="002A0DA5"/>
    <w:rsid w:val="002A2AC4"/>
    <w:rsid w:val="002A2C2C"/>
    <w:rsid w:val="002A36DD"/>
    <w:rsid w:val="002A3EFE"/>
    <w:rsid w:val="002A486A"/>
    <w:rsid w:val="002A5541"/>
    <w:rsid w:val="002A6488"/>
    <w:rsid w:val="002A7117"/>
    <w:rsid w:val="002A76B1"/>
    <w:rsid w:val="002B0105"/>
    <w:rsid w:val="002B01B8"/>
    <w:rsid w:val="002B01EE"/>
    <w:rsid w:val="002B1602"/>
    <w:rsid w:val="002B167C"/>
    <w:rsid w:val="002B2A14"/>
    <w:rsid w:val="002B4FB9"/>
    <w:rsid w:val="002B50E5"/>
    <w:rsid w:val="002B55DE"/>
    <w:rsid w:val="002B55F0"/>
    <w:rsid w:val="002B5713"/>
    <w:rsid w:val="002B70F4"/>
    <w:rsid w:val="002C061A"/>
    <w:rsid w:val="002C23C9"/>
    <w:rsid w:val="002C2872"/>
    <w:rsid w:val="002C2ABB"/>
    <w:rsid w:val="002C3676"/>
    <w:rsid w:val="002C3C5E"/>
    <w:rsid w:val="002C3CA0"/>
    <w:rsid w:val="002C5240"/>
    <w:rsid w:val="002C7437"/>
    <w:rsid w:val="002C75F5"/>
    <w:rsid w:val="002C7E36"/>
    <w:rsid w:val="002D0AA5"/>
    <w:rsid w:val="002D14E7"/>
    <w:rsid w:val="002D1DAA"/>
    <w:rsid w:val="002D1DD1"/>
    <w:rsid w:val="002D23D9"/>
    <w:rsid w:val="002D2768"/>
    <w:rsid w:val="002D2769"/>
    <w:rsid w:val="002D4590"/>
    <w:rsid w:val="002D4F51"/>
    <w:rsid w:val="002D51D1"/>
    <w:rsid w:val="002D54C4"/>
    <w:rsid w:val="002D5563"/>
    <w:rsid w:val="002D5E8B"/>
    <w:rsid w:val="002D63B7"/>
    <w:rsid w:val="002D7CA5"/>
    <w:rsid w:val="002E09E9"/>
    <w:rsid w:val="002E1218"/>
    <w:rsid w:val="002E2599"/>
    <w:rsid w:val="002E2A4A"/>
    <w:rsid w:val="002E326D"/>
    <w:rsid w:val="002E56A2"/>
    <w:rsid w:val="002E5851"/>
    <w:rsid w:val="002E5F3E"/>
    <w:rsid w:val="002E61F8"/>
    <w:rsid w:val="002E6299"/>
    <w:rsid w:val="002E7CC8"/>
    <w:rsid w:val="002F0A86"/>
    <w:rsid w:val="002F0FDA"/>
    <w:rsid w:val="002F178E"/>
    <w:rsid w:val="002F185C"/>
    <w:rsid w:val="002F196E"/>
    <w:rsid w:val="002F1B9B"/>
    <w:rsid w:val="002F2D2B"/>
    <w:rsid w:val="002F2F60"/>
    <w:rsid w:val="002F3355"/>
    <w:rsid w:val="002F4507"/>
    <w:rsid w:val="002F5464"/>
    <w:rsid w:val="002F6A02"/>
    <w:rsid w:val="00301864"/>
    <w:rsid w:val="00303FF5"/>
    <w:rsid w:val="00304876"/>
    <w:rsid w:val="0030597E"/>
    <w:rsid w:val="003059DE"/>
    <w:rsid w:val="00305CA5"/>
    <w:rsid w:val="00306222"/>
    <w:rsid w:val="0030689A"/>
    <w:rsid w:val="00306C86"/>
    <w:rsid w:val="00306CF8"/>
    <w:rsid w:val="003071EF"/>
    <w:rsid w:val="00307E48"/>
    <w:rsid w:val="00310949"/>
    <w:rsid w:val="00310BB5"/>
    <w:rsid w:val="00310F9A"/>
    <w:rsid w:val="00310FDB"/>
    <w:rsid w:val="00311378"/>
    <w:rsid w:val="00315995"/>
    <w:rsid w:val="00315DFE"/>
    <w:rsid w:val="00316421"/>
    <w:rsid w:val="00317276"/>
    <w:rsid w:val="003211A1"/>
    <w:rsid w:val="00322E19"/>
    <w:rsid w:val="00323009"/>
    <w:rsid w:val="003244D9"/>
    <w:rsid w:val="003248DE"/>
    <w:rsid w:val="00324B78"/>
    <w:rsid w:val="00324DEA"/>
    <w:rsid w:val="00325227"/>
    <w:rsid w:val="00325E84"/>
    <w:rsid w:val="0033025C"/>
    <w:rsid w:val="0033027E"/>
    <w:rsid w:val="00330ED5"/>
    <w:rsid w:val="00332594"/>
    <w:rsid w:val="0033366B"/>
    <w:rsid w:val="003345B4"/>
    <w:rsid w:val="00335102"/>
    <w:rsid w:val="00335252"/>
    <w:rsid w:val="00335815"/>
    <w:rsid w:val="00335D8F"/>
    <w:rsid w:val="00336758"/>
    <w:rsid w:val="00336D2E"/>
    <w:rsid w:val="00337DD2"/>
    <w:rsid w:val="00340409"/>
    <w:rsid w:val="003411AE"/>
    <w:rsid w:val="003419E2"/>
    <w:rsid w:val="00342196"/>
    <w:rsid w:val="00342949"/>
    <w:rsid w:val="00342C9D"/>
    <w:rsid w:val="00343253"/>
    <w:rsid w:val="00343995"/>
    <w:rsid w:val="00344501"/>
    <w:rsid w:val="0034517D"/>
    <w:rsid w:val="003459C3"/>
    <w:rsid w:val="00345F73"/>
    <w:rsid w:val="00350292"/>
    <w:rsid w:val="00350A47"/>
    <w:rsid w:val="003529E2"/>
    <w:rsid w:val="00352F0D"/>
    <w:rsid w:val="003537FA"/>
    <w:rsid w:val="003549C3"/>
    <w:rsid w:val="00355B43"/>
    <w:rsid w:val="00355F45"/>
    <w:rsid w:val="0035634A"/>
    <w:rsid w:val="003564D1"/>
    <w:rsid w:val="0035788D"/>
    <w:rsid w:val="0036032E"/>
    <w:rsid w:val="00363991"/>
    <w:rsid w:val="00364372"/>
    <w:rsid w:val="00364CC2"/>
    <w:rsid w:val="003658A2"/>
    <w:rsid w:val="00365AD7"/>
    <w:rsid w:val="0036601F"/>
    <w:rsid w:val="00366BB1"/>
    <w:rsid w:val="00366BBF"/>
    <w:rsid w:val="00366D40"/>
    <w:rsid w:val="003674ED"/>
    <w:rsid w:val="00370815"/>
    <w:rsid w:val="00370BF5"/>
    <w:rsid w:val="00370C2D"/>
    <w:rsid w:val="003710E7"/>
    <w:rsid w:val="003716BD"/>
    <w:rsid w:val="0037360F"/>
    <w:rsid w:val="00375458"/>
    <w:rsid w:val="00376138"/>
    <w:rsid w:val="0037646B"/>
    <w:rsid w:val="0038039B"/>
    <w:rsid w:val="00382A58"/>
    <w:rsid w:val="003836CC"/>
    <w:rsid w:val="00383A00"/>
    <w:rsid w:val="00384959"/>
    <w:rsid w:val="003854CB"/>
    <w:rsid w:val="00385C37"/>
    <w:rsid w:val="003871B8"/>
    <w:rsid w:val="003871F9"/>
    <w:rsid w:val="0039010C"/>
    <w:rsid w:val="00391098"/>
    <w:rsid w:val="00391DB6"/>
    <w:rsid w:val="00392197"/>
    <w:rsid w:val="00393D6E"/>
    <w:rsid w:val="00394071"/>
    <w:rsid w:val="00394180"/>
    <w:rsid w:val="003944AD"/>
    <w:rsid w:val="003959FE"/>
    <w:rsid w:val="00396333"/>
    <w:rsid w:val="00396561"/>
    <w:rsid w:val="003966ED"/>
    <w:rsid w:val="003966FE"/>
    <w:rsid w:val="00396D92"/>
    <w:rsid w:val="003A089F"/>
    <w:rsid w:val="003A0911"/>
    <w:rsid w:val="003A4389"/>
    <w:rsid w:val="003A4776"/>
    <w:rsid w:val="003A4C8C"/>
    <w:rsid w:val="003A5C4E"/>
    <w:rsid w:val="003A6128"/>
    <w:rsid w:val="003A6312"/>
    <w:rsid w:val="003A638B"/>
    <w:rsid w:val="003A6E0B"/>
    <w:rsid w:val="003A76E0"/>
    <w:rsid w:val="003A7B14"/>
    <w:rsid w:val="003B029A"/>
    <w:rsid w:val="003B0569"/>
    <w:rsid w:val="003B0BEE"/>
    <w:rsid w:val="003B2481"/>
    <w:rsid w:val="003B3C82"/>
    <w:rsid w:val="003B41C4"/>
    <w:rsid w:val="003B48C0"/>
    <w:rsid w:val="003B4A40"/>
    <w:rsid w:val="003B56E0"/>
    <w:rsid w:val="003B5D6F"/>
    <w:rsid w:val="003B6A9A"/>
    <w:rsid w:val="003C0195"/>
    <w:rsid w:val="003C0704"/>
    <w:rsid w:val="003C0A07"/>
    <w:rsid w:val="003C0CAD"/>
    <w:rsid w:val="003C12FF"/>
    <w:rsid w:val="003C1726"/>
    <w:rsid w:val="003C2AD7"/>
    <w:rsid w:val="003C36FF"/>
    <w:rsid w:val="003C38B7"/>
    <w:rsid w:val="003C3A22"/>
    <w:rsid w:val="003C3AB6"/>
    <w:rsid w:val="003C3FFB"/>
    <w:rsid w:val="003C445A"/>
    <w:rsid w:val="003C4DF3"/>
    <w:rsid w:val="003C4FFB"/>
    <w:rsid w:val="003C564A"/>
    <w:rsid w:val="003C58FE"/>
    <w:rsid w:val="003C5948"/>
    <w:rsid w:val="003C64CA"/>
    <w:rsid w:val="003C6E13"/>
    <w:rsid w:val="003C7579"/>
    <w:rsid w:val="003C78FB"/>
    <w:rsid w:val="003C7AC1"/>
    <w:rsid w:val="003D041F"/>
    <w:rsid w:val="003D0749"/>
    <w:rsid w:val="003D2083"/>
    <w:rsid w:val="003D47CA"/>
    <w:rsid w:val="003D4C23"/>
    <w:rsid w:val="003D4D4F"/>
    <w:rsid w:val="003D6599"/>
    <w:rsid w:val="003E0E50"/>
    <w:rsid w:val="003E3ED3"/>
    <w:rsid w:val="003E4414"/>
    <w:rsid w:val="003E4C36"/>
    <w:rsid w:val="003E5B69"/>
    <w:rsid w:val="003E5C2E"/>
    <w:rsid w:val="003E60A5"/>
    <w:rsid w:val="003E645C"/>
    <w:rsid w:val="003E6FCA"/>
    <w:rsid w:val="003E725F"/>
    <w:rsid w:val="003E757C"/>
    <w:rsid w:val="003F019D"/>
    <w:rsid w:val="003F212F"/>
    <w:rsid w:val="003F2331"/>
    <w:rsid w:val="003F2487"/>
    <w:rsid w:val="003F2957"/>
    <w:rsid w:val="003F2B9B"/>
    <w:rsid w:val="003F3744"/>
    <w:rsid w:val="003F48E0"/>
    <w:rsid w:val="003F4C80"/>
    <w:rsid w:val="003F4D53"/>
    <w:rsid w:val="003F522C"/>
    <w:rsid w:val="003F5719"/>
    <w:rsid w:val="003F6515"/>
    <w:rsid w:val="003F6A55"/>
    <w:rsid w:val="003F6C66"/>
    <w:rsid w:val="003F7937"/>
    <w:rsid w:val="003F7C01"/>
    <w:rsid w:val="003F7D44"/>
    <w:rsid w:val="00401549"/>
    <w:rsid w:val="00405161"/>
    <w:rsid w:val="0040542E"/>
    <w:rsid w:val="004063E0"/>
    <w:rsid w:val="004068A0"/>
    <w:rsid w:val="00407076"/>
    <w:rsid w:val="00407C57"/>
    <w:rsid w:val="0041159E"/>
    <w:rsid w:val="0041193A"/>
    <w:rsid w:val="00411D1F"/>
    <w:rsid w:val="00413A35"/>
    <w:rsid w:val="00413A5B"/>
    <w:rsid w:val="00414941"/>
    <w:rsid w:val="00414B6D"/>
    <w:rsid w:val="00417079"/>
    <w:rsid w:val="004201AD"/>
    <w:rsid w:val="0042026D"/>
    <w:rsid w:val="00420555"/>
    <w:rsid w:val="00421E75"/>
    <w:rsid w:val="00422B62"/>
    <w:rsid w:val="00422D0C"/>
    <w:rsid w:val="00422D0E"/>
    <w:rsid w:val="00425315"/>
    <w:rsid w:val="00425CA6"/>
    <w:rsid w:val="00426207"/>
    <w:rsid w:val="00427492"/>
    <w:rsid w:val="00430E7D"/>
    <w:rsid w:val="004321E3"/>
    <w:rsid w:val="0043250F"/>
    <w:rsid w:val="004327C0"/>
    <w:rsid w:val="00432951"/>
    <w:rsid w:val="0043432F"/>
    <w:rsid w:val="00434525"/>
    <w:rsid w:val="004345E2"/>
    <w:rsid w:val="00434709"/>
    <w:rsid w:val="00434E4D"/>
    <w:rsid w:val="00435382"/>
    <w:rsid w:val="00435790"/>
    <w:rsid w:val="00435ECC"/>
    <w:rsid w:val="0043643A"/>
    <w:rsid w:val="0043720B"/>
    <w:rsid w:val="004374FA"/>
    <w:rsid w:val="004403A4"/>
    <w:rsid w:val="00441114"/>
    <w:rsid w:val="004422B8"/>
    <w:rsid w:val="00443994"/>
    <w:rsid w:val="00444865"/>
    <w:rsid w:val="00445020"/>
    <w:rsid w:val="00445B09"/>
    <w:rsid w:val="004469E5"/>
    <w:rsid w:val="00453D28"/>
    <w:rsid w:val="00453DAA"/>
    <w:rsid w:val="004547F3"/>
    <w:rsid w:val="004553C5"/>
    <w:rsid w:val="00456611"/>
    <w:rsid w:val="00456662"/>
    <w:rsid w:val="004570BC"/>
    <w:rsid w:val="004573DB"/>
    <w:rsid w:val="00457638"/>
    <w:rsid w:val="00457CBC"/>
    <w:rsid w:val="0046073F"/>
    <w:rsid w:val="00460C8E"/>
    <w:rsid w:val="0046155C"/>
    <w:rsid w:val="004619C5"/>
    <w:rsid w:val="00462DDA"/>
    <w:rsid w:val="00463679"/>
    <w:rsid w:val="004640FB"/>
    <w:rsid w:val="00465F79"/>
    <w:rsid w:val="0046661F"/>
    <w:rsid w:val="00466816"/>
    <w:rsid w:val="004668B1"/>
    <w:rsid w:val="004670E2"/>
    <w:rsid w:val="00467D20"/>
    <w:rsid w:val="004704A9"/>
    <w:rsid w:val="00471D90"/>
    <w:rsid w:val="00472FD2"/>
    <w:rsid w:val="00473083"/>
    <w:rsid w:val="004736AA"/>
    <w:rsid w:val="00473D46"/>
    <w:rsid w:val="0047436E"/>
    <w:rsid w:val="004749FA"/>
    <w:rsid w:val="00474D98"/>
    <w:rsid w:val="00474E62"/>
    <w:rsid w:val="00474EE8"/>
    <w:rsid w:val="00476A58"/>
    <w:rsid w:val="0047734E"/>
    <w:rsid w:val="004778B4"/>
    <w:rsid w:val="00480854"/>
    <w:rsid w:val="004815D4"/>
    <w:rsid w:val="00483748"/>
    <w:rsid w:val="004838E0"/>
    <w:rsid w:val="00483AE3"/>
    <w:rsid w:val="00483C71"/>
    <w:rsid w:val="00484235"/>
    <w:rsid w:val="0048435A"/>
    <w:rsid w:val="00484BDB"/>
    <w:rsid w:val="004856C9"/>
    <w:rsid w:val="00485E00"/>
    <w:rsid w:val="0049050E"/>
    <w:rsid w:val="00490BF0"/>
    <w:rsid w:val="00491532"/>
    <w:rsid w:val="00491967"/>
    <w:rsid w:val="0049196C"/>
    <w:rsid w:val="004955A3"/>
    <w:rsid w:val="0049716C"/>
    <w:rsid w:val="004A005E"/>
    <w:rsid w:val="004A0F3F"/>
    <w:rsid w:val="004A2582"/>
    <w:rsid w:val="004A4F66"/>
    <w:rsid w:val="004A5645"/>
    <w:rsid w:val="004A57EC"/>
    <w:rsid w:val="004A7531"/>
    <w:rsid w:val="004A7AD9"/>
    <w:rsid w:val="004B0FFA"/>
    <w:rsid w:val="004B1932"/>
    <w:rsid w:val="004B23E3"/>
    <w:rsid w:val="004B29E3"/>
    <w:rsid w:val="004B61C3"/>
    <w:rsid w:val="004B7297"/>
    <w:rsid w:val="004C1C9B"/>
    <w:rsid w:val="004C1E89"/>
    <w:rsid w:val="004C2CE4"/>
    <w:rsid w:val="004C331B"/>
    <w:rsid w:val="004C3CCD"/>
    <w:rsid w:val="004C4A65"/>
    <w:rsid w:val="004C60AA"/>
    <w:rsid w:val="004C6143"/>
    <w:rsid w:val="004C653B"/>
    <w:rsid w:val="004C66A0"/>
    <w:rsid w:val="004C6D0B"/>
    <w:rsid w:val="004C7E58"/>
    <w:rsid w:val="004D0E01"/>
    <w:rsid w:val="004D139A"/>
    <w:rsid w:val="004D17B7"/>
    <w:rsid w:val="004D1849"/>
    <w:rsid w:val="004D1A8F"/>
    <w:rsid w:val="004D29D3"/>
    <w:rsid w:val="004D2EA1"/>
    <w:rsid w:val="004D3DD8"/>
    <w:rsid w:val="004D4777"/>
    <w:rsid w:val="004D70D4"/>
    <w:rsid w:val="004D797B"/>
    <w:rsid w:val="004E0D80"/>
    <w:rsid w:val="004E1A51"/>
    <w:rsid w:val="004E1C08"/>
    <w:rsid w:val="004E2A96"/>
    <w:rsid w:val="004E2F8F"/>
    <w:rsid w:val="004E3254"/>
    <w:rsid w:val="004E4B1A"/>
    <w:rsid w:val="004E4E7A"/>
    <w:rsid w:val="004E5784"/>
    <w:rsid w:val="004E62E0"/>
    <w:rsid w:val="004E6318"/>
    <w:rsid w:val="004E66CC"/>
    <w:rsid w:val="004F1F74"/>
    <w:rsid w:val="004F241D"/>
    <w:rsid w:val="004F266D"/>
    <w:rsid w:val="004F297E"/>
    <w:rsid w:val="004F2FAA"/>
    <w:rsid w:val="004F49DE"/>
    <w:rsid w:val="004F4BCE"/>
    <w:rsid w:val="004F4C93"/>
    <w:rsid w:val="004F7127"/>
    <w:rsid w:val="00500768"/>
    <w:rsid w:val="00500984"/>
    <w:rsid w:val="00500F5D"/>
    <w:rsid w:val="005013AD"/>
    <w:rsid w:val="00502E04"/>
    <w:rsid w:val="005053D6"/>
    <w:rsid w:val="00505733"/>
    <w:rsid w:val="00506543"/>
    <w:rsid w:val="005069DE"/>
    <w:rsid w:val="005073D0"/>
    <w:rsid w:val="005102D3"/>
    <w:rsid w:val="00510748"/>
    <w:rsid w:val="00510758"/>
    <w:rsid w:val="00511280"/>
    <w:rsid w:val="00511399"/>
    <w:rsid w:val="00511A70"/>
    <w:rsid w:val="00511D28"/>
    <w:rsid w:val="00514055"/>
    <w:rsid w:val="005157B5"/>
    <w:rsid w:val="00515F91"/>
    <w:rsid w:val="0051628E"/>
    <w:rsid w:val="005169B4"/>
    <w:rsid w:val="00516BCB"/>
    <w:rsid w:val="00516D87"/>
    <w:rsid w:val="00517A4D"/>
    <w:rsid w:val="005204E9"/>
    <w:rsid w:val="00521145"/>
    <w:rsid w:val="00522148"/>
    <w:rsid w:val="00522ACB"/>
    <w:rsid w:val="00522D64"/>
    <w:rsid w:val="00523737"/>
    <w:rsid w:val="005239B8"/>
    <w:rsid w:val="00524266"/>
    <w:rsid w:val="00525CF4"/>
    <w:rsid w:val="00525E63"/>
    <w:rsid w:val="00526E1D"/>
    <w:rsid w:val="005272E0"/>
    <w:rsid w:val="005279A8"/>
    <w:rsid w:val="00532E24"/>
    <w:rsid w:val="00533016"/>
    <w:rsid w:val="005331BD"/>
    <w:rsid w:val="0053569A"/>
    <w:rsid w:val="00535764"/>
    <w:rsid w:val="00535B79"/>
    <w:rsid w:val="00535CD0"/>
    <w:rsid w:val="00537C25"/>
    <w:rsid w:val="005415D8"/>
    <w:rsid w:val="0054234C"/>
    <w:rsid w:val="005436AA"/>
    <w:rsid w:val="00543F1B"/>
    <w:rsid w:val="0054468D"/>
    <w:rsid w:val="00544B13"/>
    <w:rsid w:val="005453FF"/>
    <w:rsid w:val="00545ABA"/>
    <w:rsid w:val="00545B04"/>
    <w:rsid w:val="00546BCB"/>
    <w:rsid w:val="0054790A"/>
    <w:rsid w:val="005502C3"/>
    <w:rsid w:val="00550CD2"/>
    <w:rsid w:val="005516B3"/>
    <w:rsid w:val="005518C9"/>
    <w:rsid w:val="00552D9A"/>
    <w:rsid w:val="0055362D"/>
    <w:rsid w:val="00554DA8"/>
    <w:rsid w:val="00555175"/>
    <w:rsid w:val="00555B42"/>
    <w:rsid w:val="00556F0F"/>
    <w:rsid w:val="0056061A"/>
    <w:rsid w:val="00560FAE"/>
    <w:rsid w:val="00561669"/>
    <w:rsid w:val="0056246A"/>
    <w:rsid w:val="005630AF"/>
    <w:rsid w:val="00563C58"/>
    <w:rsid w:val="00563C95"/>
    <w:rsid w:val="00563EC2"/>
    <w:rsid w:val="005641C6"/>
    <w:rsid w:val="005641F6"/>
    <w:rsid w:val="005665FE"/>
    <w:rsid w:val="00566D97"/>
    <w:rsid w:val="005671A3"/>
    <w:rsid w:val="0056752D"/>
    <w:rsid w:val="00570A9F"/>
    <w:rsid w:val="0057234A"/>
    <w:rsid w:val="00572476"/>
    <w:rsid w:val="00572536"/>
    <w:rsid w:val="00572EBB"/>
    <w:rsid w:val="00573522"/>
    <w:rsid w:val="005749A6"/>
    <w:rsid w:val="00577272"/>
    <w:rsid w:val="0057799F"/>
    <w:rsid w:val="00577B39"/>
    <w:rsid w:val="0058086A"/>
    <w:rsid w:val="00581450"/>
    <w:rsid w:val="00581575"/>
    <w:rsid w:val="00581869"/>
    <w:rsid w:val="00581F43"/>
    <w:rsid w:val="00582948"/>
    <w:rsid w:val="00582EC2"/>
    <w:rsid w:val="0058349E"/>
    <w:rsid w:val="00585BCE"/>
    <w:rsid w:val="005865C8"/>
    <w:rsid w:val="005865EE"/>
    <w:rsid w:val="0058665B"/>
    <w:rsid w:val="00586BBF"/>
    <w:rsid w:val="0058716C"/>
    <w:rsid w:val="005878C0"/>
    <w:rsid w:val="005878CE"/>
    <w:rsid w:val="005878ED"/>
    <w:rsid w:val="00590017"/>
    <w:rsid w:val="005907DF"/>
    <w:rsid w:val="00591410"/>
    <w:rsid w:val="0059153F"/>
    <w:rsid w:val="005917AF"/>
    <w:rsid w:val="0059332C"/>
    <w:rsid w:val="00593F1C"/>
    <w:rsid w:val="00593FF9"/>
    <w:rsid w:val="005952F2"/>
    <w:rsid w:val="00595683"/>
    <w:rsid w:val="00597248"/>
    <w:rsid w:val="005A1172"/>
    <w:rsid w:val="005A13D4"/>
    <w:rsid w:val="005A1E09"/>
    <w:rsid w:val="005A2E65"/>
    <w:rsid w:val="005A3DE4"/>
    <w:rsid w:val="005A40C2"/>
    <w:rsid w:val="005A4AC8"/>
    <w:rsid w:val="005B0576"/>
    <w:rsid w:val="005B07F1"/>
    <w:rsid w:val="005B0B9F"/>
    <w:rsid w:val="005B1155"/>
    <w:rsid w:val="005B13CE"/>
    <w:rsid w:val="005B1F7D"/>
    <w:rsid w:val="005B2548"/>
    <w:rsid w:val="005B2C26"/>
    <w:rsid w:val="005B4430"/>
    <w:rsid w:val="005B4C9B"/>
    <w:rsid w:val="005B5885"/>
    <w:rsid w:val="005B64AB"/>
    <w:rsid w:val="005B6574"/>
    <w:rsid w:val="005B6826"/>
    <w:rsid w:val="005B6AAD"/>
    <w:rsid w:val="005C110C"/>
    <w:rsid w:val="005C2146"/>
    <w:rsid w:val="005C2DFD"/>
    <w:rsid w:val="005C3FCE"/>
    <w:rsid w:val="005C4453"/>
    <w:rsid w:val="005C578B"/>
    <w:rsid w:val="005C68BB"/>
    <w:rsid w:val="005C695E"/>
    <w:rsid w:val="005C7B6A"/>
    <w:rsid w:val="005D06DA"/>
    <w:rsid w:val="005D11FC"/>
    <w:rsid w:val="005D248A"/>
    <w:rsid w:val="005D2D04"/>
    <w:rsid w:val="005D3BD2"/>
    <w:rsid w:val="005D4AE9"/>
    <w:rsid w:val="005D5DFC"/>
    <w:rsid w:val="005D6318"/>
    <w:rsid w:val="005D770C"/>
    <w:rsid w:val="005D7F2E"/>
    <w:rsid w:val="005E081B"/>
    <w:rsid w:val="005E0AEF"/>
    <w:rsid w:val="005E117C"/>
    <w:rsid w:val="005E137E"/>
    <w:rsid w:val="005E142A"/>
    <w:rsid w:val="005E1A0C"/>
    <w:rsid w:val="005E2002"/>
    <w:rsid w:val="005E395C"/>
    <w:rsid w:val="005E451C"/>
    <w:rsid w:val="005E4BD1"/>
    <w:rsid w:val="005E4F19"/>
    <w:rsid w:val="005E571F"/>
    <w:rsid w:val="005E6CED"/>
    <w:rsid w:val="005E71FE"/>
    <w:rsid w:val="005F03D1"/>
    <w:rsid w:val="005F1A7C"/>
    <w:rsid w:val="005F3DB1"/>
    <w:rsid w:val="005F4096"/>
    <w:rsid w:val="005F4BC7"/>
    <w:rsid w:val="005F5068"/>
    <w:rsid w:val="005F52FF"/>
    <w:rsid w:val="005F573D"/>
    <w:rsid w:val="005F5917"/>
    <w:rsid w:val="005F5A8D"/>
    <w:rsid w:val="005F65C1"/>
    <w:rsid w:val="005F6BE7"/>
    <w:rsid w:val="005F756A"/>
    <w:rsid w:val="005F7B55"/>
    <w:rsid w:val="0060115E"/>
    <w:rsid w:val="0060345B"/>
    <w:rsid w:val="00603D63"/>
    <w:rsid w:val="00604077"/>
    <w:rsid w:val="006042A4"/>
    <w:rsid w:val="00604777"/>
    <w:rsid w:val="00605ACC"/>
    <w:rsid w:val="00605F59"/>
    <w:rsid w:val="00607304"/>
    <w:rsid w:val="00607FF2"/>
    <w:rsid w:val="00610FE8"/>
    <w:rsid w:val="0061141E"/>
    <w:rsid w:val="00611E91"/>
    <w:rsid w:val="006121A6"/>
    <w:rsid w:val="00612F63"/>
    <w:rsid w:val="006134AF"/>
    <w:rsid w:val="0061423E"/>
    <w:rsid w:val="00614C1B"/>
    <w:rsid w:val="00617F13"/>
    <w:rsid w:val="00621527"/>
    <w:rsid w:val="0062191B"/>
    <w:rsid w:val="00622F1C"/>
    <w:rsid w:val="00623237"/>
    <w:rsid w:val="0062433D"/>
    <w:rsid w:val="00624A70"/>
    <w:rsid w:val="00626268"/>
    <w:rsid w:val="0062700F"/>
    <w:rsid w:val="006275C3"/>
    <w:rsid w:val="00627B18"/>
    <w:rsid w:val="00630A34"/>
    <w:rsid w:val="00631A30"/>
    <w:rsid w:val="00632EDC"/>
    <w:rsid w:val="00632EFB"/>
    <w:rsid w:val="006331EA"/>
    <w:rsid w:val="00633BE9"/>
    <w:rsid w:val="00635390"/>
    <w:rsid w:val="006354FF"/>
    <w:rsid w:val="00635524"/>
    <w:rsid w:val="0063629D"/>
    <w:rsid w:val="00636E03"/>
    <w:rsid w:val="0063709A"/>
    <w:rsid w:val="006378F9"/>
    <w:rsid w:val="006379AD"/>
    <w:rsid w:val="00637EAC"/>
    <w:rsid w:val="00640455"/>
    <w:rsid w:val="006404A0"/>
    <w:rsid w:val="00641FA7"/>
    <w:rsid w:val="00642490"/>
    <w:rsid w:val="00642C5A"/>
    <w:rsid w:val="00643F1B"/>
    <w:rsid w:val="006459C8"/>
    <w:rsid w:val="006462FB"/>
    <w:rsid w:val="0064737D"/>
    <w:rsid w:val="0065008B"/>
    <w:rsid w:val="0065107D"/>
    <w:rsid w:val="006514FE"/>
    <w:rsid w:val="0065395B"/>
    <w:rsid w:val="006545E6"/>
    <w:rsid w:val="0065680F"/>
    <w:rsid w:val="006579BA"/>
    <w:rsid w:val="00657A3A"/>
    <w:rsid w:val="00662829"/>
    <w:rsid w:val="00670323"/>
    <w:rsid w:val="00670491"/>
    <w:rsid w:val="00670620"/>
    <w:rsid w:val="00670837"/>
    <w:rsid w:val="00670DB9"/>
    <w:rsid w:val="00671E30"/>
    <w:rsid w:val="006745EA"/>
    <w:rsid w:val="0067568A"/>
    <w:rsid w:val="00675DE5"/>
    <w:rsid w:val="00676D5C"/>
    <w:rsid w:val="00680BDC"/>
    <w:rsid w:val="006822A2"/>
    <w:rsid w:val="006824D2"/>
    <w:rsid w:val="00683089"/>
    <w:rsid w:val="006834B8"/>
    <w:rsid w:val="00683550"/>
    <w:rsid w:val="006842A0"/>
    <w:rsid w:val="00684C73"/>
    <w:rsid w:val="00685504"/>
    <w:rsid w:val="00686800"/>
    <w:rsid w:val="006869B5"/>
    <w:rsid w:val="00686BFF"/>
    <w:rsid w:val="006873A7"/>
    <w:rsid w:val="00687AE4"/>
    <w:rsid w:val="00690265"/>
    <w:rsid w:val="0069028D"/>
    <w:rsid w:val="00690A73"/>
    <w:rsid w:val="00690C81"/>
    <w:rsid w:val="00690EDB"/>
    <w:rsid w:val="00690F92"/>
    <w:rsid w:val="006918FF"/>
    <w:rsid w:val="00692B02"/>
    <w:rsid w:val="00692EF3"/>
    <w:rsid w:val="00693C4F"/>
    <w:rsid w:val="00693D57"/>
    <w:rsid w:val="006944E8"/>
    <w:rsid w:val="00694F36"/>
    <w:rsid w:val="00695715"/>
    <w:rsid w:val="006963FC"/>
    <w:rsid w:val="0069657D"/>
    <w:rsid w:val="00696668"/>
    <w:rsid w:val="00696A2B"/>
    <w:rsid w:val="006A1B1B"/>
    <w:rsid w:val="006A2E61"/>
    <w:rsid w:val="006A3D3B"/>
    <w:rsid w:val="006A40FD"/>
    <w:rsid w:val="006A41CF"/>
    <w:rsid w:val="006A5ED3"/>
    <w:rsid w:val="006A62E0"/>
    <w:rsid w:val="006A6341"/>
    <w:rsid w:val="006A6403"/>
    <w:rsid w:val="006A7251"/>
    <w:rsid w:val="006A7C93"/>
    <w:rsid w:val="006B1585"/>
    <w:rsid w:val="006B445D"/>
    <w:rsid w:val="006B495B"/>
    <w:rsid w:val="006B6227"/>
    <w:rsid w:val="006B6637"/>
    <w:rsid w:val="006B72B2"/>
    <w:rsid w:val="006B747D"/>
    <w:rsid w:val="006B7AA6"/>
    <w:rsid w:val="006B7BB5"/>
    <w:rsid w:val="006C020B"/>
    <w:rsid w:val="006C09A7"/>
    <w:rsid w:val="006C152C"/>
    <w:rsid w:val="006C1A01"/>
    <w:rsid w:val="006C2B2B"/>
    <w:rsid w:val="006C4E1B"/>
    <w:rsid w:val="006C6265"/>
    <w:rsid w:val="006C6F2A"/>
    <w:rsid w:val="006C7E1D"/>
    <w:rsid w:val="006C7ED6"/>
    <w:rsid w:val="006D011A"/>
    <w:rsid w:val="006D0F24"/>
    <w:rsid w:val="006D12F4"/>
    <w:rsid w:val="006D149A"/>
    <w:rsid w:val="006D1D6B"/>
    <w:rsid w:val="006D20E0"/>
    <w:rsid w:val="006D2274"/>
    <w:rsid w:val="006D277D"/>
    <w:rsid w:val="006D3AB8"/>
    <w:rsid w:val="006D3D58"/>
    <w:rsid w:val="006D58FC"/>
    <w:rsid w:val="006D5951"/>
    <w:rsid w:val="006D5C9A"/>
    <w:rsid w:val="006E0CB4"/>
    <w:rsid w:val="006E1A41"/>
    <w:rsid w:val="006E52AD"/>
    <w:rsid w:val="006E6272"/>
    <w:rsid w:val="006E6394"/>
    <w:rsid w:val="006E7796"/>
    <w:rsid w:val="006E7E97"/>
    <w:rsid w:val="006F0158"/>
    <w:rsid w:val="006F087D"/>
    <w:rsid w:val="006F1D67"/>
    <w:rsid w:val="006F24EB"/>
    <w:rsid w:val="006F2FE2"/>
    <w:rsid w:val="006F30BC"/>
    <w:rsid w:val="006F4E55"/>
    <w:rsid w:val="006F514D"/>
    <w:rsid w:val="006F5536"/>
    <w:rsid w:val="006F6CCF"/>
    <w:rsid w:val="00700E85"/>
    <w:rsid w:val="007013CB"/>
    <w:rsid w:val="00702417"/>
    <w:rsid w:val="00702C71"/>
    <w:rsid w:val="00702DAD"/>
    <w:rsid w:val="007053CA"/>
    <w:rsid w:val="007057F9"/>
    <w:rsid w:val="00705CC1"/>
    <w:rsid w:val="007068EA"/>
    <w:rsid w:val="00706CCD"/>
    <w:rsid w:val="00707668"/>
    <w:rsid w:val="007077DA"/>
    <w:rsid w:val="0071092E"/>
    <w:rsid w:val="0071095B"/>
    <w:rsid w:val="00710A3E"/>
    <w:rsid w:val="00714125"/>
    <w:rsid w:val="00714610"/>
    <w:rsid w:val="00714F0F"/>
    <w:rsid w:val="0071545A"/>
    <w:rsid w:val="00715E21"/>
    <w:rsid w:val="007162AD"/>
    <w:rsid w:val="00716AFE"/>
    <w:rsid w:val="00716E4B"/>
    <w:rsid w:val="00716EA0"/>
    <w:rsid w:val="007177CE"/>
    <w:rsid w:val="00717A04"/>
    <w:rsid w:val="00717D21"/>
    <w:rsid w:val="00717DF8"/>
    <w:rsid w:val="007200F0"/>
    <w:rsid w:val="00721279"/>
    <w:rsid w:val="007229FD"/>
    <w:rsid w:val="00723637"/>
    <w:rsid w:val="00723BCE"/>
    <w:rsid w:val="00723F43"/>
    <w:rsid w:val="007252B7"/>
    <w:rsid w:val="00727573"/>
    <w:rsid w:val="00730F71"/>
    <w:rsid w:val="007311C4"/>
    <w:rsid w:val="00731B1F"/>
    <w:rsid w:val="007336BE"/>
    <w:rsid w:val="007339C5"/>
    <w:rsid w:val="007347EF"/>
    <w:rsid w:val="00734C30"/>
    <w:rsid w:val="00735B91"/>
    <w:rsid w:val="0073651E"/>
    <w:rsid w:val="0073785F"/>
    <w:rsid w:val="0074052F"/>
    <w:rsid w:val="007412E6"/>
    <w:rsid w:val="00741D3E"/>
    <w:rsid w:val="00742990"/>
    <w:rsid w:val="00742D75"/>
    <w:rsid w:val="00743379"/>
    <w:rsid w:val="0074361F"/>
    <w:rsid w:val="007440FE"/>
    <w:rsid w:val="007441A6"/>
    <w:rsid w:val="0074499D"/>
    <w:rsid w:val="00745A58"/>
    <w:rsid w:val="00745CD6"/>
    <w:rsid w:val="007461D6"/>
    <w:rsid w:val="00746A45"/>
    <w:rsid w:val="00746BC3"/>
    <w:rsid w:val="00746FB3"/>
    <w:rsid w:val="007517BF"/>
    <w:rsid w:val="0075263F"/>
    <w:rsid w:val="00754341"/>
    <w:rsid w:val="007544A3"/>
    <w:rsid w:val="007549B5"/>
    <w:rsid w:val="00755D5A"/>
    <w:rsid w:val="00755EA2"/>
    <w:rsid w:val="0076017A"/>
    <w:rsid w:val="00760213"/>
    <w:rsid w:val="00761292"/>
    <w:rsid w:val="007617BB"/>
    <w:rsid w:val="00763859"/>
    <w:rsid w:val="00763FEA"/>
    <w:rsid w:val="00764150"/>
    <w:rsid w:val="007641F6"/>
    <w:rsid w:val="00764503"/>
    <w:rsid w:val="00764B35"/>
    <w:rsid w:val="0076565A"/>
    <w:rsid w:val="00765871"/>
    <w:rsid w:val="00765969"/>
    <w:rsid w:val="00765A30"/>
    <w:rsid w:val="0076656F"/>
    <w:rsid w:val="00771968"/>
    <w:rsid w:val="00771984"/>
    <w:rsid w:val="00772C11"/>
    <w:rsid w:val="00772FFE"/>
    <w:rsid w:val="00774599"/>
    <w:rsid w:val="00775456"/>
    <w:rsid w:val="007769F2"/>
    <w:rsid w:val="00776D27"/>
    <w:rsid w:val="007772C4"/>
    <w:rsid w:val="00777F70"/>
    <w:rsid w:val="00780025"/>
    <w:rsid w:val="00780402"/>
    <w:rsid w:val="00781514"/>
    <w:rsid w:val="00782355"/>
    <w:rsid w:val="00782427"/>
    <w:rsid w:val="007826E7"/>
    <w:rsid w:val="007837CE"/>
    <w:rsid w:val="00786989"/>
    <w:rsid w:val="0078716F"/>
    <w:rsid w:val="007879E7"/>
    <w:rsid w:val="00790543"/>
    <w:rsid w:val="00790935"/>
    <w:rsid w:val="0079225E"/>
    <w:rsid w:val="007931C2"/>
    <w:rsid w:val="00794DDD"/>
    <w:rsid w:val="0079581E"/>
    <w:rsid w:val="007958FF"/>
    <w:rsid w:val="00795FD2"/>
    <w:rsid w:val="00796604"/>
    <w:rsid w:val="00796969"/>
    <w:rsid w:val="0079717A"/>
    <w:rsid w:val="007A111C"/>
    <w:rsid w:val="007A1E10"/>
    <w:rsid w:val="007A1E31"/>
    <w:rsid w:val="007A27F8"/>
    <w:rsid w:val="007A2A53"/>
    <w:rsid w:val="007A33EF"/>
    <w:rsid w:val="007A39BF"/>
    <w:rsid w:val="007A3C9E"/>
    <w:rsid w:val="007A481A"/>
    <w:rsid w:val="007A4983"/>
    <w:rsid w:val="007A4CED"/>
    <w:rsid w:val="007A502A"/>
    <w:rsid w:val="007A5520"/>
    <w:rsid w:val="007A6205"/>
    <w:rsid w:val="007A662C"/>
    <w:rsid w:val="007A6B64"/>
    <w:rsid w:val="007B0046"/>
    <w:rsid w:val="007B10FF"/>
    <w:rsid w:val="007B283D"/>
    <w:rsid w:val="007B2EE5"/>
    <w:rsid w:val="007B430B"/>
    <w:rsid w:val="007B4412"/>
    <w:rsid w:val="007B4A9F"/>
    <w:rsid w:val="007B512D"/>
    <w:rsid w:val="007B615C"/>
    <w:rsid w:val="007B6F54"/>
    <w:rsid w:val="007B7494"/>
    <w:rsid w:val="007B7D9A"/>
    <w:rsid w:val="007B7F02"/>
    <w:rsid w:val="007C08BB"/>
    <w:rsid w:val="007C1925"/>
    <w:rsid w:val="007C1D7D"/>
    <w:rsid w:val="007C2587"/>
    <w:rsid w:val="007C303B"/>
    <w:rsid w:val="007C360C"/>
    <w:rsid w:val="007C3B22"/>
    <w:rsid w:val="007C4BEF"/>
    <w:rsid w:val="007C598E"/>
    <w:rsid w:val="007C6D94"/>
    <w:rsid w:val="007D0B21"/>
    <w:rsid w:val="007D0C48"/>
    <w:rsid w:val="007D10CD"/>
    <w:rsid w:val="007D1E73"/>
    <w:rsid w:val="007D2985"/>
    <w:rsid w:val="007D2A25"/>
    <w:rsid w:val="007D2C57"/>
    <w:rsid w:val="007D3340"/>
    <w:rsid w:val="007D3606"/>
    <w:rsid w:val="007D52E5"/>
    <w:rsid w:val="007D7BB6"/>
    <w:rsid w:val="007E094B"/>
    <w:rsid w:val="007E0C7B"/>
    <w:rsid w:val="007E1B71"/>
    <w:rsid w:val="007E2040"/>
    <w:rsid w:val="007E2957"/>
    <w:rsid w:val="007E2960"/>
    <w:rsid w:val="007E35CD"/>
    <w:rsid w:val="007E5312"/>
    <w:rsid w:val="007E6412"/>
    <w:rsid w:val="007E665B"/>
    <w:rsid w:val="007E6B14"/>
    <w:rsid w:val="007E7B23"/>
    <w:rsid w:val="007E7D98"/>
    <w:rsid w:val="007F05EB"/>
    <w:rsid w:val="007F0ED6"/>
    <w:rsid w:val="007F1024"/>
    <w:rsid w:val="007F17E1"/>
    <w:rsid w:val="007F2DB8"/>
    <w:rsid w:val="007F2E2D"/>
    <w:rsid w:val="007F2FF2"/>
    <w:rsid w:val="007F33CE"/>
    <w:rsid w:val="007F3A30"/>
    <w:rsid w:val="007F450C"/>
    <w:rsid w:val="007F48FE"/>
    <w:rsid w:val="007F52F7"/>
    <w:rsid w:val="007F5CAF"/>
    <w:rsid w:val="007F5E7B"/>
    <w:rsid w:val="007F5E9C"/>
    <w:rsid w:val="007F6A80"/>
    <w:rsid w:val="007F6FB1"/>
    <w:rsid w:val="007F742D"/>
    <w:rsid w:val="00800896"/>
    <w:rsid w:val="00800DDD"/>
    <w:rsid w:val="00800EB6"/>
    <w:rsid w:val="00801140"/>
    <w:rsid w:val="00801EF9"/>
    <w:rsid w:val="00802E23"/>
    <w:rsid w:val="00803F29"/>
    <w:rsid w:val="0080459F"/>
    <w:rsid w:val="008045BC"/>
    <w:rsid w:val="008047A3"/>
    <w:rsid w:val="00804AC8"/>
    <w:rsid w:val="00806455"/>
    <w:rsid w:val="00810C78"/>
    <w:rsid w:val="00812935"/>
    <w:rsid w:val="00813201"/>
    <w:rsid w:val="00813B87"/>
    <w:rsid w:val="00813C41"/>
    <w:rsid w:val="00814D97"/>
    <w:rsid w:val="00815F7B"/>
    <w:rsid w:val="00816B7F"/>
    <w:rsid w:val="00817BE6"/>
    <w:rsid w:val="00817EB8"/>
    <w:rsid w:val="008216DE"/>
    <w:rsid w:val="008220AC"/>
    <w:rsid w:val="0082272C"/>
    <w:rsid w:val="0082287C"/>
    <w:rsid w:val="00822A09"/>
    <w:rsid w:val="00822A4C"/>
    <w:rsid w:val="00823741"/>
    <w:rsid w:val="00823750"/>
    <w:rsid w:val="00823B94"/>
    <w:rsid w:val="00823E3E"/>
    <w:rsid w:val="00823E80"/>
    <w:rsid w:val="00824FC1"/>
    <w:rsid w:val="00825592"/>
    <w:rsid w:val="008264B6"/>
    <w:rsid w:val="00826B55"/>
    <w:rsid w:val="00827417"/>
    <w:rsid w:val="00827569"/>
    <w:rsid w:val="00827E86"/>
    <w:rsid w:val="00831A46"/>
    <w:rsid w:val="008326AA"/>
    <w:rsid w:val="00832A7E"/>
    <w:rsid w:val="00833620"/>
    <w:rsid w:val="00833978"/>
    <w:rsid w:val="008342D1"/>
    <w:rsid w:val="00835AB6"/>
    <w:rsid w:val="00835FAE"/>
    <w:rsid w:val="008368C7"/>
    <w:rsid w:val="00836C0D"/>
    <w:rsid w:val="00836DA0"/>
    <w:rsid w:val="00836DAF"/>
    <w:rsid w:val="008373BB"/>
    <w:rsid w:val="00837492"/>
    <w:rsid w:val="00837AF5"/>
    <w:rsid w:val="00837B2D"/>
    <w:rsid w:val="00837F31"/>
    <w:rsid w:val="00840DE5"/>
    <w:rsid w:val="00840E2E"/>
    <w:rsid w:val="00841D5F"/>
    <w:rsid w:val="00842821"/>
    <w:rsid w:val="0084760E"/>
    <w:rsid w:val="00850372"/>
    <w:rsid w:val="00850981"/>
    <w:rsid w:val="00851306"/>
    <w:rsid w:val="008515BA"/>
    <w:rsid w:val="00852549"/>
    <w:rsid w:val="0085265E"/>
    <w:rsid w:val="00854101"/>
    <w:rsid w:val="00854145"/>
    <w:rsid w:val="00854F23"/>
    <w:rsid w:val="0085570D"/>
    <w:rsid w:val="00863B24"/>
    <w:rsid w:val="00863BAB"/>
    <w:rsid w:val="00865964"/>
    <w:rsid w:val="00865FB2"/>
    <w:rsid w:val="00866068"/>
    <w:rsid w:val="00866199"/>
    <w:rsid w:val="008662F4"/>
    <w:rsid w:val="00866DF9"/>
    <w:rsid w:val="00867D14"/>
    <w:rsid w:val="0087136C"/>
    <w:rsid w:val="00871B7A"/>
    <w:rsid w:val="0087284F"/>
    <w:rsid w:val="00872D7B"/>
    <w:rsid w:val="00872FEF"/>
    <w:rsid w:val="00874038"/>
    <w:rsid w:val="00874FA5"/>
    <w:rsid w:val="008764F3"/>
    <w:rsid w:val="008768B0"/>
    <w:rsid w:val="00876ACD"/>
    <w:rsid w:val="00877972"/>
    <w:rsid w:val="008810A2"/>
    <w:rsid w:val="00881738"/>
    <w:rsid w:val="00882E26"/>
    <w:rsid w:val="00883081"/>
    <w:rsid w:val="0088388E"/>
    <w:rsid w:val="00883E42"/>
    <w:rsid w:val="00885D6F"/>
    <w:rsid w:val="00887C2D"/>
    <w:rsid w:val="00890512"/>
    <w:rsid w:val="0089073D"/>
    <w:rsid w:val="00891B7F"/>
    <w:rsid w:val="00892474"/>
    <w:rsid w:val="008924D3"/>
    <w:rsid w:val="00894006"/>
    <w:rsid w:val="00894A1A"/>
    <w:rsid w:val="008950E7"/>
    <w:rsid w:val="008967B0"/>
    <w:rsid w:val="008968CA"/>
    <w:rsid w:val="00896D08"/>
    <w:rsid w:val="00897030"/>
    <w:rsid w:val="008A0205"/>
    <w:rsid w:val="008A0432"/>
    <w:rsid w:val="008A1D55"/>
    <w:rsid w:val="008A2985"/>
    <w:rsid w:val="008A2A27"/>
    <w:rsid w:val="008A326B"/>
    <w:rsid w:val="008A35A4"/>
    <w:rsid w:val="008A3D25"/>
    <w:rsid w:val="008A41B2"/>
    <w:rsid w:val="008A4963"/>
    <w:rsid w:val="008A5515"/>
    <w:rsid w:val="008A5EEF"/>
    <w:rsid w:val="008A6680"/>
    <w:rsid w:val="008B0F8A"/>
    <w:rsid w:val="008B3117"/>
    <w:rsid w:val="008B3E34"/>
    <w:rsid w:val="008B438A"/>
    <w:rsid w:val="008B61F9"/>
    <w:rsid w:val="008B7472"/>
    <w:rsid w:val="008B7970"/>
    <w:rsid w:val="008C0494"/>
    <w:rsid w:val="008C0EE8"/>
    <w:rsid w:val="008C3137"/>
    <w:rsid w:val="008C715E"/>
    <w:rsid w:val="008D18B2"/>
    <w:rsid w:val="008D1F3D"/>
    <w:rsid w:val="008D23E8"/>
    <w:rsid w:val="008D3EC7"/>
    <w:rsid w:val="008D4FE8"/>
    <w:rsid w:val="008D553A"/>
    <w:rsid w:val="008D6187"/>
    <w:rsid w:val="008D67AF"/>
    <w:rsid w:val="008D69A8"/>
    <w:rsid w:val="008D6F51"/>
    <w:rsid w:val="008D6FB4"/>
    <w:rsid w:val="008E067F"/>
    <w:rsid w:val="008E06D9"/>
    <w:rsid w:val="008E0A3D"/>
    <w:rsid w:val="008E0D27"/>
    <w:rsid w:val="008E1164"/>
    <w:rsid w:val="008E1C62"/>
    <w:rsid w:val="008E2802"/>
    <w:rsid w:val="008E33BF"/>
    <w:rsid w:val="008E7BE4"/>
    <w:rsid w:val="008F0C42"/>
    <w:rsid w:val="008F1379"/>
    <w:rsid w:val="008F18EF"/>
    <w:rsid w:val="008F2E90"/>
    <w:rsid w:val="008F3270"/>
    <w:rsid w:val="008F33F0"/>
    <w:rsid w:val="008F36D0"/>
    <w:rsid w:val="008F46E7"/>
    <w:rsid w:val="008F62F3"/>
    <w:rsid w:val="008F62F7"/>
    <w:rsid w:val="008F6CD2"/>
    <w:rsid w:val="008F6E2F"/>
    <w:rsid w:val="008F710A"/>
    <w:rsid w:val="00901342"/>
    <w:rsid w:val="009016C9"/>
    <w:rsid w:val="009028E4"/>
    <w:rsid w:val="00902DD9"/>
    <w:rsid w:val="0090324A"/>
    <w:rsid w:val="00904758"/>
    <w:rsid w:val="00906024"/>
    <w:rsid w:val="00907B49"/>
    <w:rsid w:val="00910E35"/>
    <w:rsid w:val="00911967"/>
    <w:rsid w:val="0091285E"/>
    <w:rsid w:val="00912CF3"/>
    <w:rsid w:val="009139AD"/>
    <w:rsid w:val="00913A50"/>
    <w:rsid w:val="00913EA0"/>
    <w:rsid w:val="00914F83"/>
    <w:rsid w:val="0091580E"/>
    <w:rsid w:val="00915A6D"/>
    <w:rsid w:val="00916237"/>
    <w:rsid w:val="009175C2"/>
    <w:rsid w:val="00917EEB"/>
    <w:rsid w:val="00921C82"/>
    <w:rsid w:val="009223BD"/>
    <w:rsid w:val="00922BDD"/>
    <w:rsid w:val="00923DED"/>
    <w:rsid w:val="00923EAB"/>
    <w:rsid w:val="00924BA8"/>
    <w:rsid w:val="0092510C"/>
    <w:rsid w:val="00925821"/>
    <w:rsid w:val="00926A8B"/>
    <w:rsid w:val="00927679"/>
    <w:rsid w:val="00927DAA"/>
    <w:rsid w:val="009300BF"/>
    <w:rsid w:val="0093016E"/>
    <w:rsid w:val="00932562"/>
    <w:rsid w:val="00933AA8"/>
    <w:rsid w:val="00933DE0"/>
    <w:rsid w:val="00934B37"/>
    <w:rsid w:val="009351E4"/>
    <w:rsid w:val="00937EA5"/>
    <w:rsid w:val="00940DB1"/>
    <w:rsid w:val="00942655"/>
    <w:rsid w:val="009426E3"/>
    <w:rsid w:val="00942B52"/>
    <w:rsid w:val="00943515"/>
    <w:rsid w:val="00943DAB"/>
    <w:rsid w:val="0094465D"/>
    <w:rsid w:val="00946757"/>
    <w:rsid w:val="0094753B"/>
    <w:rsid w:val="0094765B"/>
    <w:rsid w:val="00952FB1"/>
    <w:rsid w:val="0095456A"/>
    <w:rsid w:val="00956100"/>
    <w:rsid w:val="0095657A"/>
    <w:rsid w:val="00957382"/>
    <w:rsid w:val="00957C12"/>
    <w:rsid w:val="00960741"/>
    <w:rsid w:val="00961754"/>
    <w:rsid w:val="00962FF5"/>
    <w:rsid w:val="00964610"/>
    <w:rsid w:val="00964704"/>
    <w:rsid w:val="00964BEC"/>
    <w:rsid w:val="00964D6D"/>
    <w:rsid w:val="00964FA9"/>
    <w:rsid w:val="009658C2"/>
    <w:rsid w:val="009659D0"/>
    <w:rsid w:val="00965A1E"/>
    <w:rsid w:val="00966BC1"/>
    <w:rsid w:val="009678C9"/>
    <w:rsid w:val="009679E0"/>
    <w:rsid w:val="00967FD3"/>
    <w:rsid w:val="00970048"/>
    <w:rsid w:val="0097011B"/>
    <w:rsid w:val="0097151F"/>
    <w:rsid w:val="00971F20"/>
    <w:rsid w:val="00972A05"/>
    <w:rsid w:val="009738E2"/>
    <w:rsid w:val="00973DDE"/>
    <w:rsid w:val="0097512D"/>
    <w:rsid w:val="00975412"/>
    <w:rsid w:val="0097629B"/>
    <w:rsid w:val="00976A0D"/>
    <w:rsid w:val="009772DA"/>
    <w:rsid w:val="009775D7"/>
    <w:rsid w:val="00981BE1"/>
    <w:rsid w:val="00982973"/>
    <w:rsid w:val="00983633"/>
    <w:rsid w:val="00983804"/>
    <w:rsid w:val="0098451E"/>
    <w:rsid w:val="00984CA3"/>
    <w:rsid w:val="0098563A"/>
    <w:rsid w:val="0098653C"/>
    <w:rsid w:val="00986E7F"/>
    <w:rsid w:val="00991539"/>
    <w:rsid w:val="00991E51"/>
    <w:rsid w:val="00992096"/>
    <w:rsid w:val="00993016"/>
    <w:rsid w:val="00993EC5"/>
    <w:rsid w:val="00996695"/>
    <w:rsid w:val="00996BB3"/>
    <w:rsid w:val="0099721E"/>
    <w:rsid w:val="009972BB"/>
    <w:rsid w:val="00997E65"/>
    <w:rsid w:val="009A0AAF"/>
    <w:rsid w:val="009A1116"/>
    <w:rsid w:val="009A12B6"/>
    <w:rsid w:val="009A1FB6"/>
    <w:rsid w:val="009A6974"/>
    <w:rsid w:val="009A69BD"/>
    <w:rsid w:val="009A6C0E"/>
    <w:rsid w:val="009B0447"/>
    <w:rsid w:val="009B081C"/>
    <w:rsid w:val="009B0C92"/>
    <w:rsid w:val="009B2959"/>
    <w:rsid w:val="009B2A5B"/>
    <w:rsid w:val="009B2BD9"/>
    <w:rsid w:val="009B30DE"/>
    <w:rsid w:val="009B3BCF"/>
    <w:rsid w:val="009B46FD"/>
    <w:rsid w:val="009B663B"/>
    <w:rsid w:val="009B6BAD"/>
    <w:rsid w:val="009B6CBA"/>
    <w:rsid w:val="009B72EC"/>
    <w:rsid w:val="009B79B0"/>
    <w:rsid w:val="009C0BA1"/>
    <w:rsid w:val="009C1C19"/>
    <w:rsid w:val="009C317E"/>
    <w:rsid w:val="009C3CB6"/>
    <w:rsid w:val="009C4E78"/>
    <w:rsid w:val="009C53F0"/>
    <w:rsid w:val="009C7108"/>
    <w:rsid w:val="009C7A09"/>
    <w:rsid w:val="009C7E27"/>
    <w:rsid w:val="009D07E5"/>
    <w:rsid w:val="009D12F2"/>
    <w:rsid w:val="009D135E"/>
    <w:rsid w:val="009D1AD1"/>
    <w:rsid w:val="009D298C"/>
    <w:rsid w:val="009D2D2A"/>
    <w:rsid w:val="009D3E01"/>
    <w:rsid w:val="009D41BE"/>
    <w:rsid w:val="009D4672"/>
    <w:rsid w:val="009D5A32"/>
    <w:rsid w:val="009D716F"/>
    <w:rsid w:val="009D7869"/>
    <w:rsid w:val="009E13D0"/>
    <w:rsid w:val="009E140E"/>
    <w:rsid w:val="009E1CAB"/>
    <w:rsid w:val="009E2759"/>
    <w:rsid w:val="009E282F"/>
    <w:rsid w:val="009E33B0"/>
    <w:rsid w:val="009E3678"/>
    <w:rsid w:val="009E3C02"/>
    <w:rsid w:val="009E4103"/>
    <w:rsid w:val="009E4EF1"/>
    <w:rsid w:val="009E5E2F"/>
    <w:rsid w:val="009E61D6"/>
    <w:rsid w:val="009E6E96"/>
    <w:rsid w:val="009E75F6"/>
    <w:rsid w:val="009E7B13"/>
    <w:rsid w:val="009F1122"/>
    <w:rsid w:val="009F13D6"/>
    <w:rsid w:val="009F2D89"/>
    <w:rsid w:val="009F37D6"/>
    <w:rsid w:val="009F3A1A"/>
    <w:rsid w:val="009F3EE6"/>
    <w:rsid w:val="009F4EE6"/>
    <w:rsid w:val="009F51AF"/>
    <w:rsid w:val="009F5C5B"/>
    <w:rsid w:val="009F6908"/>
    <w:rsid w:val="009F6FB5"/>
    <w:rsid w:val="00A012AF"/>
    <w:rsid w:val="00A014A1"/>
    <w:rsid w:val="00A02D8D"/>
    <w:rsid w:val="00A03152"/>
    <w:rsid w:val="00A03293"/>
    <w:rsid w:val="00A044B0"/>
    <w:rsid w:val="00A07149"/>
    <w:rsid w:val="00A102DA"/>
    <w:rsid w:val="00A104A8"/>
    <w:rsid w:val="00A1056B"/>
    <w:rsid w:val="00A10594"/>
    <w:rsid w:val="00A11B53"/>
    <w:rsid w:val="00A11BC6"/>
    <w:rsid w:val="00A123BF"/>
    <w:rsid w:val="00A13FDF"/>
    <w:rsid w:val="00A141A4"/>
    <w:rsid w:val="00A169F1"/>
    <w:rsid w:val="00A1729D"/>
    <w:rsid w:val="00A20609"/>
    <w:rsid w:val="00A22249"/>
    <w:rsid w:val="00A228D5"/>
    <w:rsid w:val="00A22B40"/>
    <w:rsid w:val="00A2322B"/>
    <w:rsid w:val="00A23A77"/>
    <w:rsid w:val="00A24A4F"/>
    <w:rsid w:val="00A25F11"/>
    <w:rsid w:val="00A26649"/>
    <w:rsid w:val="00A31E43"/>
    <w:rsid w:val="00A31FB0"/>
    <w:rsid w:val="00A326D7"/>
    <w:rsid w:val="00A32DF9"/>
    <w:rsid w:val="00A33919"/>
    <w:rsid w:val="00A33CE6"/>
    <w:rsid w:val="00A33D0C"/>
    <w:rsid w:val="00A346FA"/>
    <w:rsid w:val="00A35743"/>
    <w:rsid w:val="00A35AE0"/>
    <w:rsid w:val="00A366F2"/>
    <w:rsid w:val="00A404D2"/>
    <w:rsid w:val="00A40F6C"/>
    <w:rsid w:val="00A432E2"/>
    <w:rsid w:val="00A432FB"/>
    <w:rsid w:val="00A442A8"/>
    <w:rsid w:val="00A4488F"/>
    <w:rsid w:val="00A44BED"/>
    <w:rsid w:val="00A44F62"/>
    <w:rsid w:val="00A45160"/>
    <w:rsid w:val="00A464D3"/>
    <w:rsid w:val="00A468DF"/>
    <w:rsid w:val="00A46A5C"/>
    <w:rsid w:val="00A46D68"/>
    <w:rsid w:val="00A4779D"/>
    <w:rsid w:val="00A50A4C"/>
    <w:rsid w:val="00A512CF"/>
    <w:rsid w:val="00A51A72"/>
    <w:rsid w:val="00A51AE5"/>
    <w:rsid w:val="00A525B7"/>
    <w:rsid w:val="00A52B80"/>
    <w:rsid w:val="00A53BD2"/>
    <w:rsid w:val="00A54621"/>
    <w:rsid w:val="00A54B93"/>
    <w:rsid w:val="00A54E85"/>
    <w:rsid w:val="00A551FD"/>
    <w:rsid w:val="00A568CB"/>
    <w:rsid w:val="00A568E9"/>
    <w:rsid w:val="00A56E62"/>
    <w:rsid w:val="00A57D27"/>
    <w:rsid w:val="00A60168"/>
    <w:rsid w:val="00A616F6"/>
    <w:rsid w:val="00A61982"/>
    <w:rsid w:val="00A61BCD"/>
    <w:rsid w:val="00A6205A"/>
    <w:rsid w:val="00A63B55"/>
    <w:rsid w:val="00A64277"/>
    <w:rsid w:val="00A64A17"/>
    <w:rsid w:val="00A64DC3"/>
    <w:rsid w:val="00A66414"/>
    <w:rsid w:val="00A66D60"/>
    <w:rsid w:val="00A671AF"/>
    <w:rsid w:val="00A67242"/>
    <w:rsid w:val="00A705D2"/>
    <w:rsid w:val="00A7145B"/>
    <w:rsid w:val="00A7154E"/>
    <w:rsid w:val="00A71F86"/>
    <w:rsid w:val="00A729C8"/>
    <w:rsid w:val="00A7370B"/>
    <w:rsid w:val="00A73F8A"/>
    <w:rsid w:val="00A748AD"/>
    <w:rsid w:val="00A74E1F"/>
    <w:rsid w:val="00A7613A"/>
    <w:rsid w:val="00A778A2"/>
    <w:rsid w:val="00A80018"/>
    <w:rsid w:val="00A80654"/>
    <w:rsid w:val="00A80997"/>
    <w:rsid w:val="00A8241F"/>
    <w:rsid w:val="00A82520"/>
    <w:rsid w:val="00A84571"/>
    <w:rsid w:val="00A85420"/>
    <w:rsid w:val="00A85A69"/>
    <w:rsid w:val="00A873AA"/>
    <w:rsid w:val="00A873C2"/>
    <w:rsid w:val="00A90EE8"/>
    <w:rsid w:val="00A91A09"/>
    <w:rsid w:val="00A92C81"/>
    <w:rsid w:val="00A94B4F"/>
    <w:rsid w:val="00A952B8"/>
    <w:rsid w:val="00A95C00"/>
    <w:rsid w:val="00A95E50"/>
    <w:rsid w:val="00A96713"/>
    <w:rsid w:val="00A96E3B"/>
    <w:rsid w:val="00A96FE9"/>
    <w:rsid w:val="00A9781D"/>
    <w:rsid w:val="00A97BF3"/>
    <w:rsid w:val="00A97FB3"/>
    <w:rsid w:val="00AA035A"/>
    <w:rsid w:val="00AA049C"/>
    <w:rsid w:val="00AA0816"/>
    <w:rsid w:val="00AA1A92"/>
    <w:rsid w:val="00AA287B"/>
    <w:rsid w:val="00AA3578"/>
    <w:rsid w:val="00AA3738"/>
    <w:rsid w:val="00AA3965"/>
    <w:rsid w:val="00AA4201"/>
    <w:rsid w:val="00AA4D8D"/>
    <w:rsid w:val="00AA514D"/>
    <w:rsid w:val="00AA54C1"/>
    <w:rsid w:val="00AA56C8"/>
    <w:rsid w:val="00AA664E"/>
    <w:rsid w:val="00AA6FEF"/>
    <w:rsid w:val="00AB004B"/>
    <w:rsid w:val="00AB0150"/>
    <w:rsid w:val="00AB0FCA"/>
    <w:rsid w:val="00AB1EDF"/>
    <w:rsid w:val="00AB2D92"/>
    <w:rsid w:val="00AB3852"/>
    <w:rsid w:val="00AB40A3"/>
    <w:rsid w:val="00AB4B02"/>
    <w:rsid w:val="00AB572B"/>
    <w:rsid w:val="00AB58DA"/>
    <w:rsid w:val="00AB6401"/>
    <w:rsid w:val="00AB64B2"/>
    <w:rsid w:val="00AB6706"/>
    <w:rsid w:val="00AB682B"/>
    <w:rsid w:val="00AB6D02"/>
    <w:rsid w:val="00AB76C4"/>
    <w:rsid w:val="00AB7747"/>
    <w:rsid w:val="00AB7917"/>
    <w:rsid w:val="00AC0B6A"/>
    <w:rsid w:val="00AC0D52"/>
    <w:rsid w:val="00AC139B"/>
    <w:rsid w:val="00AC55D5"/>
    <w:rsid w:val="00AC738B"/>
    <w:rsid w:val="00AC7895"/>
    <w:rsid w:val="00AC7BF5"/>
    <w:rsid w:val="00AC7D5B"/>
    <w:rsid w:val="00AD172A"/>
    <w:rsid w:val="00AD18AD"/>
    <w:rsid w:val="00AD2CF5"/>
    <w:rsid w:val="00AD32F4"/>
    <w:rsid w:val="00AD3510"/>
    <w:rsid w:val="00AD4754"/>
    <w:rsid w:val="00AD58A3"/>
    <w:rsid w:val="00AD682B"/>
    <w:rsid w:val="00AD7695"/>
    <w:rsid w:val="00AE0847"/>
    <w:rsid w:val="00AE1728"/>
    <w:rsid w:val="00AE17E2"/>
    <w:rsid w:val="00AE1E85"/>
    <w:rsid w:val="00AE388B"/>
    <w:rsid w:val="00AE3ADD"/>
    <w:rsid w:val="00AE4901"/>
    <w:rsid w:val="00AE5389"/>
    <w:rsid w:val="00AE54C1"/>
    <w:rsid w:val="00AE64EB"/>
    <w:rsid w:val="00AF26D1"/>
    <w:rsid w:val="00AF3222"/>
    <w:rsid w:val="00AF37F8"/>
    <w:rsid w:val="00AF43DB"/>
    <w:rsid w:val="00AF511C"/>
    <w:rsid w:val="00AF53DC"/>
    <w:rsid w:val="00AF6ECD"/>
    <w:rsid w:val="00AF749E"/>
    <w:rsid w:val="00AF7C30"/>
    <w:rsid w:val="00B0262B"/>
    <w:rsid w:val="00B0577D"/>
    <w:rsid w:val="00B06566"/>
    <w:rsid w:val="00B068DF"/>
    <w:rsid w:val="00B0799B"/>
    <w:rsid w:val="00B1099C"/>
    <w:rsid w:val="00B10BEB"/>
    <w:rsid w:val="00B11944"/>
    <w:rsid w:val="00B11E81"/>
    <w:rsid w:val="00B11FE8"/>
    <w:rsid w:val="00B130F8"/>
    <w:rsid w:val="00B1506C"/>
    <w:rsid w:val="00B15C91"/>
    <w:rsid w:val="00B17459"/>
    <w:rsid w:val="00B17588"/>
    <w:rsid w:val="00B17E5D"/>
    <w:rsid w:val="00B21DD1"/>
    <w:rsid w:val="00B22446"/>
    <w:rsid w:val="00B22B1F"/>
    <w:rsid w:val="00B22EEA"/>
    <w:rsid w:val="00B2330A"/>
    <w:rsid w:val="00B2399A"/>
    <w:rsid w:val="00B23D7C"/>
    <w:rsid w:val="00B2435C"/>
    <w:rsid w:val="00B250B9"/>
    <w:rsid w:val="00B25431"/>
    <w:rsid w:val="00B26322"/>
    <w:rsid w:val="00B2657D"/>
    <w:rsid w:val="00B26A01"/>
    <w:rsid w:val="00B26E9C"/>
    <w:rsid w:val="00B27152"/>
    <w:rsid w:val="00B27521"/>
    <w:rsid w:val="00B310F5"/>
    <w:rsid w:val="00B31748"/>
    <w:rsid w:val="00B32B9F"/>
    <w:rsid w:val="00B34B0B"/>
    <w:rsid w:val="00B36217"/>
    <w:rsid w:val="00B3631B"/>
    <w:rsid w:val="00B364B5"/>
    <w:rsid w:val="00B36576"/>
    <w:rsid w:val="00B36A9E"/>
    <w:rsid w:val="00B37056"/>
    <w:rsid w:val="00B40113"/>
    <w:rsid w:val="00B428ED"/>
    <w:rsid w:val="00B43A35"/>
    <w:rsid w:val="00B43FBC"/>
    <w:rsid w:val="00B454D1"/>
    <w:rsid w:val="00B46BF5"/>
    <w:rsid w:val="00B506AC"/>
    <w:rsid w:val="00B52053"/>
    <w:rsid w:val="00B528B9"/>
    <w:rsid w:val="00B53267"/>
    <w:rsid w:val="00B53EAC"/>
    <w:rsid w:val="00B5418A"/>
    <w:rsid w:val="00B54533"/>
    <w:rsid w:val="00B54A0D"/>
    <w:rsid w:val="00B5527A"/>
    <w:rsid w:val="00B55A66"/>
    <w:rsid w:val="00B55AF7"/>
    <w:rsid w:val="00B56B0A"/>
    <w:rsid w:val="00B56D1E"/>
    <w:rsid w:val="00B61704"/>
    <w:rsid w:val="00B61EFB"/>
    <w:rsid w:val="00B61F68"/>
    <w:rsid w:val="00B63DD7"/>
    <w:rsid w:val="00B645B4"/>
    <w:rsid w:val="00B647E7"/>
    <w:rsid w:val="00B670BC"/>
    <w:rsid w:val="00B67AA0"/>
    <w:rsid w:val="00B70DC8"/>
    <w:rsid w:val="00B710C5"/>
    <w:rsid w:val="00B728A0"/>
    <w:rsid w:val="00B75356"/>
    <w:rsid w:val="00B767EA"/>
    <w:rsid w:val="00B76ACE"/>
    <w:rsid w:val="00B76E44"/>
    <w:rsid w:val="00B82B65"/>
    <w:rsid w:val="00B82D10"/>
    <w:rsid w:val="00B830FD"/>
    <w:rsid w:val="00B8407C"/>
    <w:rsid w:val="00B86A85"/>
    <w:rsid w:val="00B86AA1"/>
    <w:rsid w:val="00B86CB3"/>
    <w:rsid w:val="00B875DC"/>
    <w:rsid w:val="00B87895"/>
    <w:rsid w:val="00B91C8B"/>
    <w:rsid w:val="00B92915"/>
    <w:rsid w:val="00B9329E"/>
    <w:rsid w:val="00B9514D"/>
    <w:rsid w:val="00B966AF"/>
    <w:rsid w:val="00B96B6A"/>
    <w:rsid w:val="00B97C44"/>
    <w:rsid w:val="00BA02E8"/>
    <w:rsid w:val="00BA0577"/>
    <w:rsid w:val="00BA08A2"/>
    <w:rsid w:val="00BA2166"/>
    <w:rsid w:val="00BA3EE5"/>
    <w:rsid w:val="00BA4642"/>
    <w:rsid w:val="00BA4B06"/>
    <w:rsid w:val="00BA5294"/>
    <w:rsid w:val="00BA5494"/>
    <w:rsid w:val="00BA5922"/>
    <w:rsid w:val="00BA5947"/>
    <w:rsid w:val="00BA7394"/>
    <w:rsid w:val="00BB073C"/>
    <w:rsid w:val="00BB14F5"/>
    <w:rsid w:val="00BB2668"/>
    <w:rsid w:val="00BB2B2B"/>
    <w:rsid w:val="00BB2E77"/>
    <w:rsid w:val="00BB3035"/>
    <w:rsid w:val="00BB48D9"/>
    <w:rsid w:val="00BB526A"/>
    <w:rsid w:val="00BB55B9"/>
    <w:rsid w:val="00BB58E9"/>
    <w:rsid w:val="00BB63A4"/>
    <w:rsid w:val="00BB7D5E"/>
    <w:rsid w:val="00BC001C"/>
    <w:rsid w:val="00BC03B3"/>
    <w:rsid w:val="00BC1654"/>
    <w:rsid w:val="00BC1C9C"/>
    <w:rsid w:val="00BC3D23"/>
    <w:rsid w:val="00BC5134"/>
    <w:rsid w:val="00BC58B1"/>
    <w:rsid w:val="00BC59C4"/>
    <w:rsid w:val="00BC5EA5"/>
    <w:rsid w:val="00BC6C29"/>
    <w:rsid w:val="00BC6D67"/>
    <w:rsid w:val="00BC7DDD"/>
    <w:rsid w:val="00BD02A5"/>
    <w:rsid w:val="00BD03A5"/>
    <w:rsid w:val="00BD0521"/>
    <w:rsid w:val="00BD1A0D"/>
    <w:rsid w:val="00BD32F1"/>
    <w:rsid w:val="00BD3C53"/>
    <w:rsid w:val="00BD3CF5"/>
    <w:rsid w:val="00BD5BAC"/>
    <w:rsid w:val="00BD7429"/>
    <w:rsid w:val="00BE06DA"/>
    <w:rsid w:val="00BE095B"/>
    <w:rsid w:val="00BE1117"/>
    <w:rsid w:val="00BE11D1"/>
    <w:rsid w:val="00BE13F3"/>
    <w:rsid w:val="00BE1432"/>
    <w:rsid w:val="00BE19F0"/>
    <w:rsid w:val="00BE2BAF"/>
    <w:rsid w:val="00BE2DEE"/>
    <w:rsid w:val="00BE2F49"/>
    <w:rsid w:val="00BE3725"/>
    <w:rsid w:val="00BE5EB6"/>
    <w:rsid w:val="00BE6A22"/>
    <w:rsid w:val="00BF01A2"/>
    <w:rsid w:val="00BF06D0"/>
    <w:rsid w:val="00BF0C2E"/>
    <w:rsid w:val="00BF1981"/>
    <w:rsid w:val="00BF2705"/>
    <w:rsid w:val="00BF31CD"/>
    <w:rsid w:val="00BF36D1"/>
    <w:rsid w:val="00BF4D76"/>
    <w:rsid w:val="00BF6228"/>
    <w:rsid w:val="00BF6455"/>
    <w:rsid w:val="00C00E61"/>
    <w:rsid w:val="00C01208"/>
    <w:rsid w:val="00C021A6"/>
    <w:rsid w:val="00C0268D"/>
    <w:rsid w:val="00C0305C"/>
    <w:rsid w:val="00C03A53"/>
    <w:rsid w:val="00C04C42"/>
    <w:rsid w:val="00C05C05"/>
    <w:rsid w:val="00C07CAF"/>
    <w:rsid w:val="00C108FB"/>
    <w:rsid w:val="00C10E6A"/>
    <w:rsid w:val="00C1191A"/>
    <w:rsid w:val="00C12993"/>
    <w:rsid w:val="00C13108"/>
    <w:rsid w:val="00C1479F"/>
    <w:rsid w:val="00C14E65"/>
    <w:rsid w:val="00C1509C"/>
    <w:rsid w:val="00C15444"/>
    <w:rsid w:val="00C15802"/>
    <w:rsid w:val="00C15CCA"/>
    <w:rsid w:val="00C16323"/>
    <w:rsid w:val="00C169D0"/>
    <w:rsid w:val="00C200C4"/>
    <w:rsid w:val="00C20379"/>
    <w:rsid w:val="00C215C2"/>
    <w:rsid w:val="00C22D09"/>
    <w:rsid w:val="00C23592"/>
    <w:rsid w:val="00C252DE"/>
    <w:rsid w:val="00C263DC"/>
    <w:rsid w:val="00C2650C"/>
    <w:rsid w:val="00C26F1F"/>
    <w:rsid w:val="00C272F1"/>
    <w:rsid w:val="00C302A7"/>
    <w:rsid w:val="00C3114E"/>
    <w:rsid w:val="00C314C1"/>
    <w:rsid w:val="00C31A3D"/>
    <w:rsid w:val="00C31B63"/>
    <w:rsid w:val="00C32A29"/>
    <w:rsid w:val="00C32B79"/>
    <w:rsid w:val="00C32FA4"/>
    <w:rsid w:val="00C3363B"/>
    <w:rsid w:val="00C33BE8"/>
    <w:rsid w:val="00C350C4"/>
    <w:rsid w:val="00C350F5"/>
    <w:rsid w:val="00C36264"/>
    <w:rsid w:val="00C36910"/>
    <w:rsid w:val="00C369AE"/>
    <w:rsid w:val="00C37908"/>
    <w:rsid w:val="00C379DF"/>
    <w:rsid w:val="00C403EE"/>
    <w:rsid w:val="00C40604"/>
    <w:rsid w:val="00C40A41"/>
    <w:rsid w:val="00C414A3"/>
    <w:rsid w:val="00C420A2"/>
    <w:rsid w:val="00C4268D"/>
    <w:rsid w:val="00C43196"/>
    <w:rsid w:val="00C433D4"/>
    <w:rsid w:val="00C44839"/>
    <w:rsid w:val="00C44A74"/>
    <w:rsid w:val="00C44B54"/>
    <w:rsid w:val="00C44B97"/>
    <w:rsid w:val="00C46492"/>
    <w:rsid w:val="00C46BB1"/>
    <w:rsid w:val="00C46D5A"/>
    <w:rsid w:val="00C503FE"/>
    <w:rsid w:val="00C5086C"/>
    <w:rsid w:val="00C5093B"/>
    <w:rsid w:val="00C52345"/>
    <w:rsid w:val="00C52405"/>
    <w:rsid w:val="00C52533"/>
    <w:rsid w:val="00C52CCE"/>
    <w:rsid w:val="00C55E48"/>
    <w:rsid w:val="00C56970"/>
    <w:rsid w:val="00C56B44"/>
    <w:rsid w:val="00C56F28"/>
    <w:rsid w:val="00C5737D"/>
    <w:rsid w:val="00C57593"/>
    <w:rsid w:val="00C63B35"/>
    <w:rsid w:val="00C64F27"/>
    <w:rsid w:val="00C6505F"/>
    <w:rsid w:val="00C650E9"/>
    <w:rsid w:val="00C65EE1"/>
    <w:rsid w:val="00C65FCE"/>
    <w:rsid w:val="00C664FD"/>
    <w:rsid w:val="00C66DF4"/>
    <w:rsid w:val="00C673C6"/>
    <w:rsid w:val="00C67D66"/>
    <w:rsid w:val="00C70299"/>
    <w:rsid w:val="00C706BD"/>
    <w:rsid w:val="00C71604"/>
    <w:rsid w:val="00C71F99"/>
    <w:rsid w:val="00C721CD"/>
    <w:rsid w:val="00C7250F"/>
    <w:rsid w:val="00C73127"/>
    <w:rsid w:val="00C73814"/>
    <w:rsid w:val="00C73D5F"/>
    <w:rsid w:val="00C741F4"/>
    <w:rsid w:val="00C755F0"/>
    <w:rsid w:val="00C76124"/>
    <w:rsid w:val="00C761C9"/>
    <w:rsid w:val="00C77D50"/>
    <w:rsid w:val="00C80723"/>
    <w:rsid w:val="00C80BC2"/>
    <w:rsid w:val="00C816FC"/>
    <w:rsid w:val="00C82AED"/>
    <w:rsid w:val="00C83F50"/>
    <w:rsid w:val="00C85AB1"/>
    <w:rsid w:val="00C865CD"/>
    <w:rsid w:val="00C86AFD"/>
    <w:rsid w:val="00C87587"/>
    <w:rsid w:val="00C907E3"/>
    <w:rsid w:val="00C909BD"/>
    <w:rsid w:val="00C927AC"/>
    <w:rsid w:val="00C92DAB"/>
    <w:rsid w:val="00C940F7"/>
    <w:rsid w:val="00C95F80"/>
    <w:rsid w:val="00C96BD3"/>
    <w:rsid w:val="00CA0549"/>
    <w:rsid w:val="00CA170D"/>
    <w:rsid w:val="00CA33D5"/>
    <w:rsid w:val="00CA3818"/>
    <w:rsid w:val="00CA3896"/>
    <w:rsid w:val="00CA4A3D"/>
    <w:rsid w:val="00CA4BD3"/>
    <w:rsid w:val="00CA5550"/>
    <w:rsid w:val="00CA6608"/>
    <w:rsid w:val="00CA67D5"/>
    <w:rsid w:val="00CA7069"/>
    <w:rsid w:val="00CB06B0"/>
    <w:rsid w:val="00CB1380"/>
    <w:rsid w:val="00CB1CB0"/>
    <w:rsid w:val="00CB3281"/>
    <w:rsid w:val="00CB37EC"/>
    <w:rsid w:val="00CB42E5"/>
    <w:rsid w:val="00CB47E6"/>
    <w:rsid w:val="00CB4EAA"/>
    <w:rsid w:val="00CB5D04"/>
    <w:rsid w:val="00CB5D09"/>
    <w:rsid w:val="00CB6096"/>
    <w:rsid w:val="00CB707D"/>
    <w:rsid w:val="00CB709A"/>
    <w:rsid w:val="00CC0BB6"/>
    <w:rsid w:val="00CC0FF1"/>
    <w:rsid w:val="00CC16B5"/>
    <w:rsid w:val="00CC17EB"/>
    <w:rsid w:val="00CC4481"/>
    <w:rsid w:val="00CC4EC4"/>
    <w:rsid w:val="00CC54ED"/>
    <w:rsid w:val="00CC61A9"/>
    <w:rsid w:val="00CC6D19"/>
    <w:rsid w:val="00CC78C0"/>
    <w:rsid w:val="00CD095D"/>
    <w:rsid w:val="00CD0A31"/>
    <w:rsid w:val="00CD1E2E"/>
    <w:rsid w:val="00CD1FDC"/>
    <w:rsid w:val="00CD2092"/>
    <w:rsid w:val="00CD3433"/>
    <w:rsid w:val="00CD44D3"/>
    <w:rsid w:val="00CD51D1"/>
    <w:rsid w:val="00CD5742"/>
    <w:rsid w:val="00CD5BFE"/>
    <w:rsid w:val="00CD5DD4"/>
    <w:rsid w:val="00CD658F"/>
    <w:rsid w:val="00CD6BFB"/>
    <w:rsid w:val="00CD79D8"/>
    <w:rsid w:val="00CD7BFF"/>
    <w:rsid w:val="00CE09DB"/>
    <w:rsid w:val="00CE0D95"/>
    <w:rsid w:val="00CE1350"/>
    <w:rsid w:val="00CE1EDF"/>
    <w:rsid w:val="00CE3BBC"/>
    <w:rsid w:val="00CE3BDE"/>
    <w:rsid w:val="00CE590B"/>
    <w:rsid w:val="00CE6659"/>
    <w:rsid w:val="00CE6D89"/>
    <w:rsid w:val="00CF0D63"/>
    <w:rsid w:val="00CF295A"/>
    <w:rsid w:val="00CF2A03"/>
    <w:rsid w:val="00CF38B7"/>
    <w:rsid w:val="00CF6038"/>
    <w:rsid w:val="00CF7441"/>
    <w:rsid w:val="00CF76F5"/>
    <w:rsid w:val="00CF7CA8"/>
    <w:rsid w:val="00D025C6"/>
    <w:rsid w:val="00D03501"/>
    <w:rsid w:val="00D0433E"/>
    <w:rsid w:val="00D05DB3"/>
    <w:rsid w:val="00D07AF0"/>
    <w:rsid w:val="00D108CF"/>
    <w:rsid w:val="00D11755"/>
    <w:rsid w:val="00D11DFE"/>
    <w:rsid w:val="00D12BF6"/>
    <w:rsid w:val="00D15646"/>
    <w:rsid w:val="00D1617A"/>
    <w:rsid w:val="00D167B8"/>
    <w:rsid w:val="00D17221"/>
    <w:rsid w:val="00D179C7"/>
    <w:rsid w:val="00D205CD"/>
    <w:rsid w:val="00D21104"/>
    <w:rsid w:val="00D236C6"/>
    <w:rsid w:val="00D237F8"/>
    <w:rsid w:val="00D23DD4"/>
    <w:rsid w:val="00D242D2"/>
    <w:rsid w:val="00D251D0"/>
    <w:rsid w:val="00D30422"/>
    <w:rsid w:val="00D30650"/>
    <w:rsid w:val="00D30E18"/>
    <w:rsid w:val="00D30EA0"/>
    <w:rsid w:val="00D30FCC"/>
    <w:rsid w:val="00D3162A"/>
    <w:rsid w:val="00D32386"/>
    <w:rsid w:val="00D32B80"/>
    <w:rsid w:val="00D32F4D"/>
    <w:rsid w:val="00D33613"/>
    <w:rsid w:val="00D33618"/>
    <w:rsid w:val="00D336D6"/>
    <w:rsid w:val="00D338AB"/>
    <w:rsid w:val="00D33EF8"/>
    <w:rsid w:val="00D3454D"/>
    <w:rsid w:val="00D3475A"/>
    <w:rsid w:val="00D34968"/>
    <w:rsid w:val="00D35389"/>
    <w:rsid w:val="00D368AE"/>
    <w:rsid w:val="00D375B8"/>
    <w:rsid w:val="00D41729"/>
    <w:rsid w:val="00D420AA"/>
    <w:rsid w:val="00D42920"/>
    <w:rsid w:val="00D437D1"/>
    <w:rsid w:val="00D44876"/>
    <w:rsid w:val="00D44DBA"/>
    <w:rsid w:val="00D45781"/>
    <w:rsid w:val="00D46780"/>
    <w:rsid w:val="00D476AB"/>
    <w:rsid w:val="00D51625"/>
    <w:rsid w:val="00D52366"/>
    <w:rsid w:val="00D53B98"/>
    <w:rsid w:val="00D5513A"/>
    <w:rsid w:val="00D555AF"/>
    <w:rsid w:val="00D563A9"/>
    <w:rsid w:val="00D565FF"/>
    <w:rsid w:val="00D56E09"/>
    <w:rsid w:val="00D5708D"/>
    <w:rsid w:val="00D572AD"/>
    <w:rsid w:val="00D57917"/>
    <w:rsid w:val="00D60F58"/>
    <w:rsid w:val="00D61607"/>
    <w:rsid w:val="00D61998"/>
    <w:rsid w:val="00D6224F"/>
    <w:rsid w:val="00D62C73"/>
    <w:rsid w:val="00D63FF4"/>
    <w:rsid w:val="00D6406E"/>
    <w:rsid w:val="00D647D4"/>
    <w:rsid w:val="00D65A06"/>
    <w:rsid w:val="00D666D6"/>
    <w:rsid w:val="00D67308"/>
    <w:rsid w:val="00D67AB7"/>
    <w:rsid w:val="00D67C80"/>
    <w:rsid w:val="00D703D3"/>
    <w:rsid w:val="00D72614"/>
    <w:rsid w:val="00D727AF"/>
    <w:rsid w:val="00D73847"/>
    <w:rsid w:val="00D73FB6"/>
    <w:rsid w:val="00D74A53"/>
    <w:rsid w:val="00D7510F"/>
    <w:rsid w:val="00D76FF0"/>
    <w:rsid w:val="00D80719"/>
    <w:rsid w:val="00D808E5"/>
    <w:rsid w:val="00D80A8C"/>
    <w:rsid w:val="00D80E0A"/>
    <w:rsid w:val="00D811E0"/>
    <w:rsid w:val="00D81611"/>
    <w:rsid w:val="00D816F3"/>
    <w:rsid w:val="00D83831"/>
    <w:rsid w:val="00D845C3"/>
    <w:rsid w:val="00D84A56"/>
    <w:rsid w:val="00D8513C"/>
    <w:rsid w:val="00D85712"/>
    <w:rsid w:val="00D85D35"/>
    <w:rsid w:val="00D86650"/>
    <w:rsid w:val="00D867F9"/>
    <w:rsid w:val="00D86CD1"/>
    <w:rsid w:val="00D941DC"/>
    <w:rsid w:val="00D95653"/>
    <w:rsid w:val="00D95888"/>
    <w:rsid w:val="00D95D46"/>
    <w:rsid w:val="00D96ACE"/>
    <w:rsid w:val="00D97411"/>
    <w:rsid w:val="00DA0C8A"/>
    <w:rsid w:val="00DA1258"/>
    <w:rsid w:val="00DA25D5"/>
    <w:rsid w:val="00DA4D57"/>
    <w:rsid w:val="00DA5E7F"/>
    <w:rsid w:val="00DA721C"/>
    <w:rsid w:val="00DA7E75"/>
    <w:rsid w:val="00DB02E8"/>
    <w:rsid w:val="00DB0483"/>
    <w:rsid w:val="00DB0C74"/>
    <w:rsid w:val="00DB20EB"/>
    <w:rsid w:val="00DB30DD"/>
    <w:rsid w:val="00DB3585"/>
    <w:rsid w:val="00DB391E"/>
    <w:rsid w:val="00DB3C19"/>
    <w:rsid w:val="00DB4323"/>
    <w:rsid w:val="00DB4CCE"/>
    <w:rsid w:val="00DB617D"/>
    <w:rsid w:val="00DB7A86"/>
    <w:rsid w:val="00DB7D47"/>
    <w:rsid w:val="00DC2796"/>
    <w:rsid w:val="00DC33DF"/>
    <w:rsid w:val="00DC3A29"/>
    <w:rsid w:val="00DC3BAA"/>
    <w:rsid w:val="00DC46AE"/>
    <w:rsid w:val="00DC4DF1"/>
    <w:rsid w:val="00DC55A3"/>
    <w:rsid w:val="00DC5FBE"/>
    <w:rsid w:val="00DC6A40"/>
    <w:rsid w:val="00DC7477"/>
    <w:rsid w:val="00DD0088"/>
    <w:rsid w:val="00DD042E"/>
    <w:rsid w:val="00DD0503"/>
    <w:rsid w:val="00DD095F"/>
    <w:rsid w:val="00DD250B"/>
    <w:rsid w:val="00DD2598"/>
    <w:rsid w:val="00DD2F56"/>
    <w:rsid w:val="00DD58FA"/>
    <w:rsid w:val="00DD5DD8"/>
    <w:rsid w:val="00DE0CE2"/>
    <w:rsid w:val="00DE13DF"/>
    <w:rsid w:val="00DE1629"/>
    <w:rsid w:val="00DE170D"/>
    <w:rsid w:val="00DE1776"/>
    <w:rsid w:val="00DE1A4B"/>
    <w:rsid w:val="00DE1C27"/>
    <w:rsid w:val="00DE3A5C"/>
    <w:rsid w:val="00DE4E1A"/>
    <w:rsid w:val="00DE5D50"/>
    <w:rsid w:val="00DE71AA"/>
    <w:rsid w:val="00DF0321"/>
    <w:rsid w:val="00DF2254"/>
    <w:rsid w:val="00DF2C03"/>
    <w:rsid w:val="00DF37D1"/>
    <w:rsid w:val="00DF421A"/>
    <w:rsid w:val="00DF5072"/>
    <w:rsid w:val="00DF5143"/>
    <w:rsid w:val="00DF52B9"/>
    <w:rsid w:val="00DF5D84"/>
    <w:rsid w:val="00DF6052"/>
    <w:rsid w:val="00DF656E"/>
    <w:rsid w:val="00DF6C0F"/>
    <w:rsid w:val="00DF7073"/>
    <w:rsid w:val="00DF7B72"/>
    <w:rsid w:val="00DF7C89"/>
    <w:rsid w:val="00E00E1B"/>
    <w:rsid w:val="00E011E0"/>
    <w:rsid w:val="00E02A69"/>
    <w:rsid w:val="00E046A4"/>
    <w:rsid w:val="00E05412"/>
    <w:rsid w:val="00E058C9"/>
    <w:rsid w:val="00E06057"/>
    <w:rsid w:val="00E063DD"/>
    <w:rsid w:val="00E06812"/>
    <w:rsid w:val="00E06A6D"/>
    <w:rsid w:val="00E07641"/>
    <w:rsid w:val="00E10681"/>
    <w:rsid w:val="00E10D02"/>
    <w:rsid w:val="00E11ADB"/>
    <w:rsid w:val="00E12D94"/>
    <w:rsid w:val="00E13052"/>
    <w:rsid w:val="00E1345C"/>
    <w:rsid w:val="00E13B1C"/>
    <w:rsid w:val="00E13E8E"/>
    <w:rsid w:val="00E15D36"/>
    <w:rsid w:val="00E21E6D"/>
    <w:rsid w:val="00E22613"/>
    <w:rsid w:val="00E24AD8"/>
    <w:rsid w:val="00E25507"/>
    <w:rsid w:val="00E26E42"/>
    <w:rsid w:val="00E279B6"/>
    <w:rsid w:val="00E30134"/>
    <w:rsid w:val="00E312D6"/>
    <w:rsid w:val="00E31A95"/>
    <w:rsid w:val="00E33FC4"/>
    <w:rsid w:val="00E34391"/>
    <w:rsid w:val="00E351EC"/>
    <w:rsid w:val="00E3525E"/>
    <w:rsid w:val="00E35442"/>
    <w:rsid w:val="00E3581E"/>
    <w:rsid w:val="00E3616C"/>
    <w:rsid w:val="00E36978"/>
    <w:rsid w:val="00E37D21"/>
    <w:rsid w:val="00E37F36"/>
    <w:rsid w:val="00E40683"/>
    <w:rsid w:val="00E40F69"/>
    <w:rsid w:val="00E412C1"/>
    <w:rsid w:val="00E42474"/>
    <w:rsid w:val="00E426E0"/>
    <w:rsid w:val="00E42764"/>
    <w:rsid w:val="00E42A24"/>
    <w:rsid w:val="00E430CA"/>
    <w:rsid w:val="00E4356B"/>
    <w:rsid w:val="00E4417A"/>
    <w:rsid w:val="00E464E3"/>
    <w:rsid w:val="00E468CC"/>
    <w:rsid w:val="00E46A0A"/>
    <w:rsid w:val="00E47CDB"/>
    <w:rsid w:val="00E50F4C"/>
    <w:rsid w:val="00E5281F"/>
    <w:rsid w:val="00E52E0B"/>
    <w:rsid w:val="00E53582"/>
    <w:rsid w:val="00E53F4D"/>
    <w:rsid w:val="00E55CBF"/>
    <w:rsid w:val="00E55E43"/>
    <w:rsid w:val="00E56005"/>
    <w:rsid w:val="00E56CBD"/>
    <w:rsid w:val="00E6013E"/>
    <w:rsid w:val="00E60372"/>
    <w:rsid w:val="00E6071D"/>
    <w:rsid w:val="00E609D9"/>
    <w:rsid w:val="00E60D50"/>
    <w:rsid w:val="00E65027"/>
    <w:rsid w:val="00E651E9"/>
    <w:rsid w:val="00E65238"/>
    <w:rsid w:val="00E65A23"/>
    <w:rsid w:val="00E65CE7"/>
    <w:rsid w:val="00E66FD4"/>
    <w:rsid w:val="00E67C29"/>
    <w:rsid w:val="00E67E15"/>
    <w:rsid w:val="00E701EA"/>
    <w:rsid w:val="00E72069"/>
    <w:rsid w:val="00E7341C"/>
    <w:rsid w:val="00E73622"/>
    <w:rsid w:val="00E74201"/>
    <w:rsid w:val="00E747AD"/>
    <w:rsid w:val="00E749A0"/>
    <w:rsid w:val="00E74C4F"/>
    <w:rsid w:val="00E74F14"/>
    <w:rsid w:val="00E75275"/>
    <w:rsid w:val="00E7591C"/>
    <w:rsid w:val="00E770D6"/>
    <w:rsid w:val="00E801A5"/>
    <w:rsid w:val="00E804BE"/>
    <w:rsid w:val="00E80933"/>
    <w:rsid w:val="00E80B31"/>
    <w:rsid w:val="00E81768"/>
    <w:rsid w:val="00E81AF9"/>
    <w:rsid w:val="00E81BA0"/>
    <w:rsid w:val="00E81E3A"/>
    <w:rsid w:val="00E82091"/>
    <w:rsid w:val="00E8245C"/>
    <w:rsid w:val="00E8264D"/>
    <w:rsid w:val="00E82833"/>
    <w:rsid w:val="00E82CC8"/>
    <w:rsid w:val="00E8520D"/>
    <w:rsid w:val="00E855D4"/>
    <w:rsid w:val="00E85D02"/>
    <w:rsid w:val="00E85DDD"/>
    <w:rsid w:val="00E860D5"/>
    <w:rsid w:val="00E87468"/>
    <w:rsid w:val="00E87A60"/>
    <w:rsid w:val="00E90EA4"/>
    <w:rsid w:val="00E91CBB"/>
    <w:rsid w:val="00E92255"/>
    <w:rsid w:val="00E92B59"/>
    <w:rsid w:val="00E9394D"/>
    <w:rsid w:val="00E93C88"/>
    <w:rsid w:val="00E950F9"/>
    <w:rsid w:val="00E95318"/>
    <w:rsid w:val="00E9543D"/>
    <w:rsid w:val="00E962EF"/>
    <w:rsid w:val="00E972B1"/>
    <w:rsid w:val="00EA04AC"/>
    <w:rsid w:val="00EA0526"/>
    <w:rsid w:val="00EA14FF"/>
    <w:rsid w:val="00EA17FE"/>
    <w:rsid w:val="00EA2F35"/>
    <w:rsid w:val="00EA4B31"/>
    <w:rsid w:val="00EA5F16"/>
    <w:rsid w:val="00EA61F8"/>
    <w:rsid w:val="00EA6C63"/>
    <w:rsid w:val="00EB0639"/>
    <w:rsid w:val="00EB104D"/>
    <w:rsid w:val="00EB4150"/>
    <w:rsid w:val="00EB4CE4"/>
    <w:rsid w:val="00EB503D"/>
    <w:rsid w:val="00EB62C1"/>
    <w:rsid w:val="00EB68EA"/>
    <w:rsid w:val="00EB772A"/>
    <w:rsid w:val="00EB78BF"/>
    <w:rsid w:val="00EB7A9B"/>
    <w:rsid w:val="00EC0551"/>
    <w:rsid w:val="00EC0813"/>
    <w:rsid w:val="00EC0A51"/>
    <w:rsid w:val="00EC0E2E"/>
    <w:rsid w:val="00EC16E8"/>
    <w:rsid w:val="00EC1A0E"/>
    <w:rsid w:val="00EC2A9B"/>
    <w:rsid w:val="00EC2E17"/>
    <w:rsid w:val="00EC3219"/>
    <w:rsid w:val="00EC40CD"/>
    <w:rsid w:val="00EC4877"/>
    <w:rsid w:val="00EC4C6C"/>
    <w:rsid w:val="00EC5423"/>
    <w:rsid w:val="00EC62D8"/>
    <w:rsid w:val="00EC654F"/>
    <w:rsid w:val="00ED045E"/>
    <w:rsid w:val="00ED18F1"/>
    <w:rsid w:val="00ED237E"/>
    <w:rsid w:val="00ED276C"/>
    <w:rsid w:val="00ED29B8"/>
    <w:rsid w:val="00ED2E4A"/>
    <w:rsid w:val="00ED3667"/>
    <w:rsid w:val="00ED3861"/>
    <w:rsid w:val="00ED595F"/>
    <w:rsid w:val="00ED6159"/>
    <w:rsid w:val="00ED6948"/>
    <w:rsid w:val="00ED7CDA"/>
    <w:rsid w:val="00EE103A"/>
    <w:rsid w:val="00EE1FDD"/>
    <w:rsid w:val="00EE3412"/>
    <w:rsid w:val="00EE4587"/>
    <w:rsid w:val="00EE5184"/>
    <w:rsid w:val="00EE51AE"/>
    <w:rsid w:val="00EE52E4"/>
    <w:rsid w:val="00EE539C"/>
    <w:rsid w:val="00EE611F"/>
    <w:rsid w:val="00EE66AB"/>
    <w:rsid w:val="00EE6811"/>
    <w:rsid w:val="00EE6879"/>
    <w:rsid w:val="00EE6C2F"/>
    <w:rsid w:val="00EE7CE1"/>
    <w:rsid w:val="00EF053D"/>
    <w:rsid w:val="00EF0DCF"/>
    <w:rsid w:val="00EF0E05"/>
    <w:rsid w:val="00EF1492"/>
    <w:rsid w:val="00EF1D10"/>
    <w:rsid w:val="00EF27D9"/>
    <w:rsid w:val="00EF38A8"/>
    <w:rsid w:val="00EF3E07"/>
    <w:rsid w:val="00EF41BF"/>
    <w:rsid w:val="00EF4B0C"/>
    <w:rsid w:val="00EF6054"/>
    <w:rsid w:val="00EF6318"/>
    <w:rsid w:val="00EF6821"/>
    <w:rsid w:val="00EF6835"/>
    <w:rsid w:val="00EF6B5D"/>
    <w:rsid w:val="00F00640"/>
    <w:rsid w:val="00F00A5D"/>
    <w:rsid w:val="00F012DE"/>
    <w:rsid w:val="00F01453"/>
    <w:rsid w:val="00F0174F"/>
    <w:rsid w:val="00F01D90"/>
    <w:rsid w:val="00F02098"/>
    <w:rsid w:val="00F0383E"/>
    <w:rsid w:val="00F041DD"/>
    <w:rsid w:val="00F0510D"/>
    <w:rsid w:val="00F05289"/>
    <w:rsid w:val="00F07377"/>
    <w:rsid w:val="00F07845"/>
    <w:rsid w:val="00F07E65"/>
    <w:rsid w:val="00F10EB2"/>
    <w:rsid w:val="00F111F9"/>
    <w:rsid w:val="00F11A92"/>
    <w:rsid w:val="00F12ABF"/>
    <w:rsid w:val="00F12C59"/>
    <w:rsid w:val="00F130CB"/>
    <w:rsid w:val="00F132A3"/>
    <w:rsid w:val="00F136BA"/>
    <w:rsid w:val="00F13921"/>
    <w:rsid w:val="00F13935"/>
    <w:rsid w:val="00F15447"/>
    <w:rsid w:val="00F156E8"/>
    <w:rsid w:val="00F17063"/>
    <w:rsid w:val="00F17183"/>
    <w:rsid w:val="00F179BD"/>
    <w:rsid w:val="00F20664"/>
    <w:rsid w:val="00F20A1B"/>
    <w:rsid w:val="00F20A6B"/>
    <w:rsid w:val="00F223F4"/>
    <w:rsid w:val="00F226ED"/>
    <w:rsid w:val="00F23AC9"/>
    <w:rsid w:val="00F2485F"/>
    <w:rsid w:val="00F256F5"/>
    <w:rsid w:val="00F27567"/>
    <w:rsid w:val="00F30E2F"/>
    <w:rsid w:val="00F30F81"/>
    <w:rsid w:val="00F31706"/>
    <w:rsid w:val="00F32985"/>
    <w:rsid w:val="00F331FC"/>
    <w:rsid w:val="00F343F7"/>
    <w:rsid w:val="00F34FE6"/>
    <w:rsid w:val="00F35781"/>
    <w:rsid w:val="00F3617E"/>
    <w:rsid w:val="00F36EAA"/>
    <w:rsid w:val="00F40ADB"/>
    <w:rsid w:val="00F43EFE"/>
    <w:rsid w:val="00F45910"/>
    <w:rsid w:val="00F45B42"/>
    <w:rsid w:val="00F45D30"/>
    <w:rsid w:val="00F461C7"/>
    <w:rsid w:val="00F504BA"/>
    <w:rsid w:val="00F514EB"/>
    <w:rsid w:val="00F51CE1"/>
    <w:rsid w:val="00F5323E"/>
    <w:rsid w:val="00F5424C"/>
    <w:rsid w:val="00F560B2"/>
    <w:rsid w:val="00F571E1"/>
    <w:rsid w:val="00F5782D"/>
    <w:rsid w:val="00F60A24"/>
    <w:rsid w:val="00F60B09"/>
    <w:rsid w:val="00F6133D"/>
    <w:rsid w:val="00F6143F"/>
    <w:rsid w:val="00F614C0"/>
    <w:rsid w:val="00F61B7C"/>
    <w:rsid w:val="00F635BE"/>
    <w:rsid w:val="00F63DB4"/>
    <w:rsid w:val="00F65E42"/>
    <w:rsid w:val="00F66658"/>
    <w:rsid w:val="00F66785"/>
    <w:rsid w:val="00F66AD0"/>
    <w:rsid w:val="00F670DA"/>
    <w:rsid w:val="00F67FC7"/>
    <w:rsid w:val="00F72B49"/>
    <w:rsid w:val="00F72E38"/>
    <w:rsid w:val="00F731DF"/>
    <w:rsid w:val="00F73B42"/>
    <w:rsid w:val="00F7414C"/>
    <w:rsid w:val="00F74B14"/>
    <w:rsid w:val="00F75F16"/>
    <w:rsid w:val="00F779E3"/>
    <w:rsid w:val="00F77C19"/>
    <w:rsid w:val="00F803A4"/>
    <w:rsid w:val="00F81270"/>
    <w:rsid w:val="00F8248A"/>
    <w:rsid w:val="00F82B64"/>
    <w:rsid w:val="00F83652"/>
    <w:rsid w:val="00F83CF6"/>
    <w:rsid w:val="00F8545F"/>
    <w:rsid w:val="00F8567D"/>
    <w:rsid w:val="00F8672C"/>
    <w:rsid w:val="00F87C2C"/>
    <w:rsid w:val="00F87F1A"/>
    <w:rsid w:val="00F90576"/>
    <w:rsid w:val="00F90B4A"/>
    <w:rsid w:val="00F913FF"/>
    <w:rsid w:val="00F9159F"/>
    <w:rsid w:val="00F91C5E"/>
    <w:rsid w:val="00F93EC8"/>
    <w:rsid w:val="00F9444C"/>
    <w:rsid w:val="00F94A42"/>
    <w:rsid w:val="00F9535E"/>
    <w:rsid w:val="00F95643"/>
    <w:rsid w:val="00F95D47"/>
    <w:rsid w:val="00F97936"/>
    <w:rsid w:val="00F97C42"/>
    <w:rsid w:val="00F97D40"/>
    <w:rsid w:val="00F97EC7"/>
    <w:rsid w:val="00FA0097"/>
    <w:rsid w:val="00FA0C21"/>
    <w:rsid w:val="00FA15AA"/>
    <w:rsid w:val="00FA2CB9"/>
    <w:rsid w:val="00FA2FF8"/>
    <w:rsid w:val="00FA324B"/>
    <w:rsid w:val="00FA3A0B"/>
    <w:rsid w:val="00FA6337"/>
    <w:rsid w:val="00FA6C63"/>
    <w:rsid w:val="00FA757A"/>
    <w:rsid w:val="00FA7D0D"/>
    <w:rsid w:val="00FB0A76"/>
    <w:rsid w:val="00FB0CF9"/>
    <w:rsid w:val="00FB1208"/>
    <w:rsid w:val="00FB1ADF"/>
    <w:rsid w:val="00FB1DFF"/>
    <w:rsid w:val="00FB27D5"/>
    <w:rsid w:val="00FB2A8F"/>
    <w:rsid w:val="00FB311A"/>
    <w:rsid w:val="00FB4AA4"/>
    <w:rsid w:val="00FB6B54"/>
    <w:rsid w:val="00FB743B"/>
    <w:rsid w:val="00FB7AB8"/>
    <w:rsid w:val="00FC01E6"/>
    <w:rsid w:val="00FC02D4"/>
    <w:rsid w:val="00FC076C"/>
    <w:rsid w:val="00FC084A"/>
    <w:rsid w:val="00FC1259"/>
    <w:rsid w:val="00FC1B47"/>
    <w:rsid w:val="00FC2F3B"/>
    <w:rsid w:val="00FC2F58"/>
    <w:rsid w:val="00FC2F6E"/>
    <w:rsid w:val="00FC36EC"/>
    <w:rsid w:val="00FC648A"/>
    <w:rsid w:val="00FC6E4C"/>
    <w:rsid w:val="00FC6F39"/>
    <w:rsid w:val="00FC70FA"/>
    <w:rsid w:val="00FD0153"/>
    <w:rsid w:val="00FD1067"/>
    <w:rsid w:val="00FD10C7"/>
    <w:rsid w:val="00FD238F"/>
    <w:rsid w:val="00FD38BE"/>
    <w:rsid w:val="00FD41B2"/>
    <w:rsid w:val="00FD545D"/>
    <w:rsid w:val="00FD57D4"/>
    <w:rsid w:val="00FD61C1"/>
    <w:rsid w:val="00FE00A5"/>
    <w:rsid w:val="00FE00B5"/>
    <w:rsid w:val="00FE1733"/>
    <w:rsid w:val="00FE18CB"/>
    <w:rsid w:val="00FE1F27"/>
    <w:rsid w:val="00FE1F73"/>
    <w:rsid w:val="00FE29B3"/>
    <w:rsid w:val="00FE3630"/>
    <w:rsid w:val="00FE3A87"/>
    <w:rsid w:val="00FE5B85"/>
    <w:rsid w:val="00FE6720"/>
    <w:rsid w:val="00FE6978"/>
    <w:rsid w:val="00FE72BA"/>
    <w:rsid w:val="00FE7CF6"/>
    <w:rsid w:val="00FF0551"/>
    <w:rsid w:val="00FF098C"/>
    <w:rsid w:val="00FF2B9C"/>
    <w:rsid w:val="00FF3B4B"/>
    <w:rsid w:val="00FF4C3E"/>
    <w:rsid w:val="00FF541E"/>
    <w:rsid w:val="00FF5CB4"/>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05F"/>
    <w:rPr>
      <w:sz w:val="24"/>
      <w:szCs w:val="24"/>
    </w:rPr>
  </w:style>
  <w:style w:type="paragraph" w:styleId="Heading3">
    <w:name w:val="heading 3"/>
    <w:basedOn w:val="Normal"/>
    <w:next w:val="Normal"/>
    <w:qFormat/>
    <w:rsid w:val="008A3D25"/>
    <w:pPr>
      <w:keepNext/>
      <w:suppressAutoHyphens/>
      <w:spacing w:after="120"/>
      <w:outlineLvl w:val="2"/>
    </w:pPr>
    <w:rPr>
      <w:rFonts w:eastAsia="Times New Roman"/>
      <w:b/>
      <w:sz w:val="26"/>
      <w:szCs w:val="20"/>
      <w:lang w:eastAsia="en-US"/>
    </w:rPr>
  </w:style>
  <w:style w:type="paragraph" w:styleId="Heading4">
    <w:name w:val="heading 4"/>
    <w:basedOn w:val="Normal"/>
    <w:next w:val="Normal"/>
    <w:qFormat/>
    <w:rsid w:val="008A3D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456"/>
    <w:rPr>
      <w:color w:val="0000FF"/>
      <w:u w:val="single"/>
    </w:rPr>
  </w:style>
  <w:style w:type="paragraph" w:customStyle="1" w:styleId="TableRow">
    <w:name w:val="Table Row"/>
    <w:basedOn w:val="Normal"/>
    <w:rsid w:val="008A3D25"/>
    <w:pPr>
      <w:keepNext/>
      <w:keepLines/>
      <w:suppressAutoHyphens/>
      <w:spacing w:before="20" w:after="20"/>
      <w:jc w:val="both"/>
    </w:pPr>
    <w:rPr>
      <w:rFonts w:eastAsia="Times New Roman"/>
      <w:szCs w:val="20"/>
      <w:lang w:eastAsia="en-US"/>
    </w:rPr>
  </w:style>
  <w:style w:type="paragraph" w:styleId="Caption">
    <w:name w:val="caption"/>
    <w:basedOn w:val="Normal"/>
    <w:next w:val="Normal"/>
    <w:qFormat/>
    <w:rsid w:val="008A3D25"/>
    <w:pPr>
      <w:keepNext/>
      <w:keepLines/>
      <w:tabs>
        <w:tab w:val="right" w:pos="9360"/>
      </w:tabs>
      <w:suppressAutoHyphens/>
      <w:spacing w:after="120"/>
      <w:ind w:firstLine="288"/>
      <w:jc w:val="both"/>
    </w:pPr>
    <w:rPr>
      <w:rFonts w:ascii="Times New Roman Bold" w:eastAsia="Times New Roman" w:hAnsi="Times New Roman Bold"/>
      <w:b/>
      <w:sz w:val="22"/>
      <w:szCs w:val="20"/>
      <w:lang w:eastAsia="en-US"/>
    </w:rPr>
  </w:style>
  <w:style w:type="character" w:customStyle="1" w:styleId="EquationCaption">
    <w:name w:val="_Equation Caption"/>
    <w:rsid w:val="00F5323E"/>
  </w:style>
  <w:style w:type="table" w:styleId="TableGrid">
    <w:name w:val="Table Grid"/>
    <w:basedOn w:val="TableNormal"/>
    <w:rsid w:val="00871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Table">
    <w:name w:val="Caption Table"/>
    <w:basedOn w:val="Normal"/>
    <w:next w:val="Normal"/>
    <w:link w:val="CaptionTableChar"/>
    <w:rsid w:val="0046661F"/>
    <w:pPr>
      <w:keepNext/>
      <w:spacing w:after="120"/>
      <w:ind w:left="1080" w:hanging="1080"/>
    </w:pPr>
    <w:rPr>
      <w:rFonts w:ascii="Arial" w:eastAsia="Times New Roman" w:hAnsi="Arial" w:cs="Arial"/>
      <w:b/>
      <w:bCs/>
      <w:snapToGrid w:val="0"/>
      <w:color w:val="000000"/>
      <w:sz w:val="18"/>
      <w:szCs w:val="18"/>
      <w:lang w:eastAsia="en-US"/>
    </w:rPr>
  </w:style>
  <w:style w:type="character" w:customStyle="1" w:styleId="CaptionTableChar">
    <w:name w:val="Caption Table Char"/>
    <w:link w:val="CaptionTable"/>
    <w:rsid w:val="0046661F"/>
    <w:rPr>
      <w:rFonts w:ascii="Arial" w:hAnsi="Arial" w:cs="Arial"/>
      <w:b/>
      <w:bCs/>
      <w:snapToGrid w:val="0"/>
      <w:color w:val="000000"/>
      <w:sz w:val="18"/>
      <w:szCs w:val="18"/>
      <w:lang w:val="en-US" w:eastAsia="en-US" w:bidi="ar-SA"/>
    </w:rPr>
  </w:style>
  <w:style w:type="character" w:styleId="CommentReference">
    <w:name w:val="annotation reference"/>
    <w:uiPriority w:val="99"/>
    <w:semiHidden/>
    <w:rsid w:val="00C16323"/>
    <w:rPr>
      <w:sz w:val="16"/>
      <w:szCs w:val="16"/>
    </w:rPr>
  </w:style>
  <w:style w:type="paragraph" w:styleId="CommentText">
    <w:name w:val="annotation text"/>
    <w:basedOn w:val="Normal"/>
    <w:link w:val="CommentTextChar"/>
    <w:uiPriority w:val="99"/>
    <w:semiHidden/>
    <w:rsid w:val="00C16323"/>
    <w:rPr>
      <w:sz w:val="20"/>
      <w:szCs w:val="20"/>
    </w:rPr>
  </w:style>
  <w:style w:type="paragraph" w:styleId="CommentSubject">
    <w:name w:val="annotation subject"/>
    <w:basedOn w:val="CommentText"/>
    <w:next w:val="CommentText"/>
    <w:semiHidden/>
    <w:rsid w:val="00C16323"/>
    <w:rPr>
      <w:b/>
      <w:bCs/>
    </w:rPr>
  </w:style>
  <w:style w:type="paragraph" w:styleId="BalloonText">
    <w:name w:val="Balloon Text"/>
    <w:basedOn w:val="Normal"/>
    <w:semiHidden/>
    <w:rsid w:val="00C16323"/>
    <w:rPr>
      <w:rFonts w:ascii="Tahoma" w:hAnsi="Tahoma" w:cs="Tahoma"/>
      <w:sz w:val="16"/>
      <w:szCs w:val="16"/>
    </w:rPr>
  </w:style>
  <w:style w:type="paragraph" w:customStyle="1" w:styleId="Captiontitle">
    <w:name w:val="Caption title"/>
    <w:basedOn w:val="Caption"/>
    <w:link w:val="CaptiontitleChar1"/>
    <w:rsid w:val="0009416F"/>
    <w:rPr>
      <w:rFonts w:ascii="Times New Roman" w:hAnsi="Times New Roman"/>
      <w:b w:val="0"/>
      <w:bCs/>
    </w:rPr>
  </w:style>
  <w:style w:type="character" w:customStyle="1" w:styleId="CaptiontitleChar1">
    <w:name w:val="Caption title Char1"/>
    <w:link w:val="Captiontitle"/>
    <w:rsid w:val="0009416F"/>
    <w:rPr>
      <w:bCs/>
      <w:sz w:val="22"/>
      <w:lang w:val="en-US" w:eastAsia="en-US" w:bidi="ar-SA"/>
    </w:rPr>
  </w:style>
  <w:style w:type="paragraph" w:customStyle="1" w:styleId="OEOPg-Citation">
    <w:name w:val="OEO Pg-Citation"/>
    <w:basedOn w:val="Normal"/>
    <w:rsid w:val="005E117C"/>
    <w:pPr>
      <w:framePr w:hSpace="187" w:wrap="around" w:hAnchor="margin" w:yAlign="center" w:anchorLock="1"/>
      <w:pBdr>
        <w:top w:val="single" w:sz="6" w:space="1" w:color="auto"/>
        <w:left w:val="single" w:sz="6" w:space="1" w:color="auto"/>
        <w:bottom w:val="single" w:sz="6" w:space="1" w:color="auto"/>
        <w:right w:val="single" w:sz="6" w:space="1" w:color="auto"/>
      </w:pBdr>
      <w:suppressAutoHyphens/>
      <w:ind w:left="720" w:hanging="720"/>
      <w:jc w:val="both"/>
    </w:pPr>
    <w:rPr>
      <w:rFonts w:eastAsia="Times New Roman"/>
      <w:i/>
      <w:sz w:val="20"/>
      <w:szCs w:val="20"/>
      <w:lang w:eastAsia="en-US"/>
    </w:rPr>
  </w:style>
  <w:style w:type="paragraph" w:styleId="BodyTextIndent3">
    <w:name w:val="Body Text Indent 3"/>
    <w:basedOn w:val="Normal"/>
    <w:rsid w:val="006D5951"/>
    <w:pPr>
      <w:widowControl w:val="0"/>
      <w:tabs>
        <w:tab w:val="left" w:pos="720"/>
      </w:tabs>
      <w:suppressAutoHyphens/>
      <w:ind w:left="720" w:hanging="720"/>
      <w:jc w:val="both"/>
    </w:pPr>
    <w:rPr>
      <w:rFonts w:eastAsia="Times New Roman"/>
      <w:spacing w:val="-3"/>
      <w:szCs w:val="20"/>
      <w:lang w:eastAsia="en-US"/>
    </w:rPr>
  </w:style>
  <w:style w:type="paragraph" w:styleId="NoSpacing">
    <w:name w:val="No Spacing"/>
    <w:qFormat/>
    <w:rsid w:val="0049196C"/>
    <w:rPr>
      <w:rFonts w:ascii="Calibri" w:eastAsia="Times New Roman" w:hAnsi="Calibri"/>
      <w:sz w:val="22"/>
      <w:szCs w:val="22"/>
      <w:lang w:eastAsia="en-US"/>
    </w:rPr>
  </w:style>
  <w:style w:type="paragraph" w:styleId="ListParagraph">
    <w:name w:val="List Paragraph"/>
    <w:basedOn w:val="Normal"/>
    <w:uiPriority w:val="34"/>
    <w:qFormat/>
    <w:rsid w:val="001E66BE"/>
    <w:pPr>
      <w:ind w:left="720"/>
      <w:contextualSpacing/>
    </w:pPr>
  </w:style>
  <w:style w:type="paragraph" w:styleId="Header">
    <w:name w:val="header"/>
    <w:basedOn w:val="Normal"/>
    <w:link w:val="HeaderChar"/>
    <w:uiPriority w:val="99"/>
    <w:rsid w:val="00715E21"/>
    <w:pPr>
      <w:tabs>
        <w:tab w:val="center" w:pos="4680"/>
        <w:tab w:val="right" w:pos="9360"/>
      </w:tabs>
    </w:pPr>
  </w:style>
  <w:style w:type="character" w:customStyle="1" w:styleId="HeaderChar">
    <w:name w:val="Header Char"/>
    <w:link w:val="Header"/>
    <w:uiPriority w:val="99"/>
    <w:rsid w:val="00715E21"/>
    <w:rPr>
      <w:sz w:val="24"/>
      <w:szCs w:val="24"/>
      <w:lang w:eastAsia="ja-JP"/>
    </w:rPr>
  </w:style>
  <w:style w:type="paragraph" w:styleId="Footer">
    <w:name w:val="footer"/>
    <w:basedOn w:val="Normal"/>
    <w:link w:val="FooterChar"/>
    <w:uiPriority w:val="99"/>
    <w:rsid w:val="00715E21"/>
    <w:pPr>
      <w:tabs>
        <w:tab w:val="center" w:pos="4680"/>
        <w:tab w:val="right" w:pos="9360"/>
      </w:tabs>
    </w:pPr>
  </w:style>
  <w:style w:type="character" w:customStyle="1" w:styleId="FooterChar">
    <w:name w:val="Footer Char"/>
    <w:link w:val="Footer"/>
    <w:uiPriority w:val="99"/>
    <w:rsid w:val="00715E21"/>
    <w:rPr>
      <w:sz w:val="24"/>
      <w:szCs w:val="24"/>
      <w:lang w:eastAsia="ja-JP"/>
    </w:rPr>
  </w:style>
  <w:style w:type="table" w:styleId="TableClassic1">
    <w:name w:val="Table Classic 1"/>
    <w:basedOn w:val="TableNormal"/>
    <w:rsid w:val="00F57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87587"/>
    <w:rPr>
      <w:sz w:val="24"/>
      <w:szCs w:val="24"/>
    </w:rPr>
  </w:style>
  <w:style w:type="paragraph" w:customStyle="1" w:styleId="Lit-Cited">
    <w:name w:val="Lit-Cited"/>
    <w:basedOn w:val="Normal"/>
    <w:rsid w:val="00E67E15"/>
    <w:pPr>
      <w:keepLines/>
      <w:suppressAutoHyphens/>
      <w:spacing w:after="120"/>
      <w:ind w:left="288" w:hanging="288"/>
      <w:jc w:val="both"/>
    </w:pPr>
    <w:rPr>
      <w:rFonts w:eastAsia="Times New Roman"/>
      <w:sz w:val="20"/>
      <w:szCs w:val="20"/>
      <w:lang w:eastAsia="en-US"/>
    </w:rPr>
  </w:style>
  <w:style w:type="paragraph" w:customStyle="1" w:styleId="Default">
    <w:name w:val="Default"/>
    <w:rsid w:val="00D74A53"/>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E6879"/>
    <w:rPr>
      <w:color w:val="808080"/>
    </w:rPr>
  </w:style>
  <w:style w:type="character" w:styleId="LineNumber">
    <w:name w:val="line number"/>
    <w:basedOn w:val="DefaultParagraphFont"/>
    <w:rsid w:val="003944AD"/>
  </w:style>
  <w:style w:type="character" w:customStyle="1" w:styleId="CommentTextChar">
    <w:name w:val="Comment Text Char"/>
    <w:basedOn w:val="DefaultParagraphFont"/>
    <w:link w:val="CommentText"/>
    <w:uiPriority w:val="99"/>
    <w:semiHidden/>
    <w:rsid w:val="007A1E31"/>
  </w:style>
  <w:style w:type="character" w:styleId="Emphasis">
    <w:name w:val="Emphasis"/>
    <w:basedOn w:val="DefaultParagraphFont"/>
    <w:qFormat/>
    <w:rsid w:val="008264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05F"/>
    <w:rPr>
      <w:sz w:val="24"/>
      <w:szCs w:val="24"/>
    </w:rPr>
  </w:style>
  <w:style w:type="paragraph" w:styleId="Heading3">
    <w:name w:val="heading 3"/>
    <w:basedOn w:val="Normal"/>
    <w:next w:val="Normal"/>
    <w:qFormat/>
    <w:rsid w:val="008A3D25"/>
    <w:pPr>
      <w:keepNext/>
      <w:suppressAutoHyphens/>
      <w:spacing w:after="120"/>
      <w:outlineLvl w:val="2"/>
    </w:pPr>
    <w:rPr>
      <w:rFonts w:eastAsia="Times New Roman"/>
      <w:b/>
      <w:sz w:val="26"/>
      <w:szCs w:val="20"/>
      <w:lang w:eastAsia="en-US"/>
    </w:rPr>
  </w:style>
  <w:style w:type="paragraph" w:styleId="Heading4">
    <w:name w:val="heading 4"/>
    <w:basedOn w:val="Normal"/>
    <w:next w:val="Normal"/>
    <w:qFormat/>
    <w:rsid w:val="008A3D2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5456"/>
    <w:rPr>
      <w:color w:val="0000FF"/>
      <w:u w:val="single"/>
    </w:rPr>
  </w:style>
  <w:style w:type="paragraph" w:customStyle="1" w:styleId="TableRow">
    <w:name w:val="Table Row"/>
    <w:basedOn w:val="Normal"/>
    <w:rsid w:val="008A3D25"/>
    <w:pPr>
      <w:keepNext/>
      <w:keepLines/>
      <w:suppressAutoHyphens/>
      <w:spacing w:before="20" w:after="20"/>
      <w:jc w:val="both"/>
    </w:pPr>
    <w:rPr>
      <w:rFonts w:eastAsia="Times New Roman"/>
      <w:szCs w:val="20"/>
      <w:lang w:eastAsia="en-US"/>
    </w:rPr>
  </w:style>
  <w:style w:type="paragraph" w:styleId="Caption">
    <w:name w:val="caption"/>
    <w:basedOn w:val="Normal"/>
    <w:next w:val="Normal"/>
    <w:qFormat/>
    <w:rsid w:val="008A3D25"/>
    <w:pPr>
      <w:keepNext/>
      <w:keepLines/>
      <w:tabs>
        <w:tab w:val="right" w:pos="9360"/>
      </w:tabs>
      <w:suppressAutoHyphens/>
      <w:spacing w:after="120"/>
      <w:ind w:firstLine="288"/>
      <w:jc w:val="both"/>
    </w:pPr>
    <w:rPr>
      <w:rFonts w:ascii="Times New Roman Bold" w:eastAsia="Times New Roman" w:hAnsi="Times New Roman Bold"/>
      <w:b/>
      <w:sz w:val="22"/>
      <w:szCs w:val="20"/>
      <w:lang w:eastAsia="en-US"/>
    </w:rPr>
  </w:style>
  <w:style w:type="character" w:customStyle="1" w:styleId="EquationCaption">
    <w:name w:val="_Equation Caption"/>
    <w:rsid w:val="00F5323E"/>
  </w:style>
  <w:style w:type="table" w:styleId="TableGrid">
    <w:name w:val="Table Grid"/>
    <w:basedOn w:val="TableNormal"/>
    <w:rsid w:val="00871B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ptionTable">
    <w:name w:val="Caption Table"/>
    <w:basedOn w:val="Normal"/>
    <w:next w:val="Normal"/>
    <w:link w:val="CaptionTableChar"/>
    <w:rsid w:val="0046661F"/>
    <w:pPr>
      <w:keepNext/>
      <w:spacing w:after="120"/>
      <w:ind w:left="1080" w:hanging="1080"/>
    </w:pPr>
    <w:rPr>
      <w:rFonts w:ascii="Arial" w:eastAsia="Times New Roman" w:hAnsi="Arial" w:cs="Arial"/>
      <w:b/>
      <w:bCs/>
      <w:snapToGrid w:val="0"/>
      <w:color w:val="000000"/>
      <w:sz w:val="18"/>
      <w:szCs w:val="18"/>
      <w:lang w:eastAsia="en-US"/>
    </w:rPr>
  </w:style>
  <w:style w:type="character" w:customStyle="1" w:styleId="CaptionTableChar">
    <w:name w:val="Caption Table Char"/>
    <w:link w:val="CaptionTable"/>
    <w:rsid w:val="0046661F"/>
    <w:rPr>
      <w:rFonts w:ascii="Arial" w:hAnsi="Arial" w:cs="Arial"/>
      <w:b/>
      <w:bCs/>
      <w:snapToGrid w:val="0"/>
      <w:color w:val="000000"/>
      <w:sz w:val="18"/>
      <w:szCs w:val="18"/>
      <w:lang w:val="en-US" w:eastAsia="en-US" w:bidi="ar-SA"/>
    </w:rPr>
  </w:style>
  <w:style w:type="character" w:styleId="CommentReference">
    <w:name w:val="annotation reference"/>
    <w:uiPriority w:val="99"/>
    <w:semiHidden/>
    <w:rsid w:val="00C16323"/>
    <w:rPr>
      <w:sz w:val="16"/>
      <w:szCs w:val="16"/>
    </w:rPr>
  </w:style>
  <w:style w:type="paragraph" w:styleId="CommentText">
    <w:name w:val="annotation text"/>
    <w:basedOn w:val="Normal"/>
    <w:link w:val="CommentTextChar"/>
    <w:uiPriority w:val="99"/>
    <w:semiHidden/>
    <w:rsid w:val="00C16323"/>
    <w:rPr>
      <w:sz w:val="20"/>
      <w:szCs w:val="20"/>
    </w:rPr>
  </w:style>
  <w:style w:type="paragraph" w:styleId="CommentSubject">
    <w:name w:val="annotation subject"/>
    <w:basedOn w:val="CommentText"/>
    <w:next w:val="CommentText"/>
    <w:semiHidden/>
    <w:rsid w:val="00C16323"/>
    <w:rPr>
      <w:b/>
      <w:bCs/>
    </w:rPr>
  </w:style>
  <w:style w:type="paragraph" w:styleId="BalloonText">
    <w:name w:val="Balloon Text"/>
    <w:basedOn w:val="Normal"/>
    <w:semiHidden/>
    <w:rsid w:val="00C16323"/>
    <w:rPr>
      <w:rFonts w:ascii="Tahoma" w:hAnsi="Tahoma" w:cs="Tahoma"/>
      <w:sz w:val="16"/>
      <w:szCs w:val="16"/>
    </w:rPr>
  </w:style>
  <w:style w:type="paragraph" w:customStyle="1" w:styleId="Captiontitle">
    <w:name w:val="Caption title"/>
    <w:basedOn w:val="Caption"/>
    <w:link w:val="CaptiontitleChar1"/>
    <w:rsid w:val="0009416F"/>
    <w:rPr>
      <w:rFonts w:ascii="Times New Roman" w:hAnsi="Times New Roman"/>
      <w:b w:val="0"/>
      <w:bCs/>
    </w:rPr>
  </w:style>
  <w:style w:type="character" w:customStyle="1" w:styleId="CaptiontitleChar1">
    <w:name w:val="Caption title Char1"/>
    <w:link w:val="Captiontitle"/>
    <w:rsid w:val="0009416F"/>
    <w:rPr>
      <w:bCs/>
      <w:sz w:val="22"/>
      <w:lang w:val="en-US" w:eastAsia="en-US" w:bidi="ar-SA"/>
    </w:rPr>
  </w:style>
  <w:style w:type="paragraph" w:customStyle="1" w:styleId="OEOPg-Citation">
    <w:name w:val="OEO Pg-Citation"/>
    <w:basedOn w:val="Normal"/>
    <w:rsid w:val="005E117C"/>
    <w:pPr>
      <w:framePr w:hSpace="187" w:wrap="around" w:hAnchor="margin" w:yAlign="center" w:anchorLock="1"/>
      <w:pBdr>
        <w:top w:val="single" w:sz="6" w:space="1" w:color="auto"/>
        <w:left w:val="single" w:sz="6" w:space="1" w:color="auto"/>
        <w:bottom w:val="single" w:sz="6" w:space="1" w:color="auto"/>
        <w:right w:val="single" w:sz="6" w:space="1" w:color="auto"/>
      </w:pBdr>
      <w:suppressAutoHyphens/>
      <w:ind w:left="720" w:hanging="720"/>
      <w:jc w:val="both"/>
    </w:pPr>
    <w:rPr>
      <w:rFonts w:eastAsia="Times New Roman"/>
      <w:i/>
      <w:sz w:val="20"/>
      <w:szCs w:val="20"/>
      <w:lang w:eastAsia="en-US"/>
    </w:rPr>
  </w:style>
  <w:style w:type="paragraph" w:styleId="BodyTextIndent3">
    <w:name w:val="Body Text Indent 3"/>
    <w:basedOn w:val="Normal"/>
    <w:rsid w:val="006D5951"/>
    <w:pPr>
      <w:widowControl w:val="0"/>
      <w:tabs>
        <w:tab w:val="left" w:pos="720"/>
      </w:tabs>
      <w:suppressAutoHyphens/>
      <w:ind w:left="720" w:hanging="720"/>
      <w:jc w:val="both"/>
    </w:pPr>
    <w:rPr>
      <w:rFonts w:eastAsia="Times New Roman"/>
      <w:spacing w:val="-3"/>
      <w:szCs w:val="20"/>
      <w:lang w:eastAsia="en-US"/>
    </w:rPr>
  </w:style>
  <w:style w:type="paragraph" w:styleId="NoSpacing">
    <w:name w:val="No Spacing"/>
    <w:qFormat/>
    <w:rsid w:val="0049196C"/>
    <w:rPr>
      <w:rFonts w:ascii="Calibri" w:eastAsia="Times New Roman" w:hAnsi="Calibri"/>
      <w:sz w:val="22"/>
      <w:szCs w:val="22"/>
      <w:lang w:eastAsia="en-US"/>
    </w:rPr>
  </w:style>
  <w:style w:type="paragraph" w:styleId="ListParagraph">
    <w:name w:val="List Paragraph"/>
    <w:basedOn w:val="Normal"/>
    <w:uiPriority w:val="34"/>
    <w:qFormat/>
    <w:rsid w:val="001E66BE"/>
    <w:pPr>
      <w:ind w:left="720"/>
      <w:contextualSpacing/>
    </w:pPr>
  </w:style>
  <w:style w:type="paragraph" w:styleId="Header">
    <w:name w:val="header"/>
    <w:basedOn w:val="Normal"/>
    <w:link w:val="HeaderChar"/>
    <w:uiPriority w:val="99"/>
    <w:rsid w:val="00715E21"/>
    <w:pPr>
      <w:tabs>
        <w:tab w:val="center" w:pos="4680"/>
        <w:tab w:val="right" w:pos="9360"/>
      </w:tabs>
    </w:pPr>
  </w:style>
  <w:style w:type="character" w:customStyle="1" w:styleId="HeaderChar">
    <w:name w:val="Header Char"/>
    <w:link w:val="Header"/>
    <w:uiPriority w:val="99"/>
    <w:rsid w:val="00715E21"/>
    <w:rPr>
      <w:sz w:val="24"/>
      <w:szCs w:val="24"/>
      <w:lang w:eastAsia="ja-JP"/>
    </w:rPr>
  </w:style>
  <w:style w:type="paragraph" w:styleId="Footer">
    <w:name w:val="footer"/>
    <w:basedOn w:val="Normal"/>
    <w:link w:val="FooterChar"/>
    <w:uiPriority w:val="99"/>
    <w:rsid w:val="00715E21"/>
    <w:pPr>
      <w:tabs>
        <w:tab w:val="center" w:pos="4680"/>
        <w:tab w:val="right" w:pos="9360"/>
      </w:tabs>
    </w:pPr>
  </w:style>
  <w:style w:type="character" w:customStyle="1" w:styleId="FooterChar">
    <w:name w:val="Footer Char"/>
    <w:link w:val="Footer"/>
    <w:uiPriority w:val="99"/>
    <w:rsid w:val="00715E21"/>
    <w:rPr>
      <w:sz w:val="24"/>
      <w:szCs w:val="24"/>
      <w:lang w:eastAsia="ja-JP"/>
    </w:rPr>
  </w:style>
  <w:style w:type="table" w:styleId="TableClassic1">
    <w:name w:val="Table Classic 1"/>
    <w:basedOn w:val="TableNormal"/>
    <w:rsid w:val="00F5782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C87587"/>
    <w:rPr>
      <w:sz w:val="24"/>
      <w:szCs w:val="24"/>
    </w:rPr>
  </w:style>
  <w:style w:type="paragraph" w:customStyle="1" w:styleId="Lit-Cited">
    <w:name w:val="Lit-Cited"/>
    <w:basedOn w:val="Normal"/>
    <w:rsid w:val="00E67E15"/>
    <w:pPr>
      <w:keepLines/>
      <w:suppressAutoHyphens/>
      <w:spacing w:after="120"/>
      <w:ind w:left="288" w:hanging="288"/>
      <w:jc w:val="both"/>
    </w:pPr>
    <w:rPr>
      <w:rFonts w:eastAsia="Times New Roman"/>
      <w:sz w:val="20"/>
      <w:szCs w:val="20"/>
      <w:lang w:eastAsia="en-US"/>
    </w:rPr>
  </w:style>
  <w:style w:type="paragraph" w:customStyle="1" w:styleId="Default">
    <w:name w:val="Default"/>
    <w:rsid w:val="00D74A53"/>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EE6879"/>
    <w:rPr>
      <w:color w:val="808080"/>
    </w:rPr>
  </w:style>
  <w:style w:type="character" w:styleId="LineNumber">
    <w:name w:val="line number"/>
    <w:basedOn w:val="DefaultParagraphFont"/>
    <w:rsid w:val="003944AD"/>
  </w:style>
  <w:style w:type="character" w:customStyle="1" w:styleId="CommentTextChar">
    <w:name w:val="Comment Text Char"/>
    <w:basedOn w:val="DefaultParagraphFont"/>
    <w:link w:val="CommentText"/>
    <w:uiPriority w:val="99"/>
    <w:semiHidden/>
    <w:rsid w:val="007A1E31"/>
  </w:style>
  <w:style w:type="character" w:styleId="Emphasis">
    <w:name w:val="Emphasis"/>
    <w:basedOn w:val="DefaultParagraphFont"/>
    <w:qFormat/>
    <w:rsid w:val="008264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59">
      <w:bodyDiv w:val="1"/>
      <w:marLeft w:val="0"/>
      <w:marRight w:val="0"/>
      <w:marTop w:val="0"/>
      <w:marBottom w:val="0"/>
      <w:divBdr>
        <w:top w:val="none" w:sz="0" w:space="0" w:color="auto"/>
        <w:left w:val="none" w:sz="0" w:space="0" w:color="auto"/>
        <w:bottom w:val="none" w:sz="0" w:space="0" w:color="auto"/>
        <w:right w:val="none" w:sz="0" w:space="0" w:color="auto"/>
      </w:divBdr>
    </w:div>
    <w:div w:id="27414394">
      <w:bodyDiv w:val="1"/>
      <w:marLeft w:val="0"/>
      <w:marRight w:val="0"/>
      <w:marTop w:val="0"/>
      <w:marBottom w:val="0"/>
      <w:divBdr>
        <w:top w:val="none" w:sz="0" w:space="0" w:color="auto"/>
        <w:left w:val="none" w:sz="0" w:space="0" w:color="auto"/>
        <w:bottom w:val="none" w:sz="0" w:space="0" w:color="auto"/>
        <w:right w:val="none" w:sz="0" w:space="0" w:color="auto"/>
      </w:divBdr>
    </w:div>
    <w:div w:id="61491560">
      <w:bodyDiv w:val="1"/>
      <w:marLeft w:val="0"/>
      <w:marRight w:val="0"/>
      <w:marTop w:val="0"/>
      <w:marBottom w:val="0"/>
      <w:divBdr>
        <w:top w:val="none" w:sz="0" w:space="0" w:color="auto"/>
        <w:left w:val="none" w:sz="0" w:space="0" w:color="auto"/>
        <w:bottom w:val="none" w:sz="0" w:space="0" w:color="auto"/>
        <w:right w:val="none" w:sz="0" w:space="0" w:color="auto"/>
      </w:divBdr>
    </w:div>
    <w:div w:id="153184832">
      <w:bodyDiv w:val="1"/>
      <w:marLeft w:val="0"/>
      <w:marRight w:val="0"/>
      <w:marTop w:val="0"/>
      <w:marBottom w:val="0"/>
      <w:divBdr>
        <w:top w:val="none" w:sz="0" w:space="0" w:color="auto"/>
        <w:left w:val="none" w:sz="0" w:space="0" w:color="auto"/>
        <w:bottom w:val="none" w:sz="0" w:space="0" w:color="auto"/>
        <w:right w:val="none" w:sz="0" w:space="0" w:color="auto"/>
      </w:divBdr>
    </w:div>
    <w:div w:id="156385265">
      <w:bodyDiv w:val="1"/>
      <w:marLeft w:val="0"/>
      <w:marRight w:val="0"/>
      <w:marTop w:val="0"/>
      <w:marBottom w:val="0"/>
      <w:divBdr>
        <w:top w:val="none" w:sz="0" w:space="0" w:color="auto"/>
        <w:left w:val="none" w:sz="0" w:space="0" w:color="auto"/>
        <w:bottom w:val="none" w:sz="0" w:space="0" w:color="auto"/>
        <w:right w:val="none" w:sz="0" w:space="0" w:color="auto"/>
      </w:divBdr>
    </w:div>
    <w:div w:id="174854386">
      <w:bodyDiv w:val="1"/>
      <w:marLeft w:val="0"/>
      <w:marRight w:val="0"/>
      <w:marTop w:val="0"/>
      <w:marBottom w:val="0"/>
      <w:divBdr>
        <w:top w:val="none" w:sz="0" w:space="0" w:color="auto"/>
        <w:left w:val="none" w:sz="0" w:space="0" w:color="auto"/>
        <w:bottom w:val="none" w:sz="0" w:space="0" w:color="auto"/>
        <w:right w:val="none" w:sz="0" w:space="0" w:color="auto"/>
      </w:divBdr>
    </w:div>
    <w:div w:id="213587824">
      <w:bodyDiv w:val="1"/>
      <w:marLeft w:val="0"/>
      <w:marRight w:val="0"/>
      <w:marTop w:val="0"/>
      <w:marBottom w:val="0"/>
      <w:divBdr>
        <w:top w:val="none" w:sz="0" w:space="0" w:color="auto"/>
        <w:left w:val="none" w:sz="0" w:space="0" w:color="auto"/>
        <w:bottom w:val="none" w:sz="0" w:space="0" w:color="auto"/>
        <w:right w:val="none" w:sz="0" w:space="0" w:color="auto"/>
      </w:divBdr>
    </w:div>
    <w:div w:id="323708244">
      <w:bodyDiv w:val="1"/>
      <w:marLeft w:val="0"/>
      <w:marRight w:val="0"/>
      <w:marTop w:val="0"/>
      <w:marBottom w:val="0"/>
      <w:divBdr>
        <w:top w:val="none" w:sz="0" w:space="0" w:color="auto"/>
        <w:left w:val="none" w:sz="0" w:space="0" w:color="auto"/>
        <w:bottom w:val="none" w:sz="0" w:space="0" w:color="auto"/>
        <w:right w:val="none" w:sz="0" w:space="0" w:color="auto"/>
      </w:divBdr>
    </w:div>
    <w:div w:id="368380266">
      <w:bodyDiv w:val="1"/>
      <w:marLeft w:val="0"/>
      <w:marRight w:val="0"/>
      <w:marTop w:val="0"/>
      <w:marBottom w:val="0"/>
      <w:divBdr>
        <w:top w:val="none" w:sz="0" w:space="0" w:color="auto"/>
        <w:left w:val="none" w:sz="0" w:space="0" w:color="auto"/>
        <w:bottom w:val="none" w:sz="0" w:space="0" w:color="auto"/>
        <w:right w:val="none" w:sz="0" w:space="0" w:color="auto"/>
      </w:divBdr>
    </w:div>
    <w:div w:id="368839634">
      <w:bodyDiv w:val="1"/>
      <w:marLeft w:val="0"/>
      <w:marRight w:val="0"/>
      <w:marTop w:val="0"/>
      <w:marBottom w:val="0"/>
      <w:divBdr>
        <w:top w:val="none" w:sz="0" w:space="0" w:color="auto"/>
        <w:left w:val="none" w:sz="0" w:space="0" w:color="auto"/>
        <w:bottom w:val="none" w:sz="0" w:space="0" w:color="auto"/>
        <w:right w:val="none" w:sz="0" w:space="0" w:color="auto"/>
      </w:divBdr>
    </w:div>
    <w:div w:id="404424431">
      <w:bodyDiv w:val="1"/>
      <w:marLeft w:val="0"/>
      <w:marRight w:val="0"/>
      <w:marTop w:val="0"/>
      <w:marBottom w:val="0"/>
      <w:divBdr>
        <w:top w:val="none" w:sz="0" w:space="0" w:color="auto"/>
        <w:left w:val="none" w:sz="0" w:space="0" w:color="auto"/>
        <w:bottom w:val="none" w:sz="0" w:space="0" w:color="auto"/>
        <w:right w:val="none" w:sz="0" w:space="0" w:color="auto"/>
      </w:divBdr>
    </w:div>
    <w:div w:id="406727211">
      <w:bodyDiv w:val="1"/>
      <w:marLeft w:val="0"/>
      <w:marRight w:val="0"/>
      <w:marTop w:val="0"/>
      <w:marBottom w:val="0"/>
      <w:divBdr>
        <w:top w:val="none" w:sz="0" w:space="0" w:color="auto"/>
        <w:left w:val="none" w:sz="0" w:space="0" w:color="auto"/>
        <w:bottom w:val="none" w:sz="0" w:space="0" w:color="auto"/>
        <w:right w:val="none" w:sz="0" w:space="0" w:color="auto"/>
      </w:divBdr>
    </w:div>
    <w:div w:id="492986915">
      <w:bodyDiv w:val="1"/>
      <w:marLeft w:val="0"/>
      <w:marRight w:val="0"/>
      <w:marTop w:val="0"/>
      <w:marBottom w:val="0"/>
      <w:divBdr>
        <w:top w:val="none" w:sz="0" w:space="0" w:color="auto"/>
        <w:left w:val="none" w:sz="0" w:space="0" w:color="auto"/>
        <w:bottom w:val="none" w:sz="0" w:space="0" w:color="auto"/>
        <w:right w:val="none" w:sz="0" w:space="0" w:color="auto"/>
      </w:divBdr>
    </w:div>
    <w:div w:id="510148939">
      <w:bodyDiv w:val="1"/>
      <w:marLeft w:val="0"/>
      <w:marRight w:val="0"/>
      <w:marTop w:val="0"/>
      <w:marBottom w:val="0"/>
      <w:divBdr>
        <w:top w:val="none" w:sz="0" w:space="0" w:color="auto"/>
        <w:left w:val="none" w:sz="0" w:space="0" w:color="auto"/>
        <w:bottom w:val="none" w:sz="0" w:space="0" w:color="auto"/>
        <w:right w:val="none" w:sz="0" w:space="0" w:color="auto"/>
      </w:divBdr>
    </w:div>
    <w:div w:id="543293714">
      <w:bodyDiv w:val="1"/>
      <w:marLeft w:val="0"/>
      <w:marRight w:val="0"/>
      <w:marTop w:val="0"/>
      <w:marBottom w:val="0"/>
      <w:divBdr>
        <w:top w:val="none" w:sz="0" w:space="0" w:color="auto"/>
        <w:left w:val="none" w:sz="0" w:space="0" w:color="auto"/>
        <w:bottom w:val="none" w:sz="0" w:space="0" w:color="auto"/>
        <w:right w:val="none" w:sz="0" w:space="0" w:color="auto"/>
      </w:divBdr>
    </w:div>
    <w:div w:id="696585920">
      <w:bodyDiv w:val="1"/>
      <w:marLeft w:val="0"/>
      <w:marRight w:val="0"/>
      <w:marTop w:val="0"/>
      <w:marBottom w:val="0"/>
      <w:divBdr>
        <w:top w:val="none" w:sz="0" w:space="0" w:color="auto"/>
        <w:left w:val="none" w:sz="0" w:space="0" w:color="auto"/>
        <w:bottom w:val="none" w:sz="0" w:space="0" w:color="auto"/>
        <w:right w:val="none" w:sz="0" w:space="0" w:color="auto"/>
      </w:divBdr>
    </w:div>
    <w:div w:id="753474126">
      <w:bodyDiv w:val="1"/>
      <w:marLeft w:val="0"/>
      <w:marRight w:val="0"/>
      <w:marTop w:val="0"/>
      <w:marBottom w:val="0"/>
      <w:divBdr>
        <w:top w:val="none" w:sz="0" w:space="0" w:color="auto"/>
        <w:left w:val="none" w:sz="0" w:space="0" w:color="auto"/>
        <w:bottom w:val="none" w:sz="0" w:space="0" w:color="auto"/>
        <w:right w:val="none" w:sz="0" w:space="0" w:color="auto"/>
      </w:divBdr>
    </w:div>
    <w:div w:id="875771562">
      <w:bodyDiv w:val="1"/>
      <w:marLeft w:val="0"/>
      <w:marRight w:val="0"/>
      <w:marTop w:val="0"/>
      <w:marBottom w:val="0"/>
      <w:divBdr>
        <w:top w:val="none" w:sz="0" w:space="0" w:color="auto"/>
        <w:left w:val="none" w:sz="0" w:space="0" w:color="auto"/>
        <w:bottom w:val="none" w:sz="0" w:space="0" w:color="auto"/>
        <w:right w:val="none" w:sz="0" w:space="0" w:color="auto"/>
      </w:divBdr>
    </w:div>
    <w:div w:id="882988445">
      <w:bodyDiv w:val="1"/>
      <w:marLeft w:val="0"/>
      <w:marRight w:val="0"/>
      <w:marTop w:val="0"/>
      <w:marBottom w:val="0"/>
      <w:divBdr>
        <w:top w:val="none" w:sz="0" w:space="0" w:color="auto"/>
        <w:left w:val="none" w:sz="0" w:space="0" w:color="auto"/>
        <w:bottom w:val="none" w:sz="0" w:space="0" w:color="auto"/>
        <w:right w:val="none" w:sz="0" w:space="0" w:color="auto"/>
      </w:divBdr>
    </w:div>
    <w:div w:id="983238469">
      <w:bodyDiv w:val="1"/>
      <w:marLeft w:val="0"/>
      <w:marRight w:val="0"/>
      <w:marTop w:val="0"/>
      <w:marBottom w:val="0"/>
      <w:divBdr>
        <w:top w:val="none" w:sz="0" w:space="0" w:color="auto"/>
        <w:left w:val="none" w:sz="0" w:space="0" w:color="auto"/>
        <w:bottom w:val="none" w:sz="0" w:space="0" w:color="auto"/>
        <w:right w:val="none" w:sz="0" w:space="0" w:color="auto"/>
      </w:divBdr>
    </w:div>
    <w:div w:id="994452313">
      <w:bodyDiv w:val="1"/>
      <w:marLeft w:val="0"/>
      <w:marRight w:val="0"/>
      <w:marTop w:val="0"/>
      <w:marBottom w:val="0"/>
      <w:divBdr>
        <w:top w:val="none" w:sz="0" w:space="0" w:color="auto"/>
        <w:left w:val="none" w:sz="0" w:space="0" w:color="auto"/>
        <w:bottom w:val="none" w:sz="0" w:space="0" w:color="auto"/>
        <w:right w:val="none" w:sz="0" w:space="0" w:color="auto"/>
      </w:divBdr>
    </w:div>
    <w:div w:id="1007631617">
      <w:bodyDiv w:val="1"/>
      <w:marLeft w:val="0"/>
      <w:marRight w:val="0"/>
      <w:marTop w:val="0"/>
      <w:marBottom w:val="0"/>
      <w:divBdr>
        <w:top w:val="none" w:sz="0" w:space="0" w:color="auto"/>
        <w:left w:val="none" w:sz="0" w:space="0" w:color="auto"/>
        <w:bottom w:val="none" w:sz="0" w:space="0" w:color="auto"/>
        <w:right w:val="none" w:sz="0" w:space="0" w:color="auto"/>
      </w:divBdr>
    </w:div>
    <w:div w:id="1009017378">
      <w:bodyDiv w:val="1"/>
      <w:marLeft w:val="0"/>
      <w:marRight w:val="0"/>
      <w:marTop w:val="0"/>
      <w:marBottom w:val="0"/>
      <w:divBdr>
        <w:top w:val="none" w:sz="0" w:space="0" w:color="auto"/>
        <w:left w:val="none" w:sz="0" w:space="0" w:color="auto"/>
        <w:bottom w:val="none" w:sz="0" w:space="0" w:color="auto"/>
        <w:right w:val="none" w:sz="0" w:space="0" w:color="auto"/>
      </w:divBdr>
    </w:div>
    <w:div w:id="1052072676">
      <w:bodyDiv w:val="1"/>
      <w:marLeft w:val="0"/>
      <w:marRight w:val="0"/>
      <w:marTop w:val="0"/>
      <w:marBottom w:val="0"/>
      <w:divBdr>
        <w:top w:val="none" w:sz="0" w:space="0" w:color="auto"/>
        <w:left w:val="none" w:sz="0" w:space="0" w:color="auto"/>
        <w:bottom w:val="none" w:sz="0" w:space="0" w:color="auto"/>
        <w:right w:val="none" w:sz="0" w:space="0" w:color="auto"/>
      </w:divBdr>
    </w:div>
    <w:div w:id="1054351617">
      <w:bodyDiv w:val="1"/>
      <w:marLeft w:val="0"/>
      <w:marRight w:val="0"/>
      <w:marTop w:val="0"/>
      <w:marBottom w:val="0"/>
      <w:divBdr>
        <w:top w:val="none" w:sz="0" w:space="0" w:color="auto"/>
        <w:left w:val="none" w:sz="0" w:space="0" w:color="auto"/>
        <w:bottom w:val="none" w:sz="0" w:space="0" w:color="auto"/>
        <w:right w:val="none" w:sz="0" w:space="0" w:color="auto"/>
      </w:divBdr>
    </w:div>
    <w:div w:id="1075592170">
      <w:bodyDiv w:val="1"/>
      <w:marLeft w:val="0"/>
      <w:marRight w:val="0"/>
      <w:marTop w:val="0"/>
      <w:marBottom w:val="0"/>
      <w:divBdr>
        <w:top w:val="none" w:sz="0" w:space="0" w:color="auto"/>
        <w:left w:val="none" w:sz="0" w:space="0" w:color="auto"/>
        <w:bottom w:val="none" w:sz="0" w:space="0" w:color="auto"/>
        <w:right w:val="none" w:sz="0" w:space="0" w:color="auto"/>
      </w:divBdr>
    </w:div>
    <w:div w:id="1107696250">
      <w:bodyDiv w:val="1"/>
      <w:marLeft w:val="0"/>
      <w:marRight w:val="0"/>
      <w:marTop w:val="0"/>
      <w:marBottom w:val="0"/>
      <w:divBdr>
        <w:top w:val="none" w:sz="0" w:space="0" w:color="auto"/>
        <w:left w:val="none" w:sz="0" w:space="0" w:color="auto"/>
        <w:bottom w:val="none" w:sz="0" w:space="0" w:color="auto"/>
        <w:right w:val="none" w:sz="0" w:space="0" w:color="auto"/>
      </w:divBdr>
    </w:div>
    <w:div w:id="1132946710">
      <w:bodyDiv w:val="1"/>
      <w:marLeft w:val="0"/>
      <w:marRight w:val="0"/>
      <w:marTop w:val="0"/>
      <w:marBottom w:val="0"/>
      <w:divBdr>
        <w:top w:val="none" w:sz="0" w:space="0" w:color="auto"/>
        <w:left w:val="none" w:sz="0" w:space="0" w:color="auto"/>
        <w:bottom w:val="none" w:sz="0" w:space="0" w:color="auto"/>
        <w:right w:val="none" w:sz="0" w:space="0" w:color="auto"/>
      </w:divBdr>
    </w:div>
    <w:div w:id="1174612649">
      <w:bodyDiv w:val="1"/>
      <w:marLeft w:val="0"/>
      <w:marRight w:val="0"/>
      <w:marTop w:val="0"/>
      <w:marBottom w:val="0"/>
      <w:divBdr>
        <w:top w:val="none" w:sz="0" w:space="0" w:color="auto"/>
        <w:left w:val="none" w:sz="0" w:space="0" w:color="auto"/>
        <w:bottom w:val="none" w:sz="0" w:space="0" w:color="auto"/>
        <w:right w:val="none" w:sz="0" w:space="0" w:color="auto"/>
      </w:divBdr>
    </w:div>
    <w:div w:id="1203175666">
      <w:bodyDiv w:val="1"/>
      <w:marLeft w:val="0"/>
      <w:marRight w:val="0"/>
      <w:marTop w:val="0"/>
      <w:marBottom w:val="0"/>
      <w:divBdr>
        <w:top w:val="none" w:sz="0" w:space="0" w:color="auto"/>
        <w:left w:val="none" w:sz="0" w:space="0" w:color="auto"/>
        <w:bottom w:val="none" w:sz="0" w:space="0" w:color="auto"/>
        <w:right w:val="none" w:sz="0" w:space="0" w:color="auto"/>
      </w:divBdr>
    </w:div>
    <w:div w:id="1282998959">
      <w:bodyDiv w:val="1"/>
      <w:marLeft w:val="0"/>
      <w:marRight w:val="0"/>
      <w:marTop w:val="0"/>
      <w:marBottom w:val="0"/>
      <w:divBdr>
        <w:top w:val="none" w:sz="0" w:space="0" w:color="auto"/>
        <w:left w:val="none" w:sz="0" w:space="0" w:color="auto"/>
        <w:bottom w:val="none" w:sz="0" w:space="0" w:color="auto"/>
        <w:right w:val="none" w:sz="0" w:space="0" w:color="auto"/>
      </w:divBdr>
    </w:div>
    <w:div w:id="1434518843">
      <w:bodyDiv w:val="1"/>
      <w:marLeft w:val="0"/>
      <w:marRight w:val="0"/>
      <w:marTop w:val="0"/>
      <w:marBottom w:val="0"/>
      <w:divBdr>
        <w:top w:val="none" w:sz="0" w:space="0" w:color="auto"/>
        <w:left w:val="none" w:sz="0" w:space="0" w:color="auto"/>
        <w:bottom w:val="none" w:sz="0" w:space="0" w:color="auto"/>
        <w:right w:val="none" w:sz="0" w:space="0" w:color="auto"/>
      </w:divBdr>
    </w:div>
    <w:div w:id="1488782109">
      <w:bodyDiv w:val="1"/>
      <w:marLeft w:val="0"/>
      <w:marRight w:val="0"/>
      <w:marTop w:val="0"/>
      <w:marBottom w:val="0"/>
      <w:divBdr>
        <w:top w:val="none" w:sz="0" w:space="0" w:color="auto"/>
        <w:left w:val="none" w:sz="0" w:space="0" w:color="auto"/>
        <w:bottom w:val="none" w:sz="0" w:space="0" w:color="auto"/>
        <w:right w:val="none" w:sz="0" w:space="0" w:color="auto"/>
      </w:divBdr>
    </w:div>
    <w:div w:id="1548834657">
      <w:bodyDiv w:val="1"/>
      <w:marLeft w:val="0"/>
      <w:marRight w:val="0"/>
      <w:marTop w:val="0"/>
      <w:marBottom w:val="0"/>
      <w:divBdr>
        <w:top w:val="none" w:sz="0" w:space="0" w:color="auto"/>
        <w:left w:val="none" w:sz="0" w:space="0" w:color="auto"/>
        <w:bottom w:val="none" w:sz="0" w:space="0" w:color="auto"/>
        <w:right w:val="none" w:sz="0" w:space="0" w:color="auto"/>
      </w:divBdr>
    </w:div>
    <w:div w:id="1565793370">
      <w:bodyDiv w:val="1"/>
      <w:marLeft w:val="0"/>
      <w:marRight w:val="0"/>
      <w:marTop w:val="0"/>
      <w:marBottom w:val="0"/>
      <w:divBdr>
        <w:top w:val="none" w:sz="0" w:space="0" w:color="auto"/>
        <w:left w:val="none" w:sz="0" w:space="0" w:color="auto"/>
        <w:bottom w:val="none" w:sz="0" w:space="0" w:color="auto"/>
        <w:right w:val="none" w:sz="0" w:space="0" w:color="auto"/>
      </w:divBdr>
    </w:div>
    <w:div w:id="1644043258">
      <w:bodyDiv w:val="1"/>
      <w:marLeft w:val="0"/>
      <w:marRight w:val="0"/>
      <w:marTop w:val="0"/>
      <w:marBottom w:val="0"/>
      <w:divBdr>
        <w:top w:val="none" w:sz="0" w:space="0" w:color="auto"/>
        <w:left w:val="none" w:sz="0" w:space="0" w:color="auto"/>
        <w:bottom w:val="none" w:sz="0" w:space="0" w:color="auto"/>
        <w:right w:val="none" w:sz="0" w:space="0" w:color="auto"/>
      </w:divBdr>
    </w:div>
    <w:div w:id="1744520784">
      <w:bodyDiv w:val="1"/>
      <w:marLeft w:val="0"/>
      <w:marRight w:val="0"/>
      <w:marTop w:val="0"/>
      <w:marBottom w:val="0"/>
      <w:divBdr>
        <w:top w:val="none" w:sz="0" w:space="0" w:color="auto"/>
        <w:left w:val="none" w:sz="0" w:space="0" w:color="auto"/>
        <w:bottom w:val="none" w:sz="0" w:space="0" w:color="auto"/>
        <w:right w:val="none" w:sz="0" w:space="0" w:color="auto"/>
      </w:divBdr>
    </w:div>
    <w:div w:id="1802114341">
      <w:bodyDiv w:val="1"/>
      <w:marLeft w:val="0"/>
      <w:marRight w:val="0"/>
      <w:marTop w:val="0"/>
      <w:marBottom w:val="0"/>
      <w:divBdr>
        <w:top w:val="none" w:sz="0" w:space="0" w:color="auto"/>
        <w:left w:val="none" w:sz="0" w:space="0" w:color="auto"/>
        <w:bottom w:val="none" w:sz="0" w:space="0" w:color="auto"/>
        <w:right w:val="none" w:sz="0" w:space="0" w:color="auto"/>
      </w:divBdr>
    </w:div>
    <w:div w:id="1919442721">
      <w:bodyDiv w:val="1"/>
      <w:marLeft w:val="0"/>
      <w:marRight w:val="0"/>
      <w:marTop w:val="0"/>
      <w:marBottom w:val="0"/>
      <w:divBdr>
        <w:top w:val="none" w:sz="0" w:space="0" w:color="auto"/>
        <w:left w:val="none" w:sz="0" w:space="0" w:color="auto"/>
        <w:bottom w:val="none" w:sz="0" w:space="0" w:color="auto"/>
        <w:right w:val="none" w:sz="0" w:space="0" w:color="auto"/>
      </w:divBdr>
    </w:div>
    <w:div w:id="20937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header" Target="header1.xml"/><Relationship Id="rId10" Type="http://schemas.openxmlformats.org/officeDocument/2006/relationships/hyperlink" Target="mailto:Jie.Zheng@alaska.gov" TargetMode="External"/><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microsoft.com/office/2007/relationships/stylesWithEffects" Target="stylesWithEffects.xml"/><Relationship Id="rId9" Type="http://schemas.openxmlformats.org/officeDocument/2006/relationships/hyperlink" Target="mailto:Toshihide.Hamazaki@alaska.gov"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hyperlink" Target="http://www.fakr.noaa.gov/npfmc/PDFdocuments/conservation_issues/ACL/CrabACL9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04E6E3F-7C15-4B40-8067-AA7DE0A8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1</Pages>
  <Words>7451</Words>
  <Characters>42476</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SAFE Report</vt:lpstr>
    </vt:vector>
  </TitlesOfParts>
  <Company>State of Alaska</Company>
  <LinksUpToDate>false</LinksUpToDate>
  <CharactersWithSpaces>49828</CharactersWithSpaces>
  <SharedDoc>false</SharedDoc>
  <HLinks>
    <vt:vector size="18" baseType="variant">
      <vt:variant>
        <vt:i4>3539029</vt:i4>
      </vt:variant>
      <vt:variant>
        <vt:i4>33</vt:i4>
      </vt:variant>
      <vt:variant>
        <vt:i4>0</vt:i4>
      </vt:variant>
      <vt:variant>
        <vt:i4>5</vt:i4>
      </vt:variant>
      <vt:variant>
        <vt:lpwstr>http://www.fakr.noaa.gov/npfmc/PDFdocuments/conservation_issues/ACL/CrabACL910.pdf</vt:lpwstr>
      </vt:variant>
      <vt:variant>
        <vt:lpwstr/>
      </vt:variant>
      <vt:variant>
        <vt:i4>4128850</vt:i4>
      </vt:variant>
      <vt:variant>
        <vt:i4>3</vt:i4>
      </vt:variant>
      <vt:variant>
        <vt:i4>0</vt:i4>
      </vt:variant>
      <vt:variant>
        <vt:i4>5</vt:i4>
      </vt:variant>
      <vt:variant>
        <vt:lpwstr>mailto:Jie.Zheng@alaska.gov</vt:lpwstr>
      </vt:variant>
      <vt:variant>
        <vt:lpwstr/>
      </vt:variant>
      <vt:variant>
        <vt:i4>3866701</vt:i4>
      </vt:variant>
      <vt:variant>
        <vt:i4>0</vt:i4>
      </vt:variant>
      <vt:variant>
        <vt:i4>0</vt:i4>
      </vt:variant>
      <vt:variant>
        <vt:i4>5</vt:i4>
      </vt:variant>
      <vt:variant>
        <vt:lpwstr>mailto:Toshihide.Hamazaki@alaska.gov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Report</dc:title>
  <dc:creator>hhamazaki</dc:creator>
  <cp:lastModifiedBy>Hamazaki, Hamachan (DFG)</cp:lastModifiedBy>
  <cp:revision>13</cp:revision>
  <cp:lastPrinted>2014-04-21T23:44:00Z</cp:lastPrinted>
  <dcterms:created xsi:type="dcterms:W3CDTF">2014-04-16T00:17:00Z</dcterms:created>
  <dcterms:modified xsi:type="dcterms:W3CDTF">2014-04-22T21:44:00Z</dcterms:modified>
</cp:coreProperties>
</file>