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44" w:rsidRPr="009D7D44" w:rsidRDefault="00ED5044" w:rsidP="009D7D44">
      <w:pPr>
        <w:pStyle w:val="Heading1"/>
        <w:jc w:val="left"/>
      </w:pPr>
      <w:bookmarkStart w:id="0" w:name="_GoBack"/>
      <w:bookmarkEnd w:id="0"/>
      <w:r w:rsidRPr="009D7D44">
        <w:t>7</w:t>
      </w:r>
      <w:r w:rsidRPr="009D7D44">
        <w:tab/>
        <w:t>Norton Sound Red King Crab</w:t>
      </w:r>
    </w:p>
    <w:p w:rsidR="00ED5044" w:rsidRPr="009D7D44" w:rsidRDefault="00ED5044" w:rsidP="00ED5044">
      <w:pPr>
        <w:rPr>
          <w:sz w:val="22"/>
          <w:szCs w:val="22"/>
        </w:rPr>
      </w:pPr>
    </w:p>
    <w:p w:rsidR="00ED5044" w:rsidRPr="009D7D44" w:rsidRDefault="00ED5044" w:rsidP="00ED5044">
      <w:pPr>
        <w:spacing w:after="120"/>
        <w:rPr>
          <w:i/>
          <w:sz w:val="22"/>
          <w:szCs w:val="22"/>
        </w:rPr>
      </w:pPr>
      <w:r w:rsidRPr="009D7D44">
        <w:rPr>
          <w:i/>
          <w:sz w:val="22"/>
          <w:szCs w:val="22"/>
        </w:rPr>
        <w:t>Fishery information relative to OFL setting</w:t>
      </w:r>
    </w:p>
    <w:p w:rsidR="00ED5044" w:rsidRPr="009D7D44" w:rsidRDefault="00ED5044" w:rsidP="00ED5044">
      <w:pPr>
        <w:autoSpaceDE w:val="0"/>
        <w:autoSpaceDN w:val="0"/>
        <w:adjustRightInd w:val="0"/>
        <w:rPr>
          <w:sz w:val="22"/>
          <w:szCs w:val="22"/>
        </w:rPr>
      </w:pPr>
      <w:r w:rsidRPr="009D7D44">
        <w:rPr>
          <w:sz w:val="22"/>
          <w:szCs w:val="22"/>
        </w:rPr>
        <w:t xml:space="preserve">This stock supports three main fisheries: summer commercial, winter commercial, and winter subsistence. The summer commercial fishery, which accounts for the majority of the catch, reached a peak in the late 1970s at a little over 2.9 million pounds retained catch. Retained catches since 1982 have been below 0.5 million pounds, averaging </w:t>
      </w:r>
      <w:r w:rsidR="00056D30" w:rsidRPr="009D7D44">
        <w:rPr>
          <w:sz w:val="22"/>
          <w:szCs w:val="22"/>
        </w:rPr>
        <w:t>0.3 million</w:t>
      </w:r>
      <w:r w:rsidRPr="009D7D44">
        <w:rPr>
          <w:sz w:val="22"/>
          <w:szCs w:val="22"/>
        </w:rPr>
        <w:t xml:space="preserve"> pounds, including several low years in the 1990s. </w:t>
      </w:r>
      <w:r w:rsidR="00056D30" w:rsidRPr="009D7D44">
        <w:rPr>
          <w:spacing w:val="-3"/>
          <w:sz w:val="22"/>
          <w:szCs w:val="22"/>
        </w:rPr>
        <w:t>As the crab population rebounded, retained catches have increased somewhat to around 0.4 million pounds in recent years</w:t>
      </w:r>
    </w:p>
    <w:p w:rsidR="00ED5044" w:rsidRPr="009D7D44" w:rsidRDefault="00ED5044" w:rsidP="00ED5044">
      <w:pPr>
        <w:autoSpaceDE w:val="0"/>
        <w:autoSpaceDN w:val="0"/>
        <w:adjustRightInd w:val="0"/>
        <w:rPr>
          <w:sz w:val="22"/>
          <w:szCs w:val="22"/>
        </w:rPr>
      </w:pPr>
    </w:p>
    <w:p w:rsidR="00ED5044" w:rsidRPr="009D7D44" w:rsidRDefault="00ED5044" w:rsidP="00ED5044">
      <w:pPr>
        <w:spacing w:after="120"/>
        <w:rPr>
          <w:i/>
          <w:sz w:val="22"/>
          <w:szCs w:val="22"/>
        </w:rPr>
      </w:pPr>
      <w:r w:rsidRPr="009D7D44">
        <w:rPr>
          <w:i/>
          <w:sz w:val="22"/>
          <w:szCs w:val="22"/>
        </w:rPr>
        <w:t>Data and assessment methodology</w:t>
      </w:r>
    </w:p>
    <w:p w:rsidR="00ED5044" w:rsidRPr="009D7D44" w:rsidRDefault="00ED5044" w:rsidP="00ED5044">
      <w:pPr>
        <w:autoSpaceDE w:val="0"/>
        <w:autoSpaceDN w:val="0"/>
        <w:adjustRightInd w:val="0"/>
        <w:rPr>
          <w:sz w:val="22"/>
          <w:szCs w:val="22"/>
        </w:rPr>
      </w:pPr>
      <w:r w:rsidRPr="009D7D44">
        <w:rPr>
          <w:sz w:val="22"/>
          <w:szCs w:val="22"/>
        </w:rPr>
        <w:t xml:space="preserve">Four types of surveys have </w:t>
      </w:r>
      <w:r w:rsidR="000A5792" w:rsidRPr="009D7D44">
        <w:rPr>
          <w:sz w:val="22"/>
          <w:szCs w:val="22"/>
        </w:rPr>
        <w:t>occurr</w:t>
      </w:r>
      <w:r w:rsidRPr="009D7D44">
        <w:rPr>
          <w:sz w:val="22"/>
          <w:szCs w:val="22"/>
        </w:rPr>
        <w:t xml:space="preserve">ed periodically during the last three decades: summer trawl, summer pot, winter pot, and preseason summer pot, but none of these surveys have been conducted every year. To improve abundance estimates, a </w:t>
      </w:r>
      <w:r w:rsidR="00CD72C3" w:rsidRPr="009D7D44">
        <w:rPr>
          <w:sz w:val="22"/>
          <w:szCs w:val="22"/>
        </w:rPr>
        <w:t xml:space="preserve">male-only </w:t>
      </w:r>
      <w:r w:rsidRPr="009D7D44">
        <w:rPr>
          <w:sz w:val="22"/>
          <w:szCs w:val="22"/>
        </w:rPr>
        <w:t xml:space="preserve">length-based model of male crab abundance was previously developed that combines multiple sources of data. A maximum likelihood approach was used to estimate abundance, recruitment, and selectivity and </w:t>
      </w:r>
      <w:proofErr w:type="spellStart"/>
      <w:r w:rsidRPr="009D7D44">
        <w:rPr>
          <w:sz w:val="22"/>
          <w:szCs w:val="22"/>
        </w:rPr>
        <w:t>catchability</w:t>
      </w:r>
      <w:proofErr w:type="spellEnd"/>
      <w:r w:rsidRPr="009D7D44">
        <w:rPr>
          <w:sz w:val="22"/>
          <w:szCs w:val="22"/>
        </w:rPr>
        <w:t xml:space="preserve"> of the commercial pot gear. The model has been updated </w:t>
      </w:r>
      <w:r w:rsidR="000A5792" w:rsidRPr="009D7D44">
        <w:rPr>
          <w:sz w:val="22"/>
          <w:szCs w:val="22"/>
        </w:rPr>
        <w:t>with the following</w:t>
      </w:r>
      <w:r w:rsidR="005B3979" w:rsidRPr="009D7D44">
        <w:rPr>
          <w:sz w:val="22"/>
          <w:szCs w:val="22"/>
        </w:rPr>
        <w:t xml:space="preserve"> data</w:t>
      </w:r>
      <w:r w:rsidR="000A5792" w:rsidRPr="009D7D44">
        <w:rPr>
          <w:sz w:val="22"/>
          <w:szCs w:val="22"/>
        </w:rPr>
        <w:t>: 1980–</w:t>
      </w:r>
      <w:r w:rsidRPr="009D7D44">
        <w:rPr>
          <w:sz w:val="22"/>
          <w:szCs w:val="22"/>
        </w:rPr>
        <w:t>2012 winter pot survey</w:t>
      </w:r>
      <w:r w:rsidR="005B3979" w:rsidRPr="009D7D44">
        <w:rPr>
          <w:sz w:val="22"/>
          <w:szCs w:val="22"/>
        </w:rPr>
        <w:t>, and 2013</w:t>
      </w:r>
      <w:r w:rsidRPr="009D7D44">
        <w:rPr>
          <w:sz w:val="22"/>
          <w:szCs w:val="22"/>
        </w:rPr>
        <w:t>/201</w:t>
      </w:r>
      <w:r w:rsidR="005B3979" w:rsidRPr="009D7D44">
        <w:rPr>
          <w:sz w:val="22"/>
          <w:szCs w:val="22"/>
        </w:rPr>
        <w:t>4</w:t>
      </w:r>
      <w:r w:rsidRPr="009D7D44">
        <w:rPr>
          <w:sz w:val="22"/>
          <w:szCs w:val="22"/>
        </w:rPr>
        <w:t xml:space="preserve"> winter commercial and subsistence</w:t>
      </w:r>
      <w:r w:rsidR="000A5792" w:rsidRPr="009D7D44">
        <w:rPr>
          <w:sz w:val="22"/>
          <w:szCs w:val="22"/>
        </w:rPr>
        <w:t xml:space="preserve"> catch</w:t>
      </w:r>
      <w:r w:rsidR="00CD72C3" w:rsidRPr="009D7D44">
        <w:rPr>
          <w:sz w:val="22"/>
          <w:szCs w:val="22"/>
        </w:rPr>
        <w:t>es</w:t>
      </w:r>
      <w:r w:rsidRPr="009D7D44">
        <w:rPr>
          <w:sz w:val="22"/>
          <w:szCs w:val="22"/>
        </w:rPr>
        <w:t xml:space="preserve">. </w:t>
      </w:r>
      <w:r w:rsidR="00C50B86" w:rsidRPr="009D7D44">
        <w:rPr>
          <w:sz w:val="22"/>
          <w:szCs w:val="22"/>
        </w:rPr>
        <w:t xml:space="preserve">In addition, </w:t>
      </w:r>
      <w:r w:rsidR="005B3979" w:rsidRPr="009D7D44">
        <w:rPr>
          <w:sz w:val="22"/>
          <w:szCs w:val="22"/>
        </w:rPr>
        <w:t>t</w:t>
      </w:r>
      <w:r w:rsidR="00896A56" w:rsidRPr="009D7D44">
        <w:rPr>
          <w:sz w:val="22"/>
          <w:szCs w:val="22"/>
        </w:rPr>
        <w:t>he 1976–2011 trawl survey data were revised, but with no new years of data available (the next survey is scheduled for 2014).</w:t>
      </w:r>
      <w:r w:rsidR="00C50B86" w:rsidRPr="009D7D44">
        <w:rPr>
          <w:sz w:val="22"/>
          <w:szCs w:val="22"/>
        </w:rPr>
        <w:t xml:space="preserve"> </w:t>
      </w:r>
      <w:r w:rsidRPr="009D7D44">
        <w:rPr>
          <w:sz w:val="22"/>
          <w:szCs w:val="22"/>
        </w:rPr>
        <w:t xml:space="preserve">The current model assumes </w:t>
      </w:r>
      <w:r w:rsidR="00C50B86" w:rsidRPr="009D7D44">
        <w:rPr>
          <w:sz w:val="22"/>
          <w:szCs w:val="22"/>
        </w:rPr>
        <w:t xml:space="preserve">a constant </w:t>
      </w:r>
      <w:r w:rsidRPr="009D7D44">
        <w:rPr>
          <w:sz w:val="22"/>
          <w:szCs w:val="22"/>
        </w:rPr>
        <w:t>M=0.18yr</w:t>
      </w:r>
      <w:r w:rsidRPr="009D7D44">
        <w:rPr>
          <w:sz w:val="22"/>
          <w:szCs w:val="22"/>
          <w:vertAlign w:val="superscript"/>
        </w:rPr>
        <w:t>-1</w:t>
      </w:r>
      <w:r w:rsidR="00556A7A" w:rsidRPr="009D7D44">
        <w:rPr>
          <w:sz w:val="22"/>
          <w:szCs w:val="22"/>
        </w:rPr>
        <w:t>, except for a fixed value of 0.648yr</w:t>
      </w:r>
      <w:r w:rsidR="00556A7A" w:rsidRPr="009D7D44">
        <w:rPr>
          <w:sz w:val="22"/>
          <w:szCs w:val="22"/>
          <w:vertAlign w:val="superscript"/>
        </w:rPr>
        <w:t>-1</w:t>
      </w:r>
      <w:r w:rsidR="00556A7A" w:rsidRPr="009D7D44">
        <w:rPr>
          <w:sz w:val="22"/>
          <w:szCs w:val="22"/>
        </w:rPr>
        <w:t xml:space="preserve"> for the largest length class. Logistic functions are used to describe </w:t>
      </w:r>
      <w:r w:rsidR="005F534E" w:rsidRPr="009D7D44">
        <w:rPr>
          <w:sz w:val="22"/>
          <w:szCs w:val="22"/>
        </w:rPr>
        <w:t>f</w:t>
      </w:r>
      <w:r w:rsidR="00CD72C3" w:rsidRPr="009D7D44">
        <w:rPr>
          <w:sz w:val="22"/>
          <w:szCs w:val="22"/>
        </w:rPr>
        <w:t xml:space="preserve">ishery and survey </w:t>
      </w:r>
      <w:proofErr w:type="spellStart"/>
      <w:r w:rsidR="00CD72C3" w:rsidRPr="009D7D44">
        <w:rPr>
          <w:sz w:val="22"/>
          <w:szCs w:val="22"/>
        </w:rPr>
        <w:t>selectivities</w:t>
      </w:r>
      <w:proofErr w:type="spellEnd"/>
      <w:r w:rsidR="00CD72C3" w:rsidRPr="009D7D44">
        <w:rPr>
          <w:sz w:val="22"/>
          <w:szCs w:val="22"/>
        </w:rPr>
        <w:t>, except for a dome-shaped function examined for the winter pot fishery</w:t>
      </w:r>
      <w:r w:rsidR="00556A7A" w:rsidRPr="009D7D44">
        <w:rPr>
          <w:sz w:val="22"/>
          <w:szCs w:val="22"/>
        </w:rPr>
        <w:t>.</w:t>
      </w:r>
    </w:p>
    <w:p w:rsidR="00ED5044" w:rsidRPr="009D7D44" w:rsidRDefault="00ED5044" w:rsidP="00ED5044">
      <w:pPr>
        <w:spacing w:after="120"/>
        <w:rPr>
          <w:i/>
          <w:sz w:val="22"/>
          <w:szCs w:val="22"/>
        </w:rPr>
      </w:pPr>
    </w:p>
    <w:p w:rsidR="00010F9F" w:rsidRPr="009D7D44" w:rsidRDefault="00010F9F" w:rsidP="00010F9F">
      <w:pPr>
        <w:rPr>
          <w:sz w:val="22"/>
          <w:szCs w:val="22"/>
        </w:rPr>
      </w:pPr>
      <w:r w:rsidRPr="009D7D44">
        <w:rPr>
          <w:sz w:val="22"/>
          <w:szCs w:val="22"/>
        </w:rPr>
        <w:t>The author summarized six model run alternatives, with</w:t>
      </w:r>
      <w:r w:rsidR="00012DD5" w:rsidRPr="009D7D44">
        <w:rPr>
          <w:sz w:val="22"/>
          <w:szCs w:val="22"/>
        </w:rPr>
        <w:t xml:space="preserve"> </w:t>
      </w:r>
      <w:r w:rsidRPr="009D7D44">
        <w:rPr>
          <w:sz w:val="22"/>
          <w:szCs w:val="22"/>
        </w:rPr>
        <w:t xml:space="preserve">the base model (Model 0) </w:t>
      </w:r>
      <w:r w:rsidR="00775277" w:rsidRPr="009D7D44">
        <w:rPr>
          <w:sz w:val="22"/>
          <w:szCs w:val="22"/>
        </w:rPr>
        <w:t>and alternatives originating</w:t>
      </w:r>
      <w:r w:rsidR="00012DD5" w:rsidRPr="009D7D44">
        <w:rPr>
          <w:sz w:val="22"/>
          <w:szCs w:val="22"/>
        </w:rPr>
        <w:t xml:space="preserve"> </w:t>
      </w:r>
      <w:r w:rsidRPr="009D7D44">
        <w:rPr>
          <w:sz w:val="22"/>
          <w:szCs w:val="22"/>
        </w:rPr>
        <w:t xml:space="preserve">from the 2014 modeling workshop. The CPT selected Model 2io as the recommended configuration based on: separate </w:t>
      </w:r>
      <w:proofErr w:type="spellStart"/>
      <w:r w:rsidRPr="009D7D44">
        <w:rPr>
          <w:sz w:val="22"/>
          <w:szCs w:val="22"/>
        </w:rPr>
        <w:t>selectivities</w:t>
      </w:r>
      <w:proofErr w:type="spellEnd"/>
      <w:r w:rsidRPr="009D7D44">
        <w:rPr>
          <w:sz w:val="22"/>
          <w:szCs w:val="22"/>
        </w:rPr>
        <w:t xml:space="preserve"> for NMFS and ADF&amp;G trawl surveys; inclusion of winter survey data as a means of informing the winter fishery harvest</w:t>
      </w:r>
      <w:proofErr w:type="gramStart"/>
      <w:r w:rsidRPr="009D7D44">
        <w:rPr>
          <w:sz w:val="22"/>
          <w:szCs w:val="22"/>
        </w:rPr>
        <w:t>,</w:t>
      </w:r>
      <w:r w:rsidR="00074236" w:rsidRPr="009D7D44">
        <w:rPr>
          <w:sz w:val="22"/>
          <w:szCs w:val="22"/>
        </w:rPr>
        <w:t>(</w:t>
      </w:r>
      <w:proofErr w:type="gramEnd"/>
      <w:r w:rsidR="00074236" w:rsidRPr="009D7D44">
        <w:rPr>
          <w:sz w:val="22"/>
          <w:szCs w:val="22"/>
        </w:rPr>
        <w:t>although</w:t>
      </w:r>
      <w:r w:rsidRPr="009D7D44">
        <w:rPr>
          <w:sz w:val="22"/>
          <w:szCs w:val="22"/>
        </w:rPr>
        <w:t xml:space="preserve"> this had negligible impact on model results</w:t>
      </w:r>
      <w:r w:rsidR="00074236" w:rsidRPr="009D7D44">
        <w:rPr>
          <w:sz w:val="22"/>
          <w:szCs w:val="22"/>
        </w:rPr>
        <w:t>)</w:t>
      </w:r>
      <w:r w:rsidRPr="009D7D44">
        <w:rPr>
          <w:sz w:val="22"/>
          <w:szCs w:val="22"/>
        </w:rPr>
        <w:t xml:space="preserve">; and estimation </w:t>
      </w:r>
      <w:r w:rsidR="00074236" w:rsidRPr="009D7D44">
        <w:rPr>
          <w:sz w:val="22"/>
          <w:szCs w:val="22"/>
        </w:rPr>
        <w:t xml:space="preserve">of </w:t>
      </w:r>
      <w:r w:rsidRPr="009D7D44">
        <w:rPr>
          <w:sz w:val="22"/>
          <w:szCs w:val="22"/>
        </w:rPr>
        <w:t xml:space="preserve">a growth matrix inside the model </w:t>
      </w:r>
      <w:r w:rsidR="00074236" w:rsidRPr="009D7D44">
        <w:rPr>
          <w:sz w:val="22"/>
          <w:szCs w:val="22"/>
        </w:rPr>
        <w:t>(</w:t>
      </w:r>
      <w:r w:rsidRPr="009D7D44">
        <w:rPr>
          <w:sz w:val="22"/>
          <w:szCs w:val="22"/>
        </w:rPr>
        <w:t xml:space="preserve">separated for </w:t>
      </w:r>
      <w:proofErr w:type="spellStart"/>
      <w:r w:rsidRPr="009D7D44">
        <w:rPr>
          <w:sz w:val="22"/>
          <w:szCs w:val="22"/>
        </w:rPr>
        <w:t>newshell</w:t>
      </w:r>
      <w:proofErr w:type="spellEnd"/>
      <w:r w:rsidRPr="009D7D44">
        <w:rPr>
          <w:sz w:val="22"/>
          <w:szCs w:val="22"/>
        </w:rPr>
        <w:t xml:space="preserve"> and </w:t>
      </w:r>
      <w:proofErr w:type="spellStart"/>
      <w:r w:rsidRPr="009D7D44">
        <w:rPr>
          <w:sz w:val="22"/>
          <w:szCs w:val="22"/>
        </w:rPr>
        <w:t>oldshell</w:t>
      </w:r>
      <w:proofErr w:type="spellEnd"/>
      <w:r w:rsidRPr="009D7D44">
        <w:rPr>
          <w:sz w:val="22"/>
          <w:szCs w:val="22"/>
        </w:rPr>
        <w:t xml:space="preserve"> crab</w:t>
      </w:r>
      <w:r w:rsidR="00074236" w:rsidRPr="009D7D44">
        <w:rPr>
          <w:sz w:val="22"/>
          <w:szCs w:val="22"/>
        </w:rPr>
        <w:t>)</w:t>
      </w:r>
      <w:r w:rsidRPr="009D7D44">
        <w:rPr>
          <w:sz w:val="22"/>
          <w:szCs w:val="22"/>
        </w:rPr>
        <w:t>.</w:t>
      </w:r>
    </w:p>
    <w:p w:rsidR="00010F9F" w:rsidRPr="009D7D44" w:rsidRDefault="00010F9F" w:rsidP="00ED5044">
      <w:pPr>
        <w:spacing w:after="120"/>
        <w:rPr>
          <w:i/>
          <w:sz w:val="22"/>
          <w:szCs w:val="22"/>
        </w:rPr>
      </w:pPr>
    </w:p>
    <w:p w:rsidR="00ED5044" w:rsidRPr="009D7D44" w:rsidRDefault="00ED5044" w:rsidP="00ED5044">
      <w:pPr>
        <w:spacing w:after="120"/>
        <w:rPr>
          <w:sz w:val="22"/>
          <w:szCs w:val="22"/>
        </w:rPr>
      </w:pPr>
      <w:r w:rsidRPr="009D7D44">
        <w:rPr>
          <w:i/>
          <w:sz w:val="22"/>
          <w:szCs w:val="22"/>
        </w:rPr>
        <w:t>Stock biomass and recruitment trends</w:t>
      </w:r>
    </w:p>
    <w:p w:rsidR="00ED5044" w:rsidRPr="009D7D44" w:rsidRDefault="00ED5044" w:rsidP="00ED5044">
      <w:pPr>
        <w:autoSpaceDE w:val="0"/>
        <w:autoSpaceDN w:val="0"/>
        <w:adjustRightInd w:val="0"/>
        <w:rPr>
          <w:sz w:val="22"/>
          <w:szCs w:val="22"/>
        </w:rPr>
      </w:pPr>
      <w:r w:rsidRPr="009D7D44">
        <w:rPr>
          <w:sz w:val="22"/>
          <w:szCs w:val="22"/>
        </w:rPr>
        <w:t xml:space="preserve">Mature male biomass was estimated to be </w:t>
      </w:r>
      <w:r w:rsidR="00565669" w:rsidRPr="009D7D44">
        <w:rPr>
          <w:sz w:val="22"/>
          <w:szCs w:val="22"/>
        </w:rPr>
        <w:t>at an historic low in 1982 following a crash from the peak biomass in 1977. The MMB then exhibited</w:t>
      </w:r>
      <w:r w:rsidRPr="009D7D44">
        <w:rPr>
          <w:sz w:val="22"/>
          <w:szCs w:val="22"/>
        </w:rPr>
        <w:t xml:space="preserve"> an upward trend </w:t>
      </w:r>
      <w:r w:rsidR="00565669" w:rsidRPr="009D7D44">
        <w:rPr>
          <w:sz w:val="22"/>
          <w:szCs w:val="22"/>
        </w:rPr>
        <w:t>from</w:t>
      </w:r>
      <w:r w:rsidRPr="009D7D44">
        <w:rPr>
          <w:sz w:val="22"/>
          <w:szCs w:val="22"/>
        </w:rPr>
        <w:t xml:space="preserve"> a recent low in 1997 </w:t>
      </w:r>
      <w:r w:rsidR="00565669" w:rsidRPr="009D7D44">
        <w:rPr>
          <w:sz w:val="22"/>
          <w:szCs w:val="22"/>
        </w:rPr>
        <w:t>to a peak in 2010, before declining in recent years</w:t>
      </w:r>
      <w:r w:rsidRPr="009D7D44">
        <w:rPr>
          <w:sz w:val="22"/>
          <w:szCs w:val="22"/>
        </w:rPr>
        <w:t xml:space="preserve">. Estimated recruitment was weak during the late 1970s </w:t>
      </w:r>
      <w:r w:rsidR="00565669" w:rsidRPr="009D7D44">
        <w:rPr>
          <w:sz w:val="22"/>
          <w:szCs w:val="22"/>
        </w:rPr>
        <w:t>and high during the early 1980s</w:t>
      </w:r>
      <w:r w:rsidR="004E78EB" w:rsidRPr="009D7D44">
        <w:rPr>
          <w:sz w:val="22"/>
          <w:szCs w:val="22"/>
        </w:rPr>
        <w:t>,</w:t>
      </w:r>
      <w:r w:rsidR="00565669" w:rsidRPr="009D7D44">
        <w:rPr>
          <w:sz w:val="22"/>
          <w:szCs w:val="22"/>
        </w:rPr>
        <w:t xml:space="preserve"> </w:t>
      </w:r>
      <w:r w:rsidRPr="009D7D44">
        <w:rPr>
          <w:sz w:val="22"/>
          <w:szCs w:val="22"/>
        </w:rPr>
        <w:t xml:space="preserve">with a slight downward trend from 1983 to 1993. Estimated </w:t>
      </w:r>
      <w:r w:rsidR="005F534E" w:rsidRPr="009D7D44">
        <w:rPr>
          <w:sz w:val="22"/>
          <w:szCs w:val="22"/>
        </w:rPr>
        <w:t xml:space="preserve">recruitment has been </w:t>
      </w:r>
      <w:r w:rsidRPr="009D7D44">
        <w:rPr>
          <w:sz w:val="22"/>
          <w:szCs w:val="22"/>
        </w:rPr>
        <w:t xml:space="preserve">variable but </w:t>
      </w:r>
      <w:r w:rsidR="00565669" w:rsidRPr="009D7D44">
        <w:rPr>
          <w:sz w:val="22"/>
          <w:szCs w:val="22"/>
        </w:rPr>
        <w:t>with a</w:t>
      </w:r>
      <w:r w:rsidR="00A91477" w:rsidRPr="009D7D44">
        <w:rPr>
          <w:sz w:val="22"/>
          <w:szCs w:val="22"/>
        </w:rPr>
        <w:t xml:space="preserve"> </w:t>
      </w:r>
      <w:r w:rsidR="005F534E" w:rsidRPr="009D7D44">
        <w:rPr>
          <w:sz w:val="22"/>
          <w:szCs w:val="22"/>
        </w:rPr>
        <w:t>slight</w:t>
      </w:r>
      <w:r w:rsidRPr="009D7D44">
        <w:rPr>
          <w:sz w:val="22"/>
          <w:szCs w:val="22"/>
        </w:rPr>
        <w:t xml:space="preserve"> increas</w:t>
      </w:r>
      <w:r w:rsidR="00565669" w:rsidRPr="009D7D44">
        <w:rPr>
          <w:sz w:val="22"/>
          <w:szCs w:val="22"/>
        </w:rPr>
        <w:t>e</w:t>
      </w:r>
      <w:r w:rsidRPr="009D7D44">
        <w:rPr>
          <w:sz w:val="22"/>
          <w:szCs w:val="22"/>
        </w:rPr>
        <w:t xml:space="preserve"> in recent years. </w:t>
      </w:r>
    </w:p>
    <w:p w:rsidR="00ED5044" w:rsidRPr="009D7D44" w:rsidRDefault="00ED5044" w:rsidP="00ED5044">
      <w:pPr>
        <w:keepNext/>
        <w:spacing w:after="120"/>
        <w:rPr>
          <w:i/>
          <w:sz w:val="22"/>
          <w:szCs w:val="22"/>
        </w:rPr>
      </w:pPr>
    </w:p>
    <w:p w:rsidR="00ED5044" w:rsidRPr="009D7D44" w:rsidRDefault="00ED5044" w:rsidP="00ED5044">
      <w:pPr>
        <w:keepNext/>
        <w:spacing w:after="120"/>
        <w:rPr>
          <w:i/>
          <w:sz w:val="22"/>
          <w:szCs w:val="22"/>
        </w:rPr>
      </w:pPr>
      <w:r w:rsidRPr="009D7D44">
        <w:rPr>
          <w:i/>
          <w:sz w:val="22"/>
          <w:szCs w:val="22"/>
        </w:rPr>
        <w:t>Tier determination/Plan Team discussion and resulting OFL and ABC determination</w:t>
      </w:r>
    </w:p>
    <w:p w:rsidR="00C63C02" w:rsidRPr="009D7D44" w:rsidRDefault="00ED5044" w:rsidP="00ED5044">
      <w:pPr>
        <w:autoSpaceDE w:val="0"/>
        <w:autoSpaceDN w:val="0"/>
        <w:adjustRightInd w:val="0"/>
        <w:rPr>
          <w:sz w:val="22"/>
          <w:szCs w:val="22"/>
        </w:rPr>
      </w:pPr>
      <w:r w:rsidRPr="009D7D44">
        <w:rPr>
          <w:sz w:val="22"/>
          <w:szCs w:val="22"/>
        </w:rPr>
        <w:t>The team recommended Tier 4</w:t>
      </w:r>
      <w:r w:rsidR="00B64D36" w:rsidRPr="009D7D44">
        <w:rPr>
          <w:sz w:val="22"/>
          <w:szCs w:val="22"/>
        </w:rPr>
        <w:t>,</w:t>
      </w:r>
      <w:r w:rsidRPr="009D7D44">
        <w:rPr>
          <w:sz w:val="22"/>
          <w:szCs w:val="22"/>
        </w:rPr>
        <w:t xml:space="preserve"> stock status</w:t>
      </w:r>
      <w:r w:rsidR="00B64D36" w:rsidRPr="009D7D44">
        <w:rPr>
          <w:sz w:val="22"/>
          <w:szCs w:val="22"/>
        </w:rPr>
        <w:t xml:space="preserve"> b,</w:t>
      </w:r>
      <w:r w:rsidRPr="009D7D44">
        <w:rPr>
          <w:sz w:val="22"/>
          <w:szCs w:val="22"/>
        </w:rPr>
        <w:t xml:space="preserve"> for Norton Sound red king crab. </w:t>
      </w:r>
      <w:r w:rsidR="00010F9F" w:rsidRPr="009D7D44">
        <w:rPr>
          <w:sz w:val="22"/>
          <w:szCs w:val="22"/>
        </w:rPr>
        <w:t>For t</w:t>
      </w:r>
      <w:r w:rsidR="004E7CE2" w:rsidRPr="009D7D44">
        <w:rPr>
          <w:sz w:val="22"/>
          <w:szCs w:val="22"/>
        </w:rPr>
        <w:t>he recommended Model 2io</w:t>
      </w:r>
      <w:r w:rsidR="00010F9F" w:rsidRPr="009D7D44">
        <w:rPr>
          <w:sz w:val="22"/>
          <w:szCs w:val="22"/>
        </w:rPr>
        <w:t>,</w:t>
      </w:r>
      <w:r w:rsidR="004E7CE2" w:rsidRPr="009D7D44">
        <w:rPr>
          <w:sz w:val="22"/>
          <w:szCs w:val="22"/>
        </w:rPr>
        <w:t xml:space="preserve"> the author presented stock status information for retained catch</w:t>
      </w:r>
      <w:r w:rsidR="00010F9F" w:rsidRPr="009D7D44">
        <w:rPr>
          <w:sz w:val="22"/>
          <w:szCs w:val="22"/>
        </w:rPr>
        <w:t xml:space="preserve">. </w:t>
      </w:r>
      <w:r w:rsidR="005341A7" w:rsidRPr="009D7D44">
        <w:rPr>
          <w:sz w:val="22"/>
          <w:szCs w:val="22"/>
        </w:rPr>
        <w:t>Model-based total catch estimates were provided, h</w:t>
      </w:r>
      <w:r w:rsidR="00010F9F" w:rsidRPr="009D7D44">
        <w:rPr>
          <w:sz w:val="22"/>
          <w:szCs w:val="22"/>
        </w:rPr>
        <w:t>owever,</w:t>
      </w:r>
      <w:r w:rsidR="004E7CE2" w:rsidRPr="009D7D44">
        <w:rPr>
          <w:sz w:val="22"/>
          <w:szCs w:val="22"/>
        </w:rPr>
        <w:t xml:space="preserve"> </w:t>
      </w:r>
      <w:r w:rsidR="005341A7" w:rsidRPr="009D7D44">
        <w:rPr>
          <w:sz w:val="22"/>
          <w:szCs w:val="22"/>
        </w:rPr>
        <w:t>these</w:t>
      </w:r>
      <w:r w:rsidR="004E7CE2" w:rsidRPr="009D7D44">
        <w:rPr>
          <w:sz w:val="22"/>
          <w:szCs w:val="22"/>
        </w:rPr>
        <w:t xml:space="preserve"> </w:t>
      </w:r>
      <w:r w:rsidR="00164184" w:rsidRPr="009D7D44">
        <w:rPr>
          <w:sz w:val="22"/>
          <w:szCs w:val="22"/>
        </w:rPr>
        <w:t xml:space="preserve">estimates </w:t>
      </w:r>
      <w:r w:rsidR="004E7CE2" w:rsidRPr="009D7D44">
        <w:rPr>
          <w:sz w:val="22"/>
          <w:szCs w:val="22"/>
        </w:rPr>
        <w:t>were model</w:t>
      </w:r>
      <w:r w:rsidR="00010F9F" w:rsidRPr="009D7D44">
        <w:rPr>
          <w:sz w:val="22"/>
          <w:szCs w:val="22"/>
        </w:rPr>
        <w:t>-</w:t>
      </w:r>
      <w:r w:rsidR="00164184" w:rsidRPr="009D7D44">
        <w:rPr>
          <w:sz w:val="22"/>
          <w:szCs w:val="22"/>
        </w:rPr>
        <w:t xml:space="preserve">generated </w:t>
      </w:r>
      <w:r w:rsidR="004E7CE2" w:rsidRPr="009D7D44">
        <w:rPr>
          <w:sz w:val="22"/>
          <w:szCs w:val="22"/>
        </w:rPr>
        <w:t>from</w:t>
      </w:r>
      <w:r w:rsidR="00164184" w:rsidRPr="009D7D44">
        <w:rPr>
          <w:sz w:val="22"/>
          <w:szCs w:val="22"/>
        </w:rPr>
        <w:t xml:space="preserve"> limited observer data </w:t>
      </w:r>
      <w:r w:rsidR="005341A7" w:rsidRPr="009D7D44">
        <w:rPr>
          <w:sz w:val="22"/>
          <w:szCs w:val="22"/>
        </w:rPr>
        <w:t>and the team did not recommend their use in generating a total catch OFL</w:t>
      </w:r>
      <w:r w:rsidR="00164184" w:rsidRPr="009D7D44">
        <w:rPr>
          <w:sz w:val="22"/>
          <w:szCs w:val="22"/>
        </w:rPr>
        <w:t>.</w:t>
      </w:r>
      <w:r w:rsidR="009A5121" w:rsidRPr="009D7D44">
        <w:rPr>
          <w:sz w:val="22"/>
          <w:szCs w:val="22"/>
        </w:rPr>
        <w:t xml:space="preserve">  Thus the</w:t>
      </w:r>
      <w:r w:rsidR="00B64D36" w:rsidRPr="009D7D44">
        <w:rPr>
          <w:sz w:val="22"/>
          <w:szCs w:val="22"/>
        </w:rPr>
        <w:t xml:space="preserve"> OFL and ABC are based on retained catch (only).</w:t>
      </w:r>
    </w:p>
    <w:p w:rsidR="004E7CE2" w:rsidRPr="009D7D44" w:rsidRDefault="004E7CE2" w:rsidP="00ED5044">
      <w:pPr>
        <w:autoSpaceDE w:val="0"/>
        <w:autoSpaceDN w:val="0"/>
        <w:adjustRightInd w:val="0"/>
        <w:rPr>
          <w:sz w:val="22"/>
          <w:szCs w:val="22"/>
        </w:rPr>
      </w:pPr>
    </w:p>
    <w:p w:rsidR="00ED5044" w:rsidRPr="009D7D44" w:rsidRDefault="00ED5044" w:rsidP="00ED5044">
      <w:pPr>
        <w:autoSpaceDE w:val="0"/>
        <w:autoSpaceDN w:val="0"/>
        <w:adjustRightInd w:val="0"/>
        <w:rPr>
          <w:sz w:val="22"/>
          <w:szCs w:val="22"/>
        </w:rPr>
      </w:pPr>
      <w:r w:rsidRPr="009D7D44">
        <w:rPr>
          <w:sz w:val="22"/>
          <w:szCs w:val="22"/>
        </w:rPr>
        <w:t>The estimated abundance and biomass in 201</w:t>
      </w:r>
      <w:r w:rsidR="008771D2" w:rsidRPr="009D7D44">
        <w:rPr>
          <w:sz w:val="22"/>
          <w:szCs w:val="22"/>
        </w:rPr>
        <w:t>4</w:t>
      </w:r>
      <w:r w:rsidRPr="009D7D44">
        <w:rPr>
          <w:sz w:val="22"/>
          <w:szCs w:val="22"/>
        </w:rPr>
        <w:t xml:space="preserve"> </w:t>
      </w:r>
      <w:r w:rsidR="008771D2" w:rsidRPr="009D7D44">
        <w:rPr>
          <w:sz w:val="22"/>
          <w:szCs w:val="22"/>
        </w:rPr>
        <w:t xml:space="preserve">using model 2io </w:t>
      </w:r>
      <w:r w:rsidRPr="009D7D44">
        <w:rPr>
          <w:sz w:val="22"/>
          <w:szCs w:val="22"/>
        </w:rPr>
        <w:t>are:</w:t>
      </w:r>
    </w:p>
    <w:p w:rsidR="00ED5044" w:rsidRPr="009D7D44" w:rsidRDefault="00ED5044" w:rsidP="00ED5044">
      <w:pPr>
        <w:rPr>
          <w:sz w:val="22"/>
          <w:szCs w:val="22"/>
        </w:rPr>
      </w:pPr>
      <w:r w:rsidRPr="009D7D44">
        <w:rPr>
          <w:sz w:val="22"/>
          <w:szCs w:val="22"/>
        </w:rPr>
        <w:t xml:space="preserve">Mature male biomass: </w:t>
      </w:r>
      <w:r w:rsidR="008771D2" w:rsidRPr="009D7D44">
        <w:rPr>
          <w:sz w:val="22"/>
          <w:szCs w:val="22"/>
        </w:rPr>
        <w:t>3.71</w:t>
      </w:r>
      <w:r w:rsidRPr="009D7D44">
        <w:rPr>
          <w:sz w:val="22"/>
          <w:szCs w:val="22"/>
        </w:rPr>
        <w:t xml:space="preserve"> million </w:t>
      </w:r>
      <w:proofErr w:type="spellStart"/>
      <w:r w:rsidRPr="009D7D44">
        <w:rPr>
          <w:sz w:val="22"/>
          <w:szCs w:val="22"/>
        </w:rPr>
        <w:t>lb</w:t>
      </w:r>
      <w:proofErr w:type="spellEnd"/>
      <w:r w:rsidRPr="009D7D44">
        <w:rPr>
          <w:sz w:val="22"/>
          <w:szCs w:val="22"/>
        </w:rPr>
        <w:t xml:space="preserve"> wi</w:t>
      </w:r>
      <w:r w:rsidR="008771D2" w:rsidRPr="009D7D44">
        <w:rPr>
          <w:sz w:val="22"/>
          <w:szCs w:val="22"/>
        </w:rPr>
        <w:t>th a standard deviation of 0.64</w:t>
      </w:r>
      <w:r w:rsidRPr="009D7D44">
        <w:rPr>
          <w:sz w:val="22"/>
          <w:szCs w:val="22"/>
        </w:rPr>
        <w:t xml:space="preserve"> million lb.</w:t>
      </w:r>
    </w:p>
    <w:p w:rsidR="00ED5044" w:rsidRPr="009D7D44" w:rsidRDefault="00ED5044" w:rsidP="00ED5044">
      <w:pPr>
        <w:rPr>
          <w:sz w:val="22"/>
          <w:szCs w:val="22"/>
        </w:rPr>
      </w:pPr>
    </w:p>
    <w:p w:rsidR="00ED5044" w:rsidRPr="009D7D44" w:rsidRDefault="00C63C02" w:rsidP="00E87656">
      <w:pPr>
        <w:rPr>
          <w:sz w:val="22"/>
          <w:szCs w:val="22"/>
        </w:rPr>
      </w:pPr>
      <w:r w:rsidRPr="009D7D44">
        <w:rPr>
          <w:sz w:val="22"/>
          <w:szCs w:val="22"/>
        </w:rPr>
        <w:t>T</w:t>
      </w:r>
      <w:r w:rsidR="00ED5044" w:rsidRPr="009D7D44">
        <w:rPr>
          <w:sz w:val="22"/>
          <w:szCs w:val="22"/>
        </w:rPr>
        <w:t xml:space="preserve">he </w:t>
      </w:r>
      <w:r w:rsidR="00ED5044" w:rsidRPr="009D7D44">
        <w:rPr>
          <w:i/>
          <w:iCs/>
          <w:sz w:val="22"/>
          <w:szCs w:val="22"/>
        </w:rPr>
        <w:t>B</w:t>
      </w:r>
      <w:r w:rsidR="00ED5044" w:rsidRPr="009D7D44">
        <w:rPr>
          <w:i/>
          <w:iCs/>
          <w:sz w:val="22"/>
          <w:szCs w:val="22"/>
          <w:vertAlign w:val="subscript"/>
        </w:rPr>
        <w:t>MSY</w:t>
      </w:r>
      <w:r w:rsidR="00ED5044" w:rsidRPr="009D7D44">
        <w:rPr>
          <w:i/>
          <w:iCs/>
          <w:sz w:val="22"/>
          <w:szCs w:val="22"/>
        </w:rPr>
        <w:t xml:space="preserve"> </w:t>
      </w:r>
      <w:r w:rsidR="00ED5044" w:rsidRPr="009D7D44">
        <w:rPr>
          <w:sz w:val="22"/>
          <w:szCs w:val="22"/>
          <w:vertAlign w:val="subscript"/>
        </w:rPr>
        <w:t>proxy</w:t>
      </w:r>
      <w:r w:rsidRPr="009D7D44">
        <w:rPr>
          <w:sz w:val="22"/>
          <w:szCs w:val="22"/>
        </w:rPr>
        <w:t xml:space="preserve">, calculated as the average of mature male biomass during 1980-2014, </w:t>
      </w:r>
      <w:r w:rsidR="00E87656" w:rsidRPr="009D7D44">
        <w:rPr>
          <w:sz w:val="22"/>
          <w:szCs w:val="22"/>
        </w:rPr>
        <w:t xml:space="preserve">was </w:t>
      </w:r>
      <w:r w:rsidR="00E87656" w:rsidRPr="009D7D44">
        <w:rPr>
          <w:i/>
          <w:iCs/>
          <w:sz w:val="22"/>
          <w:szCs w:val="22"/>
        </w:rPr>
        <w:t>B</w:t>
      </w:r>
      <w:r w:rsidR="00E87656" w:rsidRPr="009D7D44">
        <w:rPr>
          <w:i/>
          <w:iCs/>
          <w:sz w:val="22"/>
          <w:szCs w:val="22"/>
          <w:vertAlign w:val="subscript"/>
        </w:rPr>
        <w:t>MSY</w:t>
      </w:r>
      <w:r w:rsidR="00E87656" w:rsidRPr="009D7D44">
        <w:rPr>
          <w:i/>
          <w:iCs/>
          <w:sz w:val="22"/>
          <w:szCs w:val="22"/>
        </w:rPr>
        <w:t xml:space="preserve"> </w:t>
      </w:r>
      <w:r w:rsidR="00E87656" w:rsidRPr="009D7D44">
        <w:rPr>
          <w:sz w:val="22"/>
          <w:szCs w:val="22"/>
          <w:vertAlign w:val="subscript"/>
        </w:rPr>
        <w:t>proxy</w:t>
      </w:r>
      <w:r w:rsidR="00E87656" w:rsidRPr="009D7D44">
        <w:rPr>
          <w:sz w:val="22"/>
          <w:szCs w:val="22"/>
        </w:rPr>
        <w:t xml:space="preserve"> = 4.19 </w:t>
      </w:r>
      <w:r w:rsidR="00E87656" w:rsidRPr="009D7D44">
        <w:rPr>
          <w:sz w:val="22"/>
          <w:szCs w:val="22"/>
        </w:rPr>
        <w:lastRenderedPageBreak/>
        <w:t>million lb</w:t>
      </w:r>
      <w:r w:rsidR="00ED5044" w:rsidRPr="009D7D44">
        <w:rPr>
          <w:sz w:val="22"/>
          <w:szCs w:val="22"/>
        </w:rPr>
        <w:t>.</w:t>
      </w:r>
      <w:r w:rsidR="00E87656" w:rsidRPr="009D7D44">
        <w:rPr>
          <w:sz w:val="22"/>
          <w:szCs w:val="22"/>
        </w:rPr>
        <w:t xml:space="preserve"> The F</w:t>
      </w:r>
      <w:r w:rsidR="00E87656" w:rsidRPr="009D7D44">
        <w:rPr>
          <w:i/>
          <w:sz w:val="22"/>
          <w:szCs w:val="22"/>
          <w:vertAlign w:val="subscript"/>
        </w:rPr>
        <w:t>MSY</w:t>
      </w:r>
      <w:r w:rsidR="00E87656" w:rsidRPr="009D7D44">
        <w:rPr>
          <w:sz w:val="22"/>
          <w:szCs w:val="22"/>
        </w:rPr>
        <w:t xml:space="preserve"> </w:t>
      </w:r>
      <w:r w:rsidR="00E87656" w:rsidRPr="009D7D44">
        <w:rPr>
          <w:sz w:val="22"/>
          <w:szCs w:val="22"/>
          <w:vertAlign w:val="subscript"/>
        </w:rPr>
        <w:t>proxy</w:t>
      </w:r>
      <w:r w:rsidR="00E87656" w:rsidRPr="009D7D44">
        <w:rPr>
          <w:sz w:val="22"/>
          <w:szCs w:val="22"/>
        </w:rPr>
        <w:t xml:space="preserve"> is M =0.18 yr</w:t>
      </w:r>
      <w:r w:rsidR="00E87656" w:rsidRPr="009D7D44">
        <w:rPr>
          <w:sz w:val="22"/>
          <w:szCs w:val="22"/>
          <w:vertAlign w:val="superscript"/>
        </w:rPr>
        <w:t>-1</w:t>
      </w:r>
      <w:r w:rsidR="00E87656" w:rsidRPr="009D7D44">
        <w:rPr>
          <w:sz w:val="22"/>
          <w:szCs w:val="22"/>
        </w:rPr>
        <w:t xml:space="preserve"> and the F</w:t>
      </w:r>
      <w:r w:rsidR="00E87656" w:rsidRPr="009D7D44">
        <w:rPr>
          <w:sz w:val="22"/>
          <w:szCs w:val="22"/>
          <w:vertAlign w:val="subscript"/>
        </w:rPr>
        <w:t>OFL</w:t>
      </w:r>
      <w:r w:rsidR="00E87656" w:rsidRPr="009D7D44">
        <w:rPr>
          <w:sz w:val="22"/>
          <w:szCs w:val="22"/>
        </w:rPr>
        <w:t>=0.157yr</w:t>
      </w:r>
      <w:r w:rsidR="00E87656" w:rsidRPr="009D7D44">
        <w:rPr>
          <w:sz w:val="22"/>
          <w:szCs w:val="22"/>
          <w:vertAlign w:val="superscript"/>
        </w:rPr>
        <w:t>-1</w:t>
      </w:r>
      <w:r w:rsidR="00E87656" w:rsidRPr="009D7D44">
        <w:rPr>
          <w:sz w:val="22"/>
          <w:szCs w:val="22"/>
        </w:rPr>
        <w:t xml:space="preserve">, because the 2014 mature male biomass is less than </w:t>
      </w:r>
      <w:r w:rsidR="00E87656" w:rsidRPr="009D7D44">
        <w:rPr>
          <w:i/>
          <w:iCs/>
          <w:sz w:val="22"/>
          <w:szCs w:val="22"/>
        </w:rPr>
        <w:t>B</w:t>
      </w:r>
      <w:r w:rsidR="00E87656" w:rsidRPr="009D7D44">
        <w:rPr>
          <w:i/>
          <w:iCs/>
          <w:sz w:val="22"/>
          <w:szCs w:val="22"/>
          <w:vertAlign w:val="subscript"/>
        </w:rPr>
        <w:t>MSY</w:t>
      </w:r>
      <w:r w:rsidR="00E87656" w:rsidRPr="009D7D44">
        <w:rPr>
          <w:i/>
          <w:iCs/>
          <w:sz w:val="22"/>
          <w:szCs w:val="22"/>
        </w:rPr>
        <w:t xml:space="preserve"> </w:t>
      </w:r>
      <w:r w:rsidR="00E87656" w:rsidRPr="009D7D44">
        <w:rPr>
          <w:sz w:val="22"/>
          <w:szCs w:val="22"/>
          <w:vertAlign w:val="subscript"/>
        </w:rPr>
        <w:t>proxy</w:t>
      </w:r>
      <w:r w:rsidR="00E87656" w:rsidRPr="009D7D44">
        <w:rPr>
          <w:sz w:val="22"/>
          <w:szCs w:val="22"/>
        </w:rPr>
        <w:t xml:space="preserve"> with the CPT choosing the default of gamma =1.0, is.</w:t>
      </w:r>
    </w:p>
    <w:p w:rsidR="00164184" w:rsidRPr="009D7D44" w:rsidRDefault="00164184" w:rsidP="00ED5044">
      <w:pPr>
        <w:rPr>
          <w:sz w:val="22"/>
          <w:szCs w:val="22"/>
        </w:rPr>
      </w:pPr>
    </w:p>
    <w:p w:rsidR="00ED5044" w:rsidRPr="009D7D44" w:rsidRDefault="00ED5044" w:rsidP="00ED5044">
      <w:pPr>
        <w:rPr>
          <w:sz w:val="22"/>
          <w:szCs w:val="22"/>
        </w:rPr>
      </w:pPr>
      <w:r w:rsidRPr="009D7D44">
        <w:rPr>
          <w:sz w:val="22"/>
          <w:szCs w:val="22"/>
        </w:rPr>
        <w:t>The maximum permissible ABC would be 0.</w:t>
      </w:r>
      <w:r w:rsidR="004E7CE2" w:rsidRPr="009D7D44">
        <w:rPr>
          <w:sz w:val="22"/>
          <w:szCs w:val="22"/>
        </w:rPr>
        <w:t>463</w:t>
      </w:r>
      <w:r w:rsidRPr="009D7D44">
        <w:rPr>
          <w:sz w:val="22"/>
          <w:szCs w:val="22"/>
        </w:rPr>
        <w:t xml:space="preserve"> million </w:t>
      </w:r>
      <w:proofErr w:type="spellStart"/>
      <w:r w:rsidRPr="009D7D44">
        <w:rPr>
          <w:sz w:val="22"/>
          <w:szCs w:val="22"/>
        </w:rPr>
        <w:t>lb</w:t>
      </w:r>
      <w:proofErr w:type="spellEnd"/>
      <w:r w:rsidR="004E7CE2" w:rsidRPr="009D7D44">
        <w:rPr>
          <w:sz w:val="22"/>
          <w:szCs w:val="22"/>
        </w:rPr>
        <w:t>, based on retained catch</w:t>
      </w:r>
      <w:r w:rsidR="003E075A" w:rsidRPr="009D7D44">
        <w:rPr>
          <w:sz w:val="22"/>
          <w:szCs w:val="22"/>
        </w:rPr>
        <w:t xml:space="preserve">. </w:t>
      </w:r>
      <w:r w:rsidRPr="009D7D44">
        <w:rPr>
          <w:sz w:val="22"/>
          <w:szCs w:val="22"/>
        </w:rPr>
        <w:t xml:space="preserve">The CPT recommended an ABC less than the maximum permissible due to concerns with model specification, lack of </w:t>
      </w:r>
      <w:proofErr w:type="spellStart"/>
      <w:r w:rsidRPr="009D7D44">
        <w:rPr>
          <w:sz w:val="22"/>
          <w:szCs w:val="22"/>
        </w:rPr>
        <w:t>bycatch</w:t>
      </w:r>
      <w:proofErr w:type="spellEnd"/>
      <w:r w:rsidRPr="009D7D44">
        <w:rPr>
          <w:sz w:val="22"/>
          <w:szCs w:val="22"/>
        </w:rPr>
        <w:t xml:space="preserve"> data as well as issues noted with the M employed for the largest length group.  The CPT recommended an ABC = 90% of the OFL (10% buffer) of 0.4</w:t>
      </w:r>
      <w:r w:rsidR="00164184" w:rsidRPr="009D7D44">
        <w:rPr>
          <w:sz w:val="22"/>
          <w:szCs w:val="22"/>
        </w:rPr>
        <w:t>17</w:t>
      </w:r>
      <w:r w:rsidRPr="009D7D44">
        <w:rPr>
          <w:sz w:val="22"/>
          <w:szCs w:val="22"/>
        </w:rPr>
        <w:t xml:space="preserve"> million pounds.</w:t>
      </w:r>
    </w:p>
    <w:p w:rsidR="00C63C02" w:rsidRPr="009D7D44" w:rsidRDefault="00C63C02" w:rsidP="00ED5044">
      <w:pPr>
        <w:rPr>
          <w:sz w:val="22"/>
          <w:szCs w:val="22"/>
        </w:rPr>
      </w:pPr>
    </w:p>
    <w:p w:rsidR="00ED5044" w:rsidRPr="009D7D44" w:rsidRDefault="00ED5044" w:rsidP="00ED5044">
      <w:pPr>
        <w:keepNext/>
        <w:widowControl/>
        <w:jc w:val="both"/>
        <w:rPr>
          <w:i/>
          <w:sz w:val="22"/>
          <w:szCs w:val="22"/>
        </w:rPr>
      </w:pPr>
      <w:proofErr w:type="gramStart"/>
      <w:r w:rsidRPr="009D7D44">
        <w:rPr>
          <w:i/>
          <w:sz w:val="22"/>
          <w:szCs w:val="22"/>
        </w:rPr>
        <w:t>Status and catch specifications (million lbs.)</w:t>
      </w:r>
      <w:proofErr w:type="gramEnd"/>
    </w:p>
    <w:tbl>
      <w:tblPr>
        <w:tblW w:w="8640" w:type="dxa"/>
        <w:jc w:val="center"/>
        <w:tblLook w:val="04A0" w:firstRow="1" w:lastRow="0" w:firstColumn="1" w:lastColumn="0" w:noHBand="0" w:noVBand="1"/>
      </w:tblPr>
      <w:tblGrid>
        <w:gridCol w:w="938"/>
        <w:gridCol w:w="1067"/>
        <w:gridCol w:w="1260"/>
        <w:gridCol w:w="960"/>
        <w:gridCol w:w="1218"/>
        <w:gridCol w:w="963"/>
        <w:gridCol w:w="1017"/>
        <w:gridCol w:w="1217"/>
      </w:tblGrid>
      <w:tr w:rsidR="00ED5044" w:rsidRPr="009D7D44" w:rsidTr="00830C56">
        <w:trPr>
          <w:trHeight w:val="20"/>
          <w:jc w:val="center"/>
        </w:trPr>
        <w:tc>
          <w:tcPr>
            <w:tcW w:w="938" w:type="dxa"/>
            <w:tcBorders>
              <w:top w:val="single" w:sz="12" w:space="0" w:color="auto"/>
              <w:left w:val="nil"/>
              <w:bottom w:val="single" w:sz="12" w:space="0" w:color="auto"/>
              <w:right w:val="nil"/>
            </w:tcBorders>
            <w:shd w:val="clear" w:color="auto" w:fill="auto"/>
            <w:vAlign w:val="center"/>
          </w:tcPr>
          <w:p w:rsidR="00ED5044" w:rsidRPr="009D7D44" w:rsidRDefault="00ED5044" w:rsidP="00830C56">
            <w:pPr>
              <w:keepNext/>
              <w:widowControl/>
              <w:ind w:left="-426" w:firstLine="426"/>
              <w:jc w:val="center"/>
              <w:rPr>
                <w:b/>
                <w:bCs/>
                <w:sz w:val="22"/>
                <w:szCs w:val="22"/>
              </w:rPr>
            </w:pPr>
            <w:r w:rsidRPr="009D7D44">
              <w:rPr>
                <w:b/>
                <w:bCs/>
                <w:sz w:val="22"/>
                <w:szCs w:val="22"/>
              </w:rPr>
              <w:t>Year</w:t>
            </w:r>
          </w:p>
        </w:tc>
        <w:tc>
          <w:tcPr>
            <w:tcW w:w="1067"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MSST</w:t>
            </w:r>
          </w:p>
        </w:tc>
        <w:tc>
          <w:tcPr>
            <w:tcW w:w="1260" w:type="dxa"/>
            <w:tcBorders>
              <w:top w:val="single" w:sz="12" w:space="0" w:color="auto"/>
              <w:left w:val="nil"/>
              <w:bottom w:val="single" w:sz="12" w:space="0" w:color="auto"/>
              <w:right w:val="nil"/>
            </w:tcBorders>
            <w:shd w:val="clear" w:color="auto" w:fill="auto"/>
            <w:vAlign w:val="center"/>
          </w:tcPr>
          <w:p w:rsidR="00EB0C5B" w:rsidRPr="009D7D44" w:rsidRDefault="00EB0C5B" w:rsidP="00EB0C5B">
            <w:pPr>
              <w:keepNext/>
              <w:widowControl/>
              <w:ind w:left="-426" w:firstLine="426"/>
              <w:jc w:val="center"/>
              <w:rPr>
                <w:b/>
                <w:bCs/>
                <w:sz w:val="22"/>
                <w:szCs w:val="22"/>
              </w:rPr>
            </w:pPr>
            <w:r w:rsidRPr="009D7D44">
              <w:rPr>
                <w:b/>
                <w:bCs/>
                <w:sz w:val="22"/>
                <w:szCs w:val="22"/>
              </w:rPr>
              <w:t>Biomass</w:t>
            </w:r>
          </w:p>
          <w:p w:rsidR="00ED5044" w:rsidRPr="009D7D44" w:rsidRDefault="00ED5044" w:rsidP="00EB0C5B">
            <w:pPr>
              <w:keepNext/>
              <w:widowControl/>
              <w:ind w:left="-426" w:firstLine="426"/>
              <w:jc w:val="center"/>
              <w:rPr>
                <w:b/>
                <w:bCs/>
                <w:sz w:val="22"/>
                <w:szCs w:val="22"/>
              </w:rPr>
            </w:pPr>
            <w:r w:rsidRPr="009D7D44">
              <w:rPr>
                <w:b/>
                <w:bCs/>
                <w:sz w:val="22"/>
                <w:szCs w:val="22"/>
              </w:rPr>
              <w:t>(MMB)</w:t>
            </w:r>
          </w:p>
        </w:tc>
        <w:tc>
          <w:tcPr>
            <w:tcW w:w="960"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GHL</w:t>
            </w:r>
          </w:p>
        </w:tc>
        <w:tc>
          <w:tcPr>
            <w:tcW w:w="1218"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Retained Catch</w:t>
            </w:r>
          </w:p>
        </w:tc>
        <w:tc>
          <w:tcPr>
            <w:tcW w:w="963"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Total Catch</w:t>
            </w:r>
          </w:p>
        </w:tc>
        <w:tc>
          <w:tcPr>
            <w:tcW w:w="1017"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OFL</w:t>
            </w:r>
          </w:p>
        </w:tc>
        <w:tc>
          <w:tcPr>
            <w:tcW w:w="1217" w:type="dxa"/>
            <w:tcBorders>
              <w:top w:val="single" w:sz="12" w:space="0" w:color="auto"/>
              <w:left w:val="nil"/>
              <w:bottom w:val="single" w:sz="12" w:space="0" w:color="auto"/>
              <w:right w:val="nil"/>
            </w:tcBorders>
            <w:vAlign w:val="center"/>
          </w:tcPr>
          <w:p w:rsidR="00ED5044" w:rsidRPr="009D7D44" w:rsidRDefault="00ED5044" w:rsidP="00EB0C5B">
            <w:pPr>
              <w:keepNext/>
              <w:widowControl/>
              <w:ind w:left="-426" w:firstLine="426"/>
              <w:jc w:val="center"/>
              <w:rPr>
                <w:b/>
                <w:bCs/>
                <w:sz w:val="22"/>
                <w:szCs w:val="22"/>
              </w:rPr>
            </w:pPr>
            <w:r w:rsidRPr="009D7D44">
              <w:rPr>
                <w:b/>
                <w:bCs/>
                <w:sz w:val="22"/>
                <w:szCs w:val="22"/>
              </w:rPr>
              <w:t>ABC</w:t>
            </w:r>
          </w:p>
        </w:tc>
      </w:tr>
      <w:tr w:rsidR="00ED5044" w:rsidRPr="009D7D44" w:rsidTr="00830C56">
        <w:trPr>
          <w:trHeight w:val="20"/>
          <w:jc w:val="center"/>
        </w:trPr>
        <w:tc>
          <w:tcPr>
            <w:tcW w:w="938" w:type="dxa"/>
            <w:tcBorders>
              <w:top w:val="nil"/>
              <w:left w:val="nil"/>
              <w:right w:val="nil"/>
            </w:tcBorders>
            <w:shd w:val="clear" w:color="auto" w:fill="auto"/>
            <w:noWrap/>
            <w:vAlign w:val="bottom"/>
          </w:tcPr>
          <w:p w:rsidR="00ED5044" w:rsidRPr="009D7D44" w:rsidRDefault="00ED5044" w:rsidP="00830C56">
            <w:pPr>
              <w:keepNext/>
              <w:widowControl/>
              <w:ind w:left="-426" w:firstLine="426"/>
              <w:jc w:val="both"/>
              <w:rPr>
                <w:sz w:val="22"/>
                <w:szCs w:val="22"/>
              </w:rPr>
            </w:pPr>
            <w:r w:rsidRPr="009D7D44">
              <w:rPr>
                <w:sz w:val="22"/>
                <w:szCs w:val="22"/>
              </w:rPr>
              <w:t>2010/11</w:t>
            </w:r>
          </w:p>
        </w:tc>
        <w:tc>
          <w:tcPr>
            <w:tcW w:w="1067" w:type="dxa"/>
            <w:tcBorders>
              <w:top w:val="nil"/>
              <w:left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1.56</w:t>
            </w:r>
          </w:p>
        </w:tc>
        <w:tc>
          <w:tcPr>
            <w:tcW w:w="1260" w:type="dxa"/>
            <w:tcBorders>
              <w:top w:val="nil"/>
              <w:left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5.44</w:t>
            </w:r>
          </w:p>
        </w:tc>
        <w:tc>
          <w:tcPr>
            <w:tcW w:w="960" w:type="dxa"/>
            <w:tcBorders>
              <w:top w:val="nil"/>
              <w:left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0.40</w:t>
            </w:r>
          </w:p>
        </w:tc>
        <w:tc>
          <w:tcPr>
            <w:tcW w:w="1218" w:type="dxa"/>
            <w:tcBorders>
              <w:top w:val="nil"/>
              <w:left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0.42</w:t>
            </w:r>
          </w:p>
        </w:tc>
        <w:tc>
          <w:tcPr>
            <w:tcW w:w="963" w:type="dxa"/>
            <w:tcBorders>
              <w:top w:val="nil"/>
              <w:left w:val="nil"/>
              <w:right w:val="nil"/>
            </w:tcBorders>
            <w:shd w:val="clear" w:color="auto" w:fill="auto"/>
            <w:noWrap/>
            <w:vAlign w:val="center"/>
          </w:tcPr>
          <w:p w:rsidR="00ED5044" w:rsidRPr="009D7D44" w:rsidRDefault="00ED5044" w:rsidP="00EB0C5B">
            <w:pPr>
              <w:keepNext/>
              <w:widowControl/>
              <w:ind w:left="-426" w:firstLine="426"/>
              <w:jc w:val="center"/>
              <w:rPr>
                <w:sz w:val="22"/>
                <w:szCs w:val="22"/>
              </w:rPr>
            </w:pPr>
            <w:r w:rsidRPr="009D7D44">
              <w:rPr>
                <w:sz w:val="22"/>
                <w:szCs w:val="22"/>
              </w:rPr>
              <w:t>0.46</w:t>
            </w:r>
          </w:p>
        </w:tc>
        <w:tc>
          <w:tcPr>
            <w:tcW w:w="1017" w:type="dxa"/>
            <w:tcBorders>
              <w:top w:val="nil"/>
              <w:left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0.73</w:t>
            </w:r>
          </w:p>
        </w:tc>
        <w:tc>
          <w:tcPr>
            <w:tcW w:w="1217" w:type="dxa"/>
            <w:tcBorders>
              <w:top w:val="nil"/>
              <w:left w:val="nil"/>
              <w:right w:val="nil"/>
            </w:tcBorders>
          </w:tcPr>
          <w:p w:rsidR="00ED5044" w:rsidRPr="009D7D44" w:rsidRDefault="00ED5044" w:rsidP="00EB0C5B">
            <w:pPr>
              <w:keepNext/>
              <w:widowControl/>
              <w:ind w:left="-426" w:firstLine="426"/>
              <w:jc w:val="center"/>
              <w:rPr>
                <w:sz w:val="22"/>
                <w:szCs w:val="22"/>
              </w:rPr>
            </w:pPr>
          </w:p>
        </w:tc>
      </w:tr>
      <w:tr w:rsidR="00ED5044" w:rsidRPr="009D7D44" w:rsidTr="00830C56">
        <w:trPr>
          <w:trHeight w:val="20"/>
          <w:jc w:val="center"/>
        </w:trPr>
        <w:tc>
          <w:tcPr>
            <w:tcW w:w="938" w:type="dxa"/>
            <w:tcBorders>
              <w:top w:val="nil"/>
              <w:left w:val="nil"/>
              <w:bottom w:val="nil"/>
              <w:right w:val="nil"/>
            </w:tcBorders>
            <w:shd w:val="clear" w:color="auto" w:fill="auto"/>
            <w:noWrap/>
            <w:vAlign w:val="bottom"/>
          </w:tcPr>
          <w:p w:rsidR="00ED5044" w:rsidRPr="009D7D44" w:rsidRDefault="00ED5044" w:rsidP="00830C56">
            <w:pPr>
              <w:keepNext/>
              <w:widowControl/>
              <w:ind w:left="-426" w:firstLine="426"/>
              <w:jc w:val="both"/>
              <w:rPr>
                <w:sz w:val="22"/>
                <w:szCs w:val="22"/>
              </w:rPr>
            </w:pPr>
            <w:r w:rsidRPr="009D7D44">
              <w:rPr>
                <w:sz w:val="22"/>
                <w:szCs w:val="22"/>
              </w:rPr>
              <w:t>2011/12</w:t>
            </w:r>
          </w:p>
        </w:tc>
        <w:tc>
          <w:tcPr>
            <w:tcW w:w="1067"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1.56</w:t>
            </w:r>
          </w:p>
        </w:tc>
        <w:tc>
          <w:tcPr>
            <w:tcW w:w="1260"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4.70</w:t>
            </w:r>
          </w:p>
        </w:tc>
        <w:tc>
          <w:tcPr>
            <w:tcW w:w="960"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0.36</w:t>
            </w:r>
          </w:p>
        </w:tc>
        <w:tc>
          <w:tcPr>
            <w:tcW w:w="1218"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0.40</w:t>
            </w:r>
          </w:p>
        </w:tc>
        <w:tc>
          <w:tcPr>
            <w:tcW w:w="963"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0.43</w:t>
            </w:r>
          </w:p>
        </w:tc>
        <w:tc>
          <w:tcPr>
            <w:tcW w:w="1017"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0.66</w:t>
            </w:r>
          </w:p>
        </w:tc>
        <w:tc>
          <w:tcPr>
            <w:tcW w:w="1217" w:type="dxa"/>
            <w:tcBorders>
              <w:top w:val="nil"/>
              <w:left w:val="nil"/>
              <w:bottom w:val="nil"/>
              <w:right w:val="nil"/>
            </w:tcBorders>
          </w:tcPr>
          <w:p w:rsidR="00ED5044" w:rsidRPr="009D7D44" w:rsidRDefault="00ED5044" w:rsidP="00EB0C5B">
            <w:pPr>
              <w:keepNext/>
              <w:widowControl/>
              <w:ind w:left="-426" w:firstLine="426"/>
              <w:jc w:val="center"/>
              <w:rPr>
                <w:sz w:val="22"/>
                <w:szCs w:val="22"/>
              </w:rPr>
            </w:pPr>
            <w:r w:rsidRPr="009D7D44">
              <w:rPr>
                <w:sz w:val="22"/>
                <w:szCs w:val="22"/>
              </w:rPr>
              <w:t>0.59</w:t>
            </w:r>
          </w:p>
        </w:tc>
      </w:tr>
      <w:tr w:rsidR="00ED5044" w:rsidRPr="009D7D44" w:rsidTr="009C7303">
        <w:trPr>
          <w:trHeight w:val="20"/>
          <w:jc w:val="center"/>
        </w:trPr>
        <w:tc>
          <w:tcPr>
            <w:tcW w:w="938" w:type="dxa"/>
            <w:tcBorders>
              <w:top w:val="nil"/>
              <w:left w:val="nil"/>
              <w:bottom w:val="nil"/>
              <w:right w:val="nil"/>
            </w:tcBorders>
            <w:shd w:val="clear" w:color="auto" w:fill="auto"/>
            <w:noWrap/>
            <w:vAlign w:val="bottom"/>
          </w:tcPr>
          <w:p w:rsidR="00ED5044" w:rsidRPr="009D7D44" w:rsidRDefault="00ED5044" w:rsidP="00830C56">
            <w:pPr>
              <w:keepNext/>
              <w:widowControl/>
              <w:ind w:left="-426" w:firstLine="426"/>
              <w:jc w:val="both"/>
              <w:rPr>
                <w:sz w:val="22"/>
                <w:szCs w:val="22"/>
              </w:rPr>
            </w:pPr>
            <w:r w:rsidRPr="009D7D44">
              <w:rPr>
                <w:sz w:val="22"/>
                <w:szCs w:val="22"/>
              </w:rPr>
              <w:t>2012/13</w:t>
            </w:r>
          </w:p>
        </w:tc>
        <w:tc>
          <w:tcPr>
            <w:tcW w:w="1067"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1.76</w:t>
            </w:r>
          </w:p>
        </w:tc>
        <w:tc>
          <w:tcPr>
            <w:tcW w:w="1260"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4.59</w:t>
            </w:r>
          </w:p>
        </w:tc>
        <w:tc>
          <w:tcPr>
            <w:tcW w:w="960" w:type="dxa"/>
            <w:tcBorders>
              <w:top w:val="nil"/>
              <w:left w:val="nil"/>
              <w:bottom w:val="nil"/>
              <w:right w:val="nil"/>
            </w:tcBorders>
            <w:shd w:val="clear" w:color="auto" w:fill="auto"/>
            <w:noWrap/>
            <w:vAlign w:val="bottom"/>
          </w:tcPr>
          <w:p w:rsidR="00ED5044" w:rsidRPr="009D7D44" w:rsidRDefault="009C7303" w:rsidP="00EB0C5B">
            <w:pPr>
              <w:keepNext/>
              <w:widowControl/>
              <w:ind w:left="-426" w:firstLine="426"/>
              <w:jc w:val="center"/>
              <w:rPr>
                <w:sz w:val="22"/>
                <w:szCs w:val="22"/>
              </w:rPr>
            </w:pPr>
            <w:r w:rsidRPr="009D7D44">
              <w:rPr>
                <w:sz w:val="22"/>
                <w:szCs w:val="22"/>
              </w:rPr>
              <w:t>0.47</w:t>
            </w:r>
          </w:p>
        </w:tc>
        <w:tc>
          <w:tcPr>
            <w:tcW w:w="1218" w:type="dxa"/>
            <w:tcBorders>
              <w:top w:val="nil"/>
              <w:left w:val="nil"/>
              <w:bottom w:val="nil"/>
              <w:right w:val="nil"/>
            </w:tcBorders>
            <w:shd w:val="clear" w:color="auto" w:fill="auto"/>
            <w:noWrap/>
            <w:vAlign w:val="bottom"/>
          </w:tcPr>
          <w:p w:rsidR="00ED5044" w:rsidRPr="009D7D44" w:rsidRDefault="009C7303" w:rsidP="00EB0C5B">
            <w:pPr>
              <w:keepNext/>
              <w:widowControl/>
              <w:ind w:left="-426" w:firstLine="426"/>
              <w:jc w:val="center"/>
              <w:rPr>
                <w:sz w:val="22"/>
                <w:szCs w:val="22"/>
              </w:rPr>
            </w:pPr>
            <w:r w:rsidRPr="009D7D44">
              <w:rPr>
                <w:sz w:val="22"/>
                <w:szCs w:val="22"/>
              </w:rPr>
              <w:t>0.47</w:t>
            </w:r>
          </w:p>
        </w:tc>
        <w:tc>
          <w:tcPr>
            <w:tcW w:w="963" w:type="dxa"/>
            <w:tcBorders>
              <w:top w:val="nil"/>
              <w:left w:val="nil"/>
              <w:bottom w:val="nil"/>
              <w:right w:val="nil"/>
            </w:tcBorders>
            <w:shd w:val="clear" w:color="auto" w:fill="auto"/>
            <w:noWrap/>
            <w:vAlign w:val="bottom"/>
          </w:tcPr>
          <w:p w:rsidR="00ED5044" w:rsidRPr="009D7D44" w:rsidRDefault="009C7303" w:rsidP="00EB0C5B">
            <w:pPr>
              <w:keepNext/>
              <w:widowControl/>
              <w:ind w:left="-426" w:firstLine="426"/>
              <w:jc w:val="center"/>
              <w:rPr>
                <w:sz w:val="22"/>
                <w:szCs w:val="22"/>
              </w:rPr>
            </w:pPr>
            <w:r w:rsidRPr="009D7D44">
              <w:rPr>
                <w:sz w:val="22"/>
                <w:szCs w:val="22"/>
              </w:rPr>
              <w:t>0.47</w:t>
            </w:r>
          </w:p>
        </w:tc>
        <w:tc>
          <w:tcPr>
            <w:tcW w:w="1017" w:type="dxa"/>
            <w:tcBorders>
              <w:top w:val="nil"/>
              <w:left w:val="nil"/>
              <w:bottom w:val="nil"/>
              <w:right w:val="nil"/>
            </w:tcBorders>
            <w:shd w:val="clear" w:color="auto" w:fill="auto"/>
            <w:noWrap/>
            <w:vAlign w:val="bottom"/>
          </w:tcPr>
          <w:p w:rsidR="00ED5044" w:rsidRPr="009D7D44" w:rsidRDefault="00ED5044" w:rsidP="00EB0C5B">
            <w:pPr>
              <w:keepNext/>
              <w:widowControl/>
              <w:ind w:left="-426" w:firstLine="426"/>
              <w:jc w:val="center"/>
              <w:rPr>
                <w:sz w:val="22"/>
                <w:szCs w:val="22"/>
              </w:rPr>
            </w:pPr>
            <w:r w:rsidRPr="009D7D44">
              <w:rPr>
                <w:sz w:val="22"/>
                <w:szCs w:val="22"/>
              </w:rPr>
              <w:t>0.53</w:t>
            </w:r>
          </w:p>
        </w:tc>
        <w:tc>
          <w:tcPr>
            <w:tcW w:w="1217" w:type="dxa"/>
            <w:tcBorders>
              <w:top w:val="nil"/>
              <w:left w:val="nil"/>
              <w:bottom w:val="nil"/>
              <w:right w:val="nil"/>
            </w:tcBorders>
          </w:tcPr>
          <w:p w:rsidR="00ED5044" w:rsidRPr="009D7D44" w:rsidRDefault="00ED5044" w:rsidP="00EB0C5B">
            <w:pPr>
              <w:keepNext/>
              <w:widowControl/>
              <w:ind w:left="-426" w:firstLine="426"/>
              <w:jc w:val="center"/>
              <w:rPr>
                <w:sz w:val="22"/>
                <w:szCs w:val="22"/>
              </w:rPr>
            </w:pPr>
            <w:r w:rsidRPr="009D7D44">
              <w:rPr>
                <w:sz w:val="22"/>
                <w:szCs w:val="22"/>
              </w:rPr>
              <w:t>0.48</w:t>
            </w:r>
          </w:p>
        </w:tc>
      </w:tr>
      <w:tr w:rsidR="009C7303" w:rsidRPr="009D7D44" w:rsidTr="009C7303">
        <w:trPr>
          <w:trHeight w:val="20"/>
          <w:jc w:val="center"/>
        </w:trPr>
        <w:tc>
          <w:tcPr>
            <w:tcW w:w="938" w:type="dxa"/>
            <w:tcBorders>
              <w:top w:val="nil"/>
              <w:left w:val="nil"/>
              <w:bottom w:val="nil"/>
              <w:right w:val="nil"/>
            </w:tcBorders>
            <w:shd w:val="clear" w:color="auto" w:fill="auto"/>
            <w:noWrap/>
            <w:vAlign w:val="bottom"/>
          </w:tcPr>
          <w:p w:rsidR="009C7303" w:rsidRPr="009D7D44" w:rsidRDefault="009C7303" w:rsidP="009C7303">
            <w:pPr>
              <w:keepNext/>
              <w:widowControl/>
              <w:ind w:left="-426" w:firstLine="426"/>
              <w:jc w:val="both"/>
              <w:rPr>
                <w:sz w:val="22"/>
                <w:szCs w:val="22"/>
              </w:rPr>
            </w:pPr>
            <w:r w:rsidRPr="009D7D44">
              <w:rPr>
                <w:sz w:val="22"/>
                <w:szCs w:val="22"/>
              </w:rPr>
              <w:t>2013/14</w:t>
            </w:r>
          </w:p>
        </w:tc>
        <w:tc>
          <w:tcPr>
            <w:tcW w:w="1067"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2.06</w:t>
            </w:r>
          </w:p>
        </w:tc>
        <w:tc>
          <w:tcPr>
            <w:tcW w:w="1260"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5.00</w:t>
            </w:r>
          </w:p>
        </w:tc>
        <w:tc>
          <w:tcPr>
            <w:tcW w:w="960"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0.50</w:t>
            </w:r>
          </w:p>
        </w:tc>
        <w:tc>
          <w:tcPr>
            <w:tcW w:w="1218"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0.35</w:t>
            </w:r>
          </w:p>
        </w:tc>
        <w:tc>
          <w:tcPr>
            <w:tcW w:w="963"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0.35</w:t>
            </w:r>
          </w:p>
        </w:tc>
        <w:tc>
          <w:tcPr>
            <w:tcW w:w="1017"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0.58</w:t>
            </w:r>
          </w:p>
        </w:tc>
        <w:tc>
          <w:tcPr>
            <w:tcW w:w="1217" w:type="dxa"/>
            <w:tcBorders>
              <w:top w:val="nil"/>
              <w:left w:val="nil"/>
              <w:bottom w:val="nil"/>
              <w:right w:val="nil"/>
            </w:tcBorders>
          </w:tcPr>
          <w:p w:rsidR="009C7303" w:rsidRPr="009D7D44" w:rsidRDefault="009C7303" w:rsidP="00EB0C5B">
            <w:pPr>
              <w:keepNext/>
              <w:widowControl/>
              <w:ind w:left="-426" w:firstLine="426"/>
              <w:jc w:val="center"/>
              <w:rPr>
                <w:sz w:val="22"/>
                <w:szCs w:val="22"/>
              </w:rPr>
            </w:pPr>
            <w:r w:rsidRPr="009D7D44">
              <w:rPr>
                <w:sz w:val="22"/>
                <w:szCs w:val="22"/>
              </w:rPr>
              <w:t>0.52</w:t>
            </w:r>
          </w:p>
        </w:tc>
      </w:tr>
      <w:tr w:rsidR="009C7303" w:rsidRPr="009D7D44" w:rsidTr="00830C56">
        <w:trPr>
          <w:trHeight w:val="20"/>
          <w:jc w:val="center"/>
        </w:trPr>
        <w:tc>
          <w:tcPr>
            <w:tcW w:w="938" w:type="dxa"/>
            <w:tcBorders>
              <w:top w:val="nil"/>
              <w:left w:val="nil"/>
              <w:bottom w:val="single" w:sz="12" w:space="0" w:color="auto"/>
              <w:right w:val="nil"/>
            </w:tcBorders>
            <w:shd w:val="clear" w:color="auto" w:fill="auto"/>
            <w:noWrap/>
            <w:vAlign w:val="bottom"/>
          </w:tcPr>
          <w:p w:rsidR="009C7303" w:rsidRPr="009D7D44" w:rsidRDefault="009C7303" w:rsidP="00830C56">
            <w:pPr>
              <w:keepNext/>
              <w:widowControl/>
              <w:ind w:left="-426" w:firstLine="426"/>
              <w:jc w:val="both"/>
              <w:rPr>
                <w:sz w:val="22"/>
                <w:szCs w:val="22"/>
              </w:rPr>
            </w:pPr>
            <w:r w:rsidRPr="009D7D44">
              <w:rPr>
                <w:sz w:val="22"/>
                <w:szCs w:val="22"/>
              </w:rPr>
              <w:t>2014/15</w:t>
            </w:r>
          </w:p>
        </w:tc>
        <w:tc>
          <w:tcPr>
            <w:tcW w:w="1067"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2.11</w:t>
            </w:r>
          </w:p>
        </w:tc>
        <w:tc>
          <w:tcPr>
            <w:tcW w:w="1260"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3.71</w:t>
            </w:r>
          </w:p>
        </w:tc>
        <w:tc>
          <w:tcPr>
            <w:tcW w:w="960"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1218"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963"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1017"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0.46</w:t>
            </w:r>
          </w:p>
        </w:tc>
        <w:tc>
          <w:tcPr>
            <w:tcW w:w="1217" w:type="dxa"/>
            <w:tcBorders>
              <w:top w:val="nil"/>
              <w:left w:val="nil"/>
              <w:bottom w:val="single" w:sz="12" w:space="0" w:color="auto"/>
              <w:right w:val="nil"/>
            </w:tcBorders>
          </w:tcPr>
          <w:p w:rsidR="009C7303" w:rsidRPr="009D7D44" w:rsidRDefault="009C7303" w:rsidP="00EB0C5B">
            <w:pPr>
              <w:keepNext/>
              <w:widowControl/>
              <w:ind w:left="-426" w:firstLine="426"/>
              <w:jc w:val="center"/>
              <w:rPr>
                <w:sz w:val="22"/>
                <w:szCs w:val="22"/>
              </w:rPr>
            </w:pPr>
            <w:r w:rsidRPr="009D7D44">
              <w:rPr>
                <w:sz w:val="22"/>
                <w:szCs w:val="22"/>
              </w:rPr>
              <w:t>0.42</w:t>
            </w:r>
          </w:p>
        </w:tc>
      </w:tr>
    </w:tbl>
    <w:p w:rsidR="00ED5044" w:rsidRPr="009D7D44" w:rsidRDefault="00ED5044" w:rsidP="00ED5044">
      <w:pPr>
        <w:tabs>
          <w:tab w:val="left" w:pos="1519"/>
        </w:tabs>
        <w:jc w:val="both"/>
        <w:rPr>
          <w:i/>
          <w:sz w:val="22"/>
          <w:szCs w:val="22"/>
        </w:rPr>
      </w:pPr>
    </w:p>
    <w:p w:rsidR="00ED5044" w:rsidRPr="009D7D44" w:rsidRDefault="00ED5044" w:rsidP="00ED5044">
      <w:pPr>
        <w:tabs>
          <w:tab w:val="left" w:pos="1519"/>
        </w:tabs>
        <w:jc w:val="both"/>
        <w:rPr>
          <w:i/>
          <w:sz w:val="22"/>
          <w:szCs w:val="22"/>
        </w:rPr>
      </w:pPr>
      <w:r w:rsidRPr="009D7D44">
        <w:rPr>
          <w:i/>
          <w:sz w:val="22"/>
          <w:szCs w:val="22"/>
        </w:rPr>
        <w:t>Status and catch specifications (1000t)</w:t>
      </w:r>
    </w:p>
    <w:tbl>
      <w:tblPr>
        <w:tblW w:w="9067" w:type="dxa"/>
        <w:jc w:val="center"/>
        <w:tblLook w:val="04A0" w:firstRow="1" w:lastRow="0" w:firstColumn="1" w:lastColumn="0" w:noHBand="0" w:noVBand="1"/>
      </w:tblPr>
      <w:tblGrid>
        <w:gridCol w:w="1003"/>
        <w:gridCol w:w="1067"/>
        <w:gridCol w:w="1368"/>
        <w:gridCol w:w="852"/>
        <w:gridCol w:w="1470"/>
        <w:gridCol w:w="963"/>
        <w:gridCol w:w="945"/>
        <w:gridCol w:w="1399"/>
      </w:tblGrid>
      <w:tr w:rsidR="00ED5044" w:rsidRPr="009D7D44" w:rsidTr="00830C56">
        <w:trPr>
          <w:trHeight w:val="20"/>
          <w:jc w:val="center"/>
        </w:trPr>
        <w:tc>
          <w:tcPr>
            <w:tcW w:w="1003" w:type="dxa"/>
            <w:tcBorders>
              <w:top w:val="single" w:sz="12" w:space="0" w:color="auto"/>
              <w:left w:val="nil"/>
              <w:bottom w:val="single" w:sz="12" w:space="0" w:color="auto"/>
              <w:right w:val="nil"/>
            </w:tcBorders>
            <w:shd w:val="clear" w:color="auto" w:fill="auto"/>
            <w:vAlign w:val="center"/>
          </w:tcPr>
          <w:p w:rsidR="00ED5044" w:rsidRPr="009D7D44" w:rsidRDefault="00ED5044" w:rsidP="00830C56">
            <w:pPr>
              <w:jc w:val="both"/>
              <w:rPr>
                <w:b/>
                <w:bCs/>
                <w:sz w:val="22"/>
                <w:szCs w:val="22"/>
              </w:rPr>
            </w:pPr>
            <w:r w:rsidRPr="009D7D44">
              <w:rPr>
                <w:b/>
                <w:bCs/>
                <w:sz w:val="22"/>
                <w:szCs w:val="22"/>
              </w:rPr>
              <w:t>Year</w:t>
            </w:r>
          </w:p>
        </w:tc>
        <w:tc>
          <w:tcPr>
            <w:tcW w:w="1067"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jc w:val="center"/>
              <w:rPr>
                <w:b/>
                <w:bCs/>
                <w:sz w:val="22"/>
                <w:szCs w:val="22"/>
              </w:rPr>
            </w:pPr>
            <w:r w:rsidRPr="009D7D44">
              <w:rPr>
                <w:b/>
                <w:bCs/>
                <w:sz w:val="22"/>
                <w:szCs w:val="22"/>
              </w:rPr>
              <w:t>MSST</w:t>
            </w:r>
          </w:p>
        </w:tc>
        <w:tc>
          <w:tcPr>
            <w:tcW w:w="1368" w:type="dxa"/>
            <w:tcBorders>
              <w:top w:val="single" w:sz="12" w:space="0" w:color="auto"/>
              <w:left w:val="nil"/>
              <w:bottom w:val="single" w:sz="12" w:space="0" w:color="auto"/>
              <w:right w:val="nil"/>
            </w:tcBorders>
            <w:shd w:val="clear" w:color="auto" w:fill="auto"/>
            <w:vAlign w:val="center"/>
          </w:tcPr>
          <w:p w:rsidR="00EB0C5B" w:rsidRPr="009D7D44" w:rsidRDefault="00ED5044" w:rsidP="00EB0C5B">
            <w:pPr>
              <w:jc w:val="center"/>
              <w:rPr>
                <w:b/>
                <w:bCs/>
                <w:sz w:val="22"/>
                <w:szCs w:val="22"/>
              </w:rPr>
            </w:pPr>
            <w:r w:rsidRPr="009D7D44">
              <w:rPr>
                <w:b/>
                <w:bCs/>
                <w:sz w:val="22"/>
                <w:szCs w:val="22"/>
              </w:rPr>
              <w:t>Biomass</w:t>
            </w:r>
          </w:p>
          <w:p w:rsidR="00ED5044" w:rsidRPr="009D7D44" w:rsidRDefault="00ED5044" w:rsidP="00EB0C5B">
            <w:pPr>
              <w:jc w:val="center"/>
              <w:rPr>
                <w:b/>
                <w:bCs/>
                <w:sz w:val="22"/>
                <w:szCs w:val="22"/>
              </w:rPr>
            </w:pPr>
            <w:r w:rsidRPr="009D7D44">
              <w:rPr>
                <w:b/>
                <w:bCs/>
                <w:sz w:val="22"/>
                <w:szCs w:val="22"/>
              </w:rPr>
              <w:t>(MMB)</w:t>
            </w:r>
          </w:p>
        </w:tc>
        <w:tc>
          <w:tcPr>
            <w:tcW w:w="852"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jc w:val="center"/>
              <w:rPr>
                <w:b/>
                <w:bCs/>
                <w:sz w:val="22"/>
                <w:szCs w:val="22"/>
              </w:rPr>
            </w:pPr>
            <w:r w:rsidRPr="009D7D44">
              <w:rPr>
                <w:b/>
                <w:bCs/>
                <w:sz w:val="22"/>
                <w:szCs w:val="22"/>
              </w:rPr>
              <w:t>GHL</w:t>
            </w:r>
          </w:p>
        </w:tc>
        <w:tc>
          <w:tcPr>
            <w:tcW w:w="1470"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jc w:val="center"/>
              <w:rPr>
                <w:b/>
                <w:bCs/>
                <w:sz w:val="22"/>
                <w:szCs w:val="22"/>
              </w:rPr>
            </w:pPr>
            <w:r w:rsidRPr="009D7D44">
              <w:rPr>
                <w:b/>
                <w:bCs/>
                <w:sz w:val="22"/>
                <w:szCs w:val="22"/>
              </w:rPr>
              <w:t>Retained Catch</w:t>
            </w:r>
          </w:p>
        </w:tc>
        <w:tc>
          <w:tcPr>
            <w:tcW w:w="963"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jc w:val="center"/>
              <w:rPr>
                <w:b/>
                <w:bCs/>
                <w:sz w:val="22"/>
                <w:szCs w:val="22"/>
              </w:rPr>
            </w:pPr>
            <w:r w:rsidRPr="009D7D44">
              <w:rPr>
                <w:b/>
                <w:bCs/>
                <w:sz w:val="22"/>
                <w:szCs w:val="22"/>
              </w:rPr>
              <w:t>Total Catch</w:t>
            </w:r>
          </w:p>
        </w:tc>
        <w:tc>
          <w:tcPr>
            <w:tcW w:w="945" w:type="dxa"/>
            <w:tcBorders>
              <w:top w:val="single" w:sz="12" w:space="0" w:color="auto"/>
              <w:left w:val="nil"/>
              <w:bottom w:val="single" w:sz="12" w:space="0" w:color="auto"/>
              <w:right w:val="nil"/>
            </w:tcBorders>
            <w:shd w:val="clear" w:color="auto" w:fill="auto"/>
            <w:vAlign w:val="center"/>
          </w:tcPr>
          <w:p w:rsidR="00ED5044" w:rsidRPr="009D7D44" w:rsidRDefault="00ED5044" w:rsidP="00EB0C5B">
            <w:pPr>
              <w:jc w:val="center"/>
              <w:rPr>
                <w:b/>
                <w:bCs/>
                <w:sz w:val="22"/>
                <w:szCs w:val="22"/>
              </w:rPr>
            </w:pPr>
            <w:r w:rsidRPr="009D7D44">
              <w:rPr>
                <w:b/>
                <w:bCs/>
                <w:sz w:val="22"/>
                <w:szCs w:val="22"/>
              </w:rPr>
              <w:t>OFL</w:t>
            </w:r>
          </w:p>
        </w:tc>
        <w:tc>
          <w:tcPr>
            <w:tcW w:w="1399" w:type="dxa"/>
            <w:tcBorders>
              <w:top w:val="single" w:sz="12" w:space="0" w:color="auto"/>
              <w:left w:val="nil"/>
              <w:bottom w:val="single" w:sz="12" w:space="0" w:color="auto"/>
              <w:right w:val="nil"/>
            </w:tcBorders>
          </w:tcPr>
          <w:p w:rsidR="00ED5044" w:rsidRPr="009D7D44" w:rsidRDefault="00ED5044" w:rsidP="00EB0C5B">
            <w:pPr>
              <w:jc w:val="center"/>
              <w:rPr>
                <w:b/>
                <w:bCs/>
                <w:sz w:val="22"/>
                <w:szCs w:val="22"/>
              </w:rPr>
            </w:pPr>
            <w:r w:rsidRPr="009D7D44">
              <w:rPr>
                <w:b/>
                <w:bCs/>
                <w:sz w:val="22"/>
                <w:szCs w:val="22"/>
              </w:rPr>
              <w:t>ABC</w:t>
            </w:r>
          </w:p>
        </w:tc>
      </w:tr>
      <w:tr w:rsidR="00ED5044" w:rsidRPr="009D7D44" w:rsidTr="00830C56">
        <w:trPr>
          <w:trHeight w:val="20"/>
          <w:jc w:val="center"/>
        </w:trPr>
        <w:tc>
          <w:tcPr>
            <w:tcW w:w="1003" w:type="dxa"/>
            <w:tcBorders>
              <w:top w:val="nil"/>
              <w:left w:val="nil"/>
              <w:right w:val="nil"/>
            </w:tcBorders>
            <w:shd w:val="clear" w:color="auto" w:fill="auto"/>
            <w:noWrap/>
            <w:vAlign w:val="bottom"/>
          </w:tcPr>
          <w:p w:rsidR="00ED5044" w:rsidRPr="009D7D44" w:rsidRDefault="00ED5044" w:rsidP="00830C56">
            <w:pPr>
              <w:jc w:val="both"/>
              <w:rPr>
                <w:sz w:val="22"/>
                <w:szCs w:val="22"/>
              </w:rPr>
            </w:pPr>
            <w:r w:rsidRPr="009D7D44">
              <w:rPr>
                <w:sz w:val="22"/>
                <w:szCs w:val="22"/>
              </w:rPr>
              <w:t>2010/11</w:t>
            </w:r>
          </w:p>
        </w:tc>
        <w:tc>
          <w:tcPr>
            <w:tcW w:w="1067"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0.71</w:t>
            </w:r>
          </w:p>
        </w:tc>
        <w:tc>
          <w:tcPr>
            <w:tcW w:w="1368"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2.47</w:t>
            </w:r>
          </w:p>
        </w:tc>
        <w:tc>
          <w:tcPr>
            <w:tcW w:w="852"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0.18</w:t>
            </w:r>
          </w:p>
        </w:tc>
        <w:tc>
          <w:tcPr>
            <w:tcW w:w="1470"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0.19</w:t>
            </w:r>
          </w:p>
        </w:tc>
        <w:tc>
          <w:tcPr>
            <w:tcW w:w="963"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0.22</w:t>
            </w:r>
          </w:p>
        </w:tc>
        <w:tc>
          <w:tcPr>
            <w:tcW w:w="945" w:type="dxa"/>
            <w:tcBorders>
              <w:top w:val="nil"/>
              <w:left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0.33</w:t>
            </w:r>
          </w:p>
        </w:tc>
        <w:tc>
          <w:tcPr>
            <w:tcW w:w="1399" w:type="dxa"/>
            <w:tcBorders>
              <w:top w:val="nil"/>
              <w:left w:val="nil"/>
              <w:right w:val="nil"/>
            </w:tcBorders>
          </w:tcPr>
          <w:p w:rsidR="00ED5044" w:rsidRPr="009D7D44" w:rsidRDefault="00ED5044" w:rsidP="00EB0C5B">
            <w:pPr>
              <w:jc w:val="center"/>
              <w:rPr>
                <w:sz w:val="22"/>
                <w:szCs w:val="22"/>
              </w:rPr>
            </w:pPr>
          </w:p>
        </w:tc>
      </w:tr>
      <w:tr w:rsidR="00ED5044" w:rsidRPr="009D7D44" w:rsidTr="00830C56">
        <w:trPr>
          <w:trHeight w:val="20"/>
          <w:jc w:val="center"/>
        </w:trPr>
        <w:tc>
          <w:tcPr>
            <w:tcW w:w="1003" w:type="dxa"/>
            <w:tcBorders>
              <w:top w:val="nil"/>
              <w:left w:val="nil"/>
              <w:bottom w:val="nil"/>
              <w:right w:val="nil"/>
            </w:tcBorders>
            <w:shd w:val="clear" w:color="auto" w:fill="auto"/>
            <w:noWrap/>
            <w:vAlign w:val="bottom"/>
          </w:tcPr>
          <w:p w:rsidR="00ED5044" w:rsidRPr="009D7D44" w:rsidRDefault="00ED5044" w:rsidP="00830C56">
            <w:pPr>
              <w:jc w:val="both"/>
              <w:rPr>
                <w:sz w:val="22"/>
                <w:szCs w:val="22"/>
              </w:rPr>
            </w:pPr>
            <w:r w:rsidRPr="009D7D44">
              <w:rPr>
                <w:sz w:val="22"/>
                <w:szCs w:val="22"/>
              </w:rPr>
              <w:t>2011/12</w:t>
            </w:r>
          </w:p>
        </w:tc>
        <w:tc>
          <w:tcPr>
            <w:tcW w:w="1067"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0.71</w:t>
            </w:r>
          </w:p>
        </w:tc>
        <w:tc>
          <w:tcPr>
            <w:tcW w:w="1368"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2.13</w:t>
            </w:r>
          </w:p>
        </w:tc>
        <w:tc>
          <w:tcPr>
            <w:tcW w:w="852"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0.16</w:t>
            </w:r>
          </w:p>
        </w:tc>
        <w:tc>
          <w:tcPr>
            <w:tcW w:w="1470"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0.18</w:t>
            </w:r>
          </w:p>
        </w:tc>
        <w:tc>
          <w:tcPr>
            <w:tcW w:w="963"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0.20</w:t>
            </w:r>
          </w:p>
        </w:tc>
        <w:tc>
          <w:tcPr>
            <w:tcW w:w="945"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0.30</w:t>
            </w:r>
          </w:p>
        </w:tc>
        <w:tc>
          <w:tcPr>
            <w:tcW w:w="1399" w:type="dxa"/>
            <w:tcBorders>
              <w:top w:val="nil"/>
              <w:left w:val="nil"/>
              <w:bottom w:val="nil"/>
              <w:right w:val="nil"/>
            </w:tcBorders>
          </w:tcPr>
          <w:p w:rsidR="00ED5044" w:rsidRPr="009D7D44" w:rsidRDefault="00ED5044" w:rsidP="00EB0C5B">
            <w:pPr>
              <w:jc w:val="center"/>
              <w:rPr>
                <w:sz w:val="22"/>
                <w:szCs w:val="22"/>
              </w:rPr>
            </w:pPr>
            <w:r w:rsidRPr="009D7D44">
              <w:rPr>
                <w:sz w:val="22"/>
                <w:szCs w:val="22"/>
              </w:rPr>
              <w:t>0.27</w:t>
            </w:r>
          </w:p>
        </w:tc>
      </w:tr>
      <w:tr w:rsidR="00ED5044" w:rsidRPr="009D7D44" w:rsidTr="009C7303">
        <w:trPr>
          <w:trHeight w:val="20"/>
          <w:jc w:val="center"/>
        </w:trPr>
        <w:tc>
          <w:tcPr>
            <w:tcW w:w="1003" w:type="dxa"/>
            <w:tcBorders>
              <w:top w:val="nil"/>
              <w:left w:val="nil"/>
              <w:bottom w:val="nil"/>
              <w:right w:val="nil"/>
            </w:tcBorders>
            <w:shd w:val="clear" w:color="auto" w:fill="auto"/>
            <w:noWrap/>
            <w:vAlign w:val="bottom"/>
          </w:tcPr>
          <w:p w:rsidR="00ED5044" w:rsidRPr="009D7D44" w:rsidRDefault="00ED5044" w:rsidP="00830C56">
            <w:pPr>
              <w:jc w:val="both"/>
              <w:rPr>
                <w:sz w:val="22"/>
                <w:szCs w:val="22"/>
              </w:rPr>
            </w:pPr>
            <w:r w:rsidRPr="009D7D44">
              <w:rPr>
                <w:sz w:val="22"/>
                <w:szCs w:val="22"/>
              </w:rPr>
              <w:t>2012/13</w:t>
            </w:r>
          </w:p>
        </w:tc>
        <w:tc>
          <w:tcPr>
            <w:tcW w:w="1067"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0.8</w:t>
            </w:r>
            <w:r w:rsidR="009C7303" w:rsidRPr="009D7D44">
              <w:rPr>
                <w:sz w:val="22"/>
                <w:szCs w:val="22"/>
              </w:rPr>
              <w:t>1</w:t>
            </w:r>
          </w:p>
        </w:tc>
        <w:tc>
          <w:tcPr>
            <w:tcW w:w="1368"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2.08</w:t>
            </w:r>
          </w:p>
        </w:tc>
        <w:tc>
          <w:tcPr>
            <w:tcW w:w="852" w:type="dxa"/>
            <w:tcBorders>
              <w:top w:val="nil"/>
              <w:left w:val="nil"/>
              <w:bottom w:val="nil"/>
              <w:right w:val="nil"/>
            </w:tcBorders>
            <w:shd w:val="clear" w:color="auto" w:fill="auto"/>
            <w:noWrap/>
            <w:vAlign w:val="bottom"/>
          </w:tcPr>
          <w:p w:rsidR="00ED5044" w:rsidRPr="009D7D44" w:rsidRDefault="0047031D" w:rsidP="00EB0C5B">
            <w:pPr>
              <w:jc w:val="center"/>
              <w:rPr>
                <w:sz w:val="22"/>
                <w:szCs w:val="22"/>
              </w:rPr>
            </w:pPr>
            <w:r w:rsidRPr="009D7D44">
              <w:rPr>
                <w:sz w:val="22"/>
                <w:szCs w:val="22"/>
              </w:rPr>
              <w:t>0.21</w:t>
            </w:r>
          </w:p>
        </w:tc>
        <w:tc>
          <w:tcPr>
            <w:tcW w:w="1470" w:type="dxa"/>
            <w:tcBorders>
              <w:top w:val="nil"/>
              <w:left w:val="nil"/>
              <w:bottom w:val="nil"/>
              <w:right w:val="nil"/>
            </w:tcBorders>
            <w:shd w:val="clear" w:color="auto" w:fill="auto"/>
            <w:noWrap/>
            <w:vAlign w:val="bottom"/>
          </w:tcPr>
          <w:p w:rsidR="00ED5044" w:rsidRPr="009D7D44" w:rsidRDefault="0047031D" w:rsidP="00EB0C5B">
            <w:pPr>
              <w:jc w:val="center"/>
              <w:rPr>
                <w:sz w:val="22"/>
                <w:szCs w:val="22"/>
              </w:rPr>
            </w:pPr>
            <w:r w:rsidRPr="009D7D44">
              <w:rPr>
                <w:sz w:val="22"/>
                <w:szCs w:val="22"/>
              </w:rPr>
              <w:t>0.21</w:t>
            </w:r>
          </w:p>
        </w:tc>
        <w:tc>
          <w:tcPr>
            <w:tcW w:w="963" w:type="dxa"/>
            <w:tcBorders>
              <w:top w:val="nil"/>
              <w:left w:val="nil"/>
              <w:bottom w:val="nil"/>
              <w:right w:val="nil"/>
            </w:tcBorders>
            <w:shd w:val="clear" w:color="auto" w:fill="auto"/>
            <w:noWrap/>
            <w:vAlign w:val="bottom"/>
          </w:tcPr>
          <w:p w:rsidR="00ED5044" w:rsidRPr="009D7D44" w:rsidRDefault="0047031D" w:rsidP="00EB0C5B">
            <w:pPr>
              <w:jc w:val="center"/>
              <w:rPr>
                <w:sz w:val="22"/>
                <w:szCs w:val="22"/>
              </w:rPr>
            </w:pPr>
            <w:r w:rsidRPr="009D7D44">
              <w:rPr>
                <w:sz w:val="22"/>
                <w:szCs w:val="22"/>
              </w:rPr>
              <w:t>0.21</w:t>
            </w:r>
          </w:p>
        </w:tc>
        <w:tc>
          <w:tcPr>
            <w:tcW w:w="945" w:type="dxa"/>
            <w:tcBorders>
              <w:top w:val="nil"/>
              <w:left w:val="nil"/>
              <w:bottom w:val="nil"/>
              <w:right w:val="nil"/>
            </w:tcBorders>
            <w:shd w:val="clear" w:color="auto" w:fill="auto"/>
            <w:noWrap/>
            <w:vAlign w:val="bottom"/>
          </w:tcPr>
          <w:p w:rsidR="00ED5044" w:rsidRPr="009D7D44" w:rsidRDefault="00ED5044" w:rsidP="00EB0C5B">
            <w:pPr>
              <w:jc w:val="center"/>
              <w:rPr>
                <w:sz w:val="22"/>
                <w:szCs w:val="22"/>
              </w:rPr>
            </w:pPr>
            <w:r w:rsidRPr="009D7D44">
              <w:rPr>
                <w:sz w:val="22"/>
                <w:szCs w:val="22"/>
              </w:rPr>
              <w:t>0.24</w:t>
            </w:r>
          </w:p>
        </w:tc>
        <w:tc>
          <w:tcPr>
            <w:tcW w:w="1399" w:type="dxa"/>
            <w:tcBorders>
              <w:top w:val="nil"/>
              <w:left w:val="nil"/>
              <w:bottom w:val="nil"/>
              <w:right w:val="nil"/>
            </w:tcBorders>
          </w:tcPr>
          <w:p w:rsidR="00ED5044" w:rsidRPr="009D7D44" w:rsidRDefault="00ED5044" w:rsidP="00EB0C5B">
            <w:pPr>
              <w:jc w:val="center"/>
              <w:rPr>
                <w:sz w:val="22"/>
                <w:szCs w:val="22"/>
              </w:rPr>
            </w:pPr>
            <w:r w:rsidRPr="009D7D44">
              <w:rPr>
                <w:sz w:val="22"/>
                <w:szCs w:val="22"/>
              </w:rPr>
              <w:t>0.22</w:t>
            </w:r>
          </w:p>
        </w:tc>
      </w:tr>
      <w:tr w:rsidR="009C7303" w:rsidRPr="009D7D44" w:rsidTr="009C7303">
        <w:trPr>
          <w:trHeight w:val="20"/>
          <w:jc w:val="center"/>
        </w:trPr>
        <w:tc>
          <w:tcPr>
            <w:tcW w:w="1003" w:type="dxa"/>
            <w:tcBorders>
              <w:top w:val="nil"/>
              <w:left w:val="nil"/>
              <w:bottom w:val="nil"/>
              <w:right w:val="nil"/>
            </w:tcBorders>
            <w:shd w:val="clear" w:color="auto" w:fill="auto"/>
            <w:noWrap/>
            <w:vAlign w:val="bottom"/>
          </w:tcPr>
          <w:p w:rsidR="009C7303" w:rsidRPr="009D7D44" w:rsidRDefault="009C7303" w:rsidP="00830C56">
            <w:pPr>
              <w:keepNext/>
              <w:widowControl/>
              <w:ind w:left="-426" w:firstLine="426"/>
              <w:jc w:val="both"/>
              <w:rPr>
                <w:sz w:val="22"/>
                <w:szCs w:val="22"/>
              </w:rPr>
            </w:pPr>
            <w:r w:rsidRPr="009D7D44">
              <w:rPr>
                <w:sz w:val="22"/>
                <w:szCs w:val="22"/>
              </w:rPr>
              <w:t>2013/14</w:t>
            </w:r>
          </w:p>
        </w:tc>
        <w:tc>
          <w:tcPr>
            <w:tcW w:w="1067"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0.93</w:t>
            </w:r>
          </w:p>
        </w:tc>
        <w:tc>
          <w:tcPr>
            <w:tcW w:w="1368"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2.16</w:t>
            </w:r>
          </w:p>
        </w:tc>
        <w:tc>
          <w:tcPr>
            <w:tcW w:w="852"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23</w:t>
            </w:r>
          </w:p>
        </w:tc>
        <w:tc>
          <w:tcPr>
            <w:tcW w:w="1470"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16</w:t>
            </w:r>
          </w:p>
        </w:tc>
        <w:tc>
          <w:tcPr>
            <w:tcW w:w="963"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16</w:t>
            </w:r>
          </w:p>
        </w:tc>
        <w:tc>
          <w:tcPr>
            <w:tcW w:w="945" w:type="dxa"/>
            <w:tcBorders>
              <w:top w:val="nil"/>
              <w:left w:val="nil"/>
              <w:bottom w:val="nil"/>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26</w:t>
            </w:r>
          </w:p>
        </w:tc>
        <w:tc>
          <w:tcPr>
            <w:tcW w:w="1399" w:type="dxa"/>
            <w:tcBorders>
              <w:top w:val="nil"/>
              <w:left w:val="nil"/>
              <w:bottom w:val="nil"/>
              <w:right w:val="nil"/>
            </w:tcBorders>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24</w:t>
            </w:r>
          </w:p>
        </w:tc>
      </w:tr>
      <w:tr w:rsidR="009C7303" w:rsidRPr="009D7D44" w:rsidTr="00830C56">
        <w:trPr>
          <w:trHeight w:val="20"/>
          <w:jc w:val="center"/>
        </w:trPr>
        <w:tc>
          <w:tcPr>
            <w:tcW w:w="1003" w:type="dxa"/>
            <w:tcBorders>
              <w:top w:val="nil"/>
              <w:left w:val="nil"/>
              <w:bottom w:val="single" w:sz="12" w:space="0" w:color="auto"/>
              <w:right w:val="nil"/>
            </w:tcBorders>
            <w:shd w:val="clear" w:color="auto" w:fill="auto"/>
            <w:noWrap/>
            <w:vAlign w:val="bottom"/>
          </w:tcPr>
          <w:p w:rsidR="009C7303" w:rsidRPr="009D7D44" w:rsidRDefault="009C7303" w:rsidP="00830C56">
            <w:pPr>
              <w:keepNext/>
              <w:widowControl/>
              <w:ind w:left="-426" w:firstLine="426"/>
              <w:jc w:val="both"/>
              <w:rPr>
                <w:sz w:val="22"/>
                <w:szCs w:val="22"/>
              </w:rPr>
            </w:pPr>
            <w:r w:rsidRPr="009D7D44">
              <w:rPr>
                <w:sz w:val="22"/>
                <w:szCs w:val="22"/>
              </w:rPr>
              <w:t>2014/15</w:t>
            </w:r>
          </w:p>
        </w:tc>
        <w:tc>
          <w:tcPr>
            <w:tcW w:w="1067"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0.96</w:t>
            </w:r>
          </w:p>
        </w:tc>
        <w:tc>
          <w:tcPr>
            <w:tcW w:w="1368"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1.68</w:t>
            </w:r>
          </w:p>
        </w:tc>
        <w:tc>
          <w:tcPr>
            <w:tcW w:w="852"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1470"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963"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TBD</w:t>
            </w:r>
          </w:p>
        </w:tc>
        <w:tc>
          <w:tcPr>
            <w:tcW w:w="945" w:type="dxa"/>
            <w:tcBorders>
              <w:top w:val="nil"/>
              <w:left w:val="nil"/>
              <w:bottom w:val="single" w:sz="12" w:space="0" w:color="auto"/>
              <w:right w:val="nil"/>
            </w:tcBorders>
            <w:shd w:val="clear" w:color="auto" w:fill="auto"/>
            <w:noWrap/>
            <w:vAlign w:val="bottom"/>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21</w:t>
            </w:r>
          </w:p>
        </w:tc>
        <w:tc>
          <w:tcPr>
            <w:tcW w:w="1399" w:type="dxa"/>
            <w:tcBorders>
              <w:top w:val="nil"/>
              <w:left w:val="nil"/>
              <w:bottom w:val="single" w:sz="12" w:space="0" w:color="auto"/>
              <w:right w:val="nil"/>
            </w:tcBorders>
          </w:tcPr>
          <w:p w:rsidR="009C7303" w:rsidRPr="009D7D44" w:rsidRDefault="009C7303" w:rsidP="00EB0C5B">
            <w:pPr>
              <w:keepNext/>
              <w:widowControl/>
              <w:ind w:left="-426" w:firstLine="426"/>
              <w:jc w:val="center"/>
              <w:rPr>
                <w:sz w:val="22"/>
                <w:szCs w:val="22"/>
              </w:rPr>
            </w:pPr>
            <w:r w:rsidRPr="009D7D44">
              <w:rPr>
                <w:sz w:val="22"/>
                <w:szCs w:val="22"/>
              </w:rPr>
              <w:t>0.</w:t>
            </w:r>
            <w:r w:rsidR="0047031D" w:rsidRPr="009D7D44">
              <w:rPr>
                <w:sz w:val="22"/>
                <w:szCs w:val="22"/>
              </w:rPr>
              <w:t>19</w:t>
            </w:r>
          </w:p>
        </w:tc>
      </w:tr>
    </w:tbl>
    <w:p w:rsidR="00ED5044" w:rsidRPr="009D7D44" w:rsidRDefault="00ED5044" w:rsidP="00ED5044">
      <w:pPr>
        <w:jc w:val="both"/>
        <w:rPr>
          <w:sz w:val="22"/>
          <w:szCs w:val="22"/>
        </w:rPr>
      </w:pPr>
    </w:p>
    <w:p w:rsidR="00ED5044" w:rsidRPr="009D7D44" w:rsidRDefault="00ED5044" w:rsidP="00ED5044">
      <w:pPr>
        <w:jc w:val="both"/>
        <w:rPr>
          <w:sz w:val="22"/>
          <w:szCs w:val="22"/>
        </w:rPr>
      </w:pPr>
      <w:r w:rsidRPr="009D7D44">
        <w:rPr>
          <w:sz w:val="22"/>
          <w:szCs w:val="22"/>
        </w:rPr>
        <w:t>Total catch in 201</w:t>
      </w:r>
      <w:r w:rsidR="0047031D" w:rsidRPr="009D7D44">
        <w:rPr>
          <w:sz w:val="22"/>
          <w:szCs w:val="22"/>
        </w:rPr>
        <w:t>3</w:t>
      </w:r>
      <w:r w:rsidRPr="009D7D44">
        <w:rPr>
          <w:sz w:val="22"/>
          <w:szCs w:val="22"/>
        </w:rPr>
        <w:t>/1</w:t>
      </w:r>
      <w:r w:rsidR="0047031D" w:rsidRPr="009D7D44">
        <w:rPr>
          <w:sz w:val="22"/>
          <w:szCs w:val="22"/>
        </w:rPr>
        <w:t>4</w:t>
      </w:r>
      <w:r w:rsidRPr="009D7D44">
        <w:rPr>
          <w:sz w:val="22"/>
          <w:szCs w:val="22"/>
        </w:rPr>
        <w:t xml:space="preserve"> did not exceed the OFL for this stock thus o</w:t>
      </w:r>
      <w:r w:rsidR="0047031D" w:rsidRPr="009D7D44">
        <w:rPr>
          <w:sz w:val="22"/>
          <w:szCs w:val="22"/>
        </w:rPr>
        <w:t xml:space="preserve">verfishing is not occurring.  </w:t>
      </w:r>
      <w:r w:rsidRPr="009D7D44">
        <w:rPr>
          <w:sz w:val="22"/>
          <w:szCs w:val="22"/>
        </w:rPr>
        <w:t>Stock biomass is above MSST; thus, the stock is not overfished.</w:t>
      </w:r>
    </w:p>
    <w:p w:rsidR="00ED5044" w:rsidRPr="009D7D44" w:rsidRDefault="00ED5044" w:rsidP="00ED5044">
      <w:pPr>
        <w:rPr>
          <w:sz w:val="22"/>
          <w:szCs w:val="22"/>
        </w:rPr>
      </w:pPr>
    </w:p>
    <w:p w:rsidR="00ED5044" w:rsidRPr="009D7D44" w:rsidRDefault="00ED5044" w:rsidP="00ED5044">
      <w:pPr>
        <w:keepNext/>
        <w:spacing w:after="120"/>
        <w:rPr>
          <w:i/>
          <w:sz w:val="22"/>
          <w:szCs w:val="22"/>
        </w:rPr>
      </w:pPr>
      <w:r w:rsidRPr="009D7D44">
        <w:rPr>
          <w:i/>
          <w:sz w:val="22"/>
          <w:szCs w:val="22"/>
        </w:rPr>
        <w:t>Additional Plan Team recommendations</w:t>
      </w:r>
    </w:p>
    <w:p w:rsidR="00ED5044" w:rsidRPr="009D7D44" w:rsidRDefault="00736840" w:rsidP="00ED5044">
      <w:pPr>
        <w:rPr>
          <w:sz w:val="22"/>
          <w:szCs w:val="22"/>
        </w:rPr>
      </w:pPr>
      <w:r w:rsidRPr="009D7D44">
        <w:rPr>
          <w:rFonts w:eastAsiaTheme="minorHAnsi"/>
          <w:snapToGrid/>
          <w:sz w:val="22"/>
          <w:szCs w:val="22"/>
        </w:rPr>
        <w:t>The CPT has the following recommends for the next assessment:</w:t>
      </w:r>
    </w:p>
    <w:p w:rsidR="00ED5044" w:rsidRPr="009D7D44" w:rsidRDefault="00736840" w:rsidP="00DF3EDB">
      <w:pPr>
        <w:pStyle w:val="ListParagraph"/>
        <w:numPr>
          <w:ilvl w:val="0"/>
          <w:numId w:val="2"/>
        </w:numPr>
        <w:rPr>
          <w:sz w:val="22"/>
        </w:rPr>
      </w:pPr>
      <w:r w:rsidRPr="009D7D44">
        <w:rPr>
          <w:sz w:val="22"/>
        </w:rPr>
        <w:t>construct a likelihood profile for M for all size classes vs. a single M for the largest size class and a separate M for the remaining classes;</w:t>
      </w:r>
    </w:p>
    <w:p w:rsidR="00F15186" w:rsidRPr="009D7D44" w:rsidRDefault="00736840" w:rsidP="00DF3EDB">
      <w:pPr>
        <w:pStyle w:val="ListParagraph"/>
        <w:numPr>
          <w:ilvl w:val="0"/>
          <w:numId w:val="2"/>
        </w:numPr>
        <w:rPr>
          <w:sz w:val="22"/>
        </w:rPr>
      </w:pPr>
      <w:proofErr w:type="gramStart"/>
      <w:r w:rsidRPr="009D7D44">
        <w:rPr>
          <w:sz w:val="22"/>
        </w:rPr>
        <w:t>explore</w:t>
      </w:r>
      <w:proofErr w:type="gramEnd"/>
      <w:r w:rsidRPr="009D7D44">
        <w:rPr>
          <w:sz w:val="22"/>
        </w:rPr>
        <w:t xml:space="preserve"> different weighting schemes for the tag data</w:t>
      </w:r>
      <w:r w:rsidR="00DF3EDB" w:rsidRPr="009D7D44">
        <w:rPr>
          <w:sz w:val="22"/>
        </w:rPr>
        <w:t>.</w:t>
      </w:r>
    </w:p>
    <w:p w:rsidR="00654890" w:rsidRPr="009D7D44" w:rsidRDefault="00DB6E12">
      <w:pPr>
        <w:widowControl/>
        <w:spacing w:after="200" w:line="276" w:lineRule="auto"/>
        <w:rPr>
          <w:sz w:val="22"/>
          <w:szCs w:val="22"/>
        </w:rPr>
      </w:pPr>
      <w:r w:rsidRPr="009D7D44">
        <w:rPr>
          <w:sz w:val="22"/>
          <w:szCs w:val="22"/>
        </w:rPr>
        <w:t>Due to the availability of survey and catch data, the assessment cannot be finalized for the September CPT cycle as planned.  Thus the CPT recommends finalizing the assessment at a mid-year meeting (see CPT report for more details).</w:t>
      </w:r>
      <w:r w:rsidR="00654890" w:rsidRPr="009D7D44">
        <w:rPr>
          <w:sz w:val="22"/>
          <w:szCs w:val="22"/>
        </w:rPr>
        <w:br w:type="page"/>
      </w:r>
    </w:p>
    <w:p w:rsidR="00654890" w:rsidRPr="009D7D44" w:rsidRDefault="009D7D44" w:rsidP="009D7D44">
      <w:pPr>
        <w:pStyle w:val="Heading1"/>
        <w:jc w:val="left"/>
      </w:pPr>
      <w:r>
        <w:lastRenderedPageBreak/>
        <w:t xml:space="preserve">8. </w:t>
      </w:r>
      <w:r>
        <w:tab/>
      </w:r>
      <w:r w:rsidR="00654890" w:rsidRPr="009D7D44">
        <w:t>Aleutian Islands golden king crab</w:t>
      </w:r>
    </w:p>
    <w:p w:rsidR="00FD4F5C" w:rsidRDefault="00FD4F5C" w:rsidP="00654890">
      <w:pPr>
        <w:autoSpaceDE w:val="0"/>
        <w:autoSpaceDN w:val="0"/>
        <w:adjustRightInd w:val="0"/>
        <w:spacing w:after="120"/>
        <w:rPr>
          <w:i/>
          <w:iCs/>
          <w:sz w:val="22"/>
          <w:szCs w:val="22"/>
        </w:rPr>
      </w:pPr>
    </w:p>
    <w:p w:rsidR="00654890" w:rsidRPr="009D7D44" w:rsidRDefault="00654890" w:rsidP="00654890">
      <w:pPr>
        <w:autoSpaceDE w:val="0"/>
        <w:autoSpaceDN w:val="0"/>
        <w:adjustRightInd w:val="0"/>
        <w:spacing w:after="120"/>
        <w:rPr>
          <w:i/>
          <w:iCs/>
          <w:sz w:val="22"/>
          <w:szCs w:val="22"/>
        </w:rPr>
      </w:pPr>
      <w:r w:rsidRPr="009D7D44">
        <w:rPr>
          <w:i/>
          <w:iCs/>
          <w:sz w:val="22"/>
          <w:szCs w:val="22"/>
        </w:rPr>
        <w:t>Fishery information relative to OFL setting</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The directed fishery has been prosecuted annually since the 1981/82 season.  Retained catch peaked in 1986/87 at 14.7 million </w:t>
      </w:r>
      <w:proofErr w:type="spellStart"/>
      <w:r w:rsidRPr="009D7D44">
        <w:rPr>
          <w:sz w:val="22"/>
          <w:szCs w:val="22"/>
        </w:rPr>
        <w:t>lb</w:t>
      </w:r>
      <w:proofErr w:type="spellEnd"/>
      <w:r w:rsidRPr="009D7D44">
        <w:rPr>
          <w:sz w:val="22"/>
          <w:szCs w:val="22"/>
        </w:rPr>
        <w:t xml:space="preserve"> and averaged 11.9 million </w:t>
      </w:r>
      <w:proofErr w:type="spellStart"/>
      <w:r w:rsidRPr="009D7D44">
        <w:rPr>
          <w:sz w:val="22"/>
          <w:szCs w:val="22"/>
        </w:rPr>
        <w:t>lb</w:t>
      </w:r>
      <w:proofErr w:type="spellEnd"/>
      <w:r w:rsidRPr="009D7D44">
        <w:rPr>
          <w:sz w:val="22"/>
          <w:szCs w:val="22"/>
        </w:rPr>
        <w:t xml:space="preserve"> over the 1985/86-1989/90 seasons.  Average harvests dropped sharply from 1989/90 to 1990/91 to a level of 6.9 million </w:t>
      </w:r>
      <w:proofErr w:type="spellStart"/>
      <w:r w:rsidRPr="009D7D44">
        <w:rPr>
          <w:sz w:val="22"/>
          <w:szCs w:val="22"/>
        </w:rPr>
        <w:t>lb</w:t>
      </w:r>
      <w:proofErr w:type="spellEnd"/>
      <w:r w:rsidRPr="009D7D44">
        <w:rPr>
          <w:sz w:val="22"/>
          <w:szCs w:val="22"/>
        </w:rPr>
        <w:t xml:space="preserve"> for the period 1990/91–1995/96.  Management based on a formally established GHL began with the 1996/97 season.  The 5.9 million </w:t>
      </w:r>
      <w:proofErr w:type="spellStart"/>
      <w:r w:rsidRPr="009D7D44">
        <w:rPr>
          <w:sz w:val="22"/>
          <w:szCs w:val="22"/>
        </w:rPr>
        <w:t>lb</w:t>
      </w:r>
      <w:proofErr w:type="spellEnd"/>
      <w:r w:rsidRPr="009D7D44">
        <w:rPr>
          <w:sz w:val="22"/>
          <w:szCs w:val="22"/>
        </w:rPr>
        <w:t xml:space="preserve"> GHL established for the 1996/97 season, which was based on the previous five-year average catch, was subsequently reduced to 5.7 million </w:t>
      </w:r>
      <w:proofErr w:type="spellStart"/>
      <w:r w:rsidRPr="009D7D44">
        <w:rPr>
          <w:sz w:val="22"/>
          <w:szCs w:val="22"/>
        </w:rPr>
        <w:t>lb</w:t>
      </w:r>
      <w:proofErr w:type="spellEnd"/>
      <w:r w:rsidRPr="009D7D44">
        <w:rPr>
          <w:sz w:val="22"/>
          <w:szCs w:val="22"/>
        </w:rPr>
        <w:t xml:space="preserve"> beginning in 1998/99.  The GHL (or TAC, since 2005/06) remained at 5.7 million </w:t>
      </w:r>
      <w:proofErr w:type="spellStart"/>
      <w:r w:rsidRPr="009D7D44">
        <w:rPr>
          <w:sz w:val="22"/>
          <w:szCs w:val="22"/>
        </w:rPr>
        <w:t>lb</w:t>
      </w:r>
      <w:proofErr w:type="spellEnd"/>
      <w:r w:rsidRPr="009D7D44">
        <w:rPr>
          <w:sz w:val="22"/>
          <w:szCs w:val="22"/>
        </w:rPr>
        <w:t xml:space="preserve"> for 2007/08, but was increased to 6.0 million </w:t>
      </w:r>
      <w:proofErr w:type="spellStart"/>
      <w:r w:rsidRPr="009D7D44">
        <w:rPr>
          <w:sz w:val="22"/>
          <w:szCs w:val="22"/>
        </w:rPr>
        <w:t>lb</w:t>
      </w:r>
      <w:proofErr w:type="spellEnd"/>
      <w:r w:rsidRPr="009D7D44">
        <w:rPr>
          <w:sz w:val="22"/>
          <w:szCs w:val="22"/>
        </w:rPr>
        <w:t xml:space="preserve"> for the 2008/09-2011/12 seasons, and to 6.3 million </w:t>
      </w:r>
      <w:proofErr w:type="spellStart"/>
      <w:r w:rsidRPr="009D7D44">
        <w:rPr>
          <w:sz w:val="22"/>
          <w:szCs w:val="22"/>
        </w:rPr>
        <w:t>lb</w:t>
      </w:r>
      <w:proofErr w:type="spellEnd"/>
      <w:r w:rsidRPr="009D7D44">
        <w:rPr>
          <w:sz w:val="22"/>
          <w:szCs w:val="22"/>
        </w:rPr>
        <w:t xml:space="preserve"> for the 2012/13 and 2013/2014 seasons. Average annual retained catch for the period 1996/97–2007/08 was 5.6 million </w:t>
      </w:r>
      <w:proofErr w:type="spellStart"/>
      <w:proofErr w:type="gramStart"/>
      <w:r w:rsidRPr="009D7D44">
        <w:rPr>
          <w:sz w:val="22"/>
          <w:szCs w:val="22"/>
        </w:rPr>
        <w:t>lb</w:t>
      </w:r>
      <w:proofErr w:type="spellEnd"/>
      <w:r w:rsidRPr="009D7D44">
        <w:rPr>
          <w:sz w:val="22"/>
          <w:szCs w:val="22"/>
        </w:rPr>
        <w:t>,</w:t>
      </w:r>
      <w:proofErr w:type="gramEnd"/>
      <w:r w:rsidRPr="009D7D44">
        <w:rPr>
          <w:sz w:val="22"/>
          <w:szCs w:val="22"/>
        </w:rPr>
        <w:t xml:space="preserve"> and 6.0 million </w:t>
      </w:r>
      <w:proofErr w:type="spellStart"/>
      <w:r w:rsidRPr="009D7D44">
        <w:rPr>
          <w:sz w:val="22"/>
          <w:szCs w:val="22"/>
        </w:rPr>
        <w:t>lb</w:t>
      </w:r>
      <w:proofErr w:type="spellEnd"/>
      <w:r w:rsidRPr="009D7D44">
        <w:rPr>
          <w:sz w:val="22"/>
          <w:szCs w:val="22"/>
        </w:rPr>
        <w:t xml:space="preserve"> for the period 2008/09-2012/13. The retained catch for 2012/13 was 6.3 million lb. This fishery is rationalized under the Crab Rationalization Program.  The 2013/14 season ends by regulation on 15 May 2013.</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Non-retained </w:t>
      </w:r>
      <w:proofErr w:type="spellStart"/>
      <w:r w:rsidRPr="009D7D44">
        <w:rPr>
          <w:sz w:val="22"/>
          <w:szCs w:val="22"/>
        </w:rPr>
        <w:t>bycatch</w:t>
      </w:r>
      <w:proofErr w:type="spellEnd"/>
      <w:r w:rsidRPr="009D7D44">
        <w:rPr>
          <w:sz w:val="22"/>
          <w:szCs w:val="22"/>
        </w:rPr>
        <w:t xml:space="preserve"> occurs mainly in the directed fishery, and to a minor extent in other crab fisheries.  </w:t>
      </w:r>
      <w:proofErr w:type="spellStart"/>
      <w:r w:rsidRPr="009D7D44">
        <w:rPr>
          <w:sz w:val="22"/>
          <w:szCs w:val="22"/>
        </w:rPr>
        <w:t>Bycatch</w:t>
      </w:r>
      <w:proofErr w:type="spellEnd"/>
      <w:r w:rsidRPr="009D7D44">
        <w:rPr>
          <w:sz w:val="22"/>
          <w:szCs w:val="22"/>
        </w:rPr>
        <w:t xml:space="preserve"> also occurs in fixed-gear and trawl </w:t>
      </w:r>
      <w:proofErr w:type="spellStart"/>
      <w:r w:rsidRPr="009D7D44">
        <w:rPr>
          <w:sz w:val="22"/>
          <w:szCs w:val="22"/>
        </w:rPr>
        <w:t>groundfish</w:t>
      </w:r>
      <w:proofErr w:type="spellEnd"/>
      <w:r w:rsidRPr="009D7D44">
        <w:rPr>
          <w:sz w:val="22"/>
          <w:szCs w:val="22"/>
        </w:rPr>
        <w:t xml:space="preserve"> fisheries although that </w:t>
      </w:r>
      <w:proofErr w:type="spellStart"/>
      <w:r w:rsidRPr="009D7D44">
        <w:rPr>
          <w:sz w:val="22"/>
          <w:szCs w:val="22"/>
        </w:rPr>
        <w:t>bycatch</w:t>
      </w:r>
      <w:proofErr w:type="spellEnd"/>
      <w:r w:rsidRPr="009D7D44">
        <w:rPr>
          <w:sz w:val="22"/>
          <w:szCs w:val="22"/>
        </w:rPr>
        <w:t xml:space="preserve"> is low relative to the weight of </w:t>
      </w:r>
      <w:proofErr w:type="spellStart"/>
      <w:r w:rsidRPr="009D7D44">
        <w:rPr>
          <w:sz w:val="22"/>
          <w:szCs w:val="22"/>
        </w:rPr>
        <w:t>bycatch</w:t>
      </w:r>
      <w:proofErr w:type="spellEnd"/>
      <w:r w:rsidRPr="009D7D44">
        <w:rPr>
          <w:sz w:val="22"/>
          <w:szCs w:val="22"/>
        </w:rPr>
        <w:t xml:space="preserve"> in the directed fishery.  Total annual non-retained catch of golden king crab during crab fisheries has decreased relative to the retained catch since the 1990s.  It decreased from 13.8 million </w:t>
      </w:r>
      <w:proofErr w:type="spellStart"/>
      <w:r w:rsidRPr="009D7D44">
        <w:rPr>
          <w:sz w:val="22"/>
          <w:szCs w:val="22"/>
        </w:rPr>
        <w:t>lb</w:t>
      </w:r>
      <w:proofErr w:type="spellEnd"/>
      <w:r w:rsidRPr="009D7D44">
        <w:rPr>
          <w:sz w:val="22"/>
          <w:szCs w:val="22"/>
        </w:rPr>
        <w:t xml:space="preserve"> in 1990/91 (199% of the retained catch) to 9.1 million </w:t>
      </w:r>
      <w:proofErr w:type="spellStart"/>
      <w:r w:rsidRPr="009D7D44">
        <w:rPr>
          <w:sz w:val="22"/>
          <w:szCs w:val="22"/>
        </w:rPr>
        <w:t>lb</w:t>
      </w:r>
      <w:proofErr w:type="spellEnd"/>
      <w:r w:rsidRPr="009D7D44">
        <w:rPr>
          <w:sz w:val="22"/>
          <w:szCs w:val="22"/>
        </w:rPr>
        <w:t xml:space="preserve"> in 1996/97 (156% of the retained catch), and to 4.3 million </w:t>
      </w:r>
      <w:proofErr w:type="spellStart"/>
      <w:r w:rsidRPr="009D7D44">
        <w:rPr>
          <w:sz w:val="22"/>
          <w:szCs w:val="22"/>
        </w:rPr>
        <w:t>lb</w:t>
      </w:r>
      <w:proofErr w:type="spellEnd"/>
      <w:r w:rsidRPr="009D7D44">
        <w:rPr>
          <w:sz w:val="22"/>
          <w:szCs w:val="22"/>
        </w:rPr>
        <w:t xml:space="preserve"> in the 2004/05 season (78% of the retained catch). </w:t>
      </w:r>
      <w:proofErr w:type="spellStart"/>
      <w:r w:rsidRPr="009D7D44">
        <w:rPr>
          <w:sz w:val="22"/>
          <w:szCs w:val="22"/>
        </w:rPr>
        <w:t>Bycatch</w:t>
      </w:r>
      <w:proofErr w:type="spellEnd"/>
      <w:r w:rsidRPr="009D7D44">
        <w:rPr>
          <w:sz w:val="22"/>
          <w:szCs w:val="22"/>
        </w:rPr>
        <w:t xml:space="preserve"> in the post-rationalized fishery (2005/06-2012/13) has ranged from 2.5 million </w:t>
      </w:r>
      <w:proofErr w:type="spellStart"/>
      <w:r w:rsidRPr="009D7D44">
        <w:rPr>
          <w:sz w:val="22"/>
          <w:szCs w:val="22"/>
        </w:rPr>
        <w:t>lb</w:t>
      </w:r>
      <w:proofErr w:type="spellEnd"/>
      <w:r w:rsidRPr="009D7D44">
        <w:rPr>
          <w:sz w:val="22"/>
          <w:szCs w:val="22"/>
        </w:rPr>
        <w:t xml:space="preserve"> in 2005/06 (46% of the retained catch) to just over 3.0 million </w:t>
      </w:r>
      <w:proofErr w:type="spellStart"/>
      <w:r w:rsidRPr="009D7D44">
        <w:rPr>
          <w:sz w:val="22"/>
          <w:szCs w:val="22"/>
        </w:rPr>
        <w:t>lb</w:t>
      </w:r>
      <w:proofErr w:type="spellEnd"/>
      <w:r w:rsidRPr="009D7D44">
        <w:rPr>
          <w:sz w:val="22"/>
          <w:szCs w:val="22"/>
        </w:rPr>
        <w:t xml:space="preserve"> for 2007/08 (55% of the retained catch). </w:t>
      </w:r>
      <w:proofErr w:type="spellStart"/>
      <w:r w:rsidRPr="009D7D44">
        <w:rPr>
          <w:sz w:val="22"/>
          <w:szCs w:val="22"/>
        </w:rPr>
        <w:t>Bycatch</w:t>
      </w:r>
      <w:proofErr w:type="spellEnd"/>
      <w:r w:rsidRPr="009D7D44">
        <w:rPr>
          <w:sz w:val="22"/>
          <w:szCs w:val="22"/>
        </w:rPr>
        <w:t xml:space="preserve"> mortality has correspondingly decreased since 1996/97 both in absolute weight and relative to the retained catch weight.  Estimated total mortality (retained catch plus </w:t>
      </w:r>
      <w:proofErr w:type="spellStart"/>
      <w:r w:rsidRPr="009D7D44">
        <w:rPr>
          <w:sz w:val="22"/>
          <w:szCs w:val="22"/>
        </w:rPr>
        <w:t>bycatch</w:t>
      </w:r>
      <w:proofErr w:type="spellEnd"/>
      <w:r w:rsidRPr="009D7D44">
        <w:rPr>
          <w:sz w:val="22"/>
          <w:szCs w:val="22"/>
        </w:rPr>
        <w:t xml:space="preserve"> in crab and </w:t>
      </w:r>
      <w:proofErr w:type="spellStart"/>
      <w:r w:rsidRPr="009D7D44">
        <w:rPr>
          <w:sz w:val="22"/>
          <w:szCs w:val="22"/>
        </w:rPr>
        <w:t>groundfish</w:t>
      </w:r>
      <w:proofErr w:type="spellEnd"/>
      <w:r w:rsidRPr="009D7D44">
        <w:rPr>
          <w:sz w:val="22"/>
          <w:szCs w:val="22"/>
        </w:rPr>
        <w:t xml:space="preserve"> fisheries) ranged from 5.8-9.4 million </w:t>
      </w:r>
      <w:proofErr w:type="spellStart"/>
      <w:r w:rsidRPr="009D7D44">
        <w:rPr>
          <w:sz w:val="22"/>
          <w:szCs w:val="22"/>
        </w:rPr>
        <w:t>lb</w:t>
      </w:r>
      <w:proofErr w:type="spellEnd"/>
      <w:r w:rsidRPr="009D7D44">
        <w:rPr>
          <w:sz w:val="22"/>
          <w:szCs w:val="22"/>
        </w:rPr>
        <w:t xml:space="preserve"> over 1995/96–2012/13.  Estimated total mortality in 2012/13 was 6.9 million lb.</w:t>
      </w:r>
    </w:p>
    <w:p w:rsidR="00654890" w:rsidRPr="009D7D44" w:rsidRDefault="00654890" w:rsidP="00654890">
      <w:pPr>
        <w:autoSpaceDE w:val="0"/>
        <w:autoSpaceDN w:val="0"/>
        <w:adjustRightInd w:val="0"/>
        <w:spacing w:after="120"/>
        <w:rPr>
          <w:i/>
          <w:iCs/>
          <w:sz w:val="22"/>
          <w:szCs w:val="22"/>
        </w:rPr>
      </w:pPr>
      <w:r w:rsidRPr="009D7D44">
        <w:rPr>
          <w:i/>
          <w:iCs/>
          <w:sz w:val="22"/>
          <w:szCs w:val="22"/>
        </w:rPr>
        <w:t>Data and assessment methodology</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Available data used in the Tier 5 assessment are from ADF&amp;G fish tickets (retained catch numbers, retained catch weight, and pot lifts by ADF&amp;G statistical area and landing date), size-frequencies from samples of landed crabs, at-sea observations from pot lifts sampled during the fishery (date, location, soak time, catch composition, size, sex, and reproductive condition of crabs, etc.), and </w:t>
      </w:r>
      <w:proofErr w:type="spellStart"/>
      <w:r w:rsidRPr="009D7D44">
        <w:rPr>
          <w:sz w:val="22"/>
          <w:szCs w:val="22"/>
        </w:rPr>
        <w:t>bycatch</w:t>
      </w:r>
      <w:proofErr w:type="spellEnd"/>
      <w:r w:rsidRPr="009D7D44">
        <w:rPr>
          <w:sz w:val="22"/>
          <w:szCs w:val="22"/>
        </w:rPr>
        <w:t xml:space="preserve"> estimates from the </w:t>
      </w:r>
      <w:proofErr w:type="spellStart"/>
      <w:r w:rsidRPr="009D7D44">
        <w:rPr>
          <w:sz w:val="22"/>
          <w:szCs w:val="22"/>
        </w:rPr>
        <w:t>groundfish</w:t>
      </w:r>
      <w:proofErr w:type="spellEnd"/>
      <w:r w:rsidRPr="009D7D44">
        <w:rPr>
          <w:sz w:val="22"/>
          <w:szCs w:val="22"/>
        </w:rPr>
        <w:t xml:space="preserve"> fisheries. These data are available through the 2012/13 season; complete data from the 2013/14 fishery season, which ends on 15 May 2014, are not currently available.  Most of the available data were obtained from the fishery which targets legal-size (</w:t>
      </w:r>
      <w:r w:rsidRPr="009D7D44">
        <w:rPr>
          <w:rFonts w:eastAsia="TimesNewRomanPSMT"/>
          <w:sz w:val="22"/>
          <w:szCs w:val="22"/>
        </w:rPr>
        <w:t>≥</w:t>
      </w:r>
      <w:r w:rsidRPr="009D7D44">
        <w:rPr>
          <w:sz w:val="22"/>
          <w:szCs w:val="22"/>
        </w:rPr>
        <w:t xml:space="preserve">6-inch CW) males and trends in the data can be affected by changes in both fishery practices and the stock.  Data from triennial pot surveys (last performed in 2006) in the </w:t>
      </w:r>
      <w:proofErr w:type="spellStart"/>
      <w:r w:rsidRPr="009D7D44">
        <w:rPr>
          <w:sz w:val="22"/>
          <w:szCs w:val="22"/>
        </w:rPr>
        <w:t>Yunaska-Amukta</w:t>
      </w:r>
      <w:proofErr w:type="spellEnd"/>
      <w:r w:rsidRPr="009D7D44">
        <w:rPr>
          <w:sz w:val="22"/>
          <w:szCs w:val="22"/>
        </w:rPr>
        <w:t xml:space="preserve"> Island area of the Aleutian Islands, approximately 171° W longitude, and tag recoveries from crabs released during the triennial pot surveys are also available, but are not included in the Tier 5 assessment. The triennial survey is too limited in geographic scope and too infrequent to provide a reliable index of abundance for the Aleutian Islands area. </w:t>
      </w:r>
      <w:proofErr w:type="gramStart"/>
      <w:r w:rsidRPr="009D7D44">
        <w:rPr>
          <w:sz w:val="22"/>
          <w:szCs w:val="22"/>
        </w:rPr>
        <w:t>A</w:t>
      </w:r>
      <w:r w:rsidR="005E35AE" w:rsidRPr="009D7D44">
        <w:rPr>
          <w:sz w:val="22"/>
          <w:szCs w:val="22"/>
        </w:rPr>
        <w:t xml:space="preserve"> new survey as well as an</w:t>
      </w:r>
      <w:r w:rsidRPr="009D7D44">
        <w:rPr>
          <w:sz w:val="22"/>
          <w:szCs w:val="22"/>
        </w:rPr>
        <w:t xml:space="preserve"> assessment model </w:t>
      </w:r>
      <w:r w:rsidR="005E35AE" w:rsidRPr="009D7D44">
        <w:rPr>
          <w:sz w:val="22"/>
          <w:szCs w:val="22"/>
        </w:rPr>
        <w:t>are</w:t>
      </w:r>
      <w:proofErr w:type="gramEnd"/>
      <w:r w:rsidRPr="009D7D44">
        <w:rPr>
          <w:sz w:val="22"/>
          <w:szCs w:val="22"/>
        </w:rPr>
        <w:t xml:space="preserve"> currently being developed for this stock.  </w:t>
      </w:r>
    </w:p>
    <w:p w:rsidR="00654890" w:rsidRPr="009D7D44" w:rsidRDefault="00654890" w:rsidP="00654890">
      <w:pPr>
        <w:autoSpaceDE w:val="0"/>
        <w:autoSpaceDN w:val="0"/>
        <w:adjustRightInd w:val="0"/>
        <w:spacing w:after="120"/>
        <w:rPr>
          <w:i/>
          <w:iCs/>
          <w:sz w:val="22"/>
          <w:szCs w:val="22"/>
        </w:rPr>
      </w:pPr>
      <w:r w:rsidRPr="009D7D44">
        <w:rPr>
          <w:i/>
          <w:iCs/>
          <w:sz w:val="22"/>
          <w:szCs w:val="22"/>
        </w:rPr>
        <w:t>Stock biomass and recruitment trends</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Although a stock assessment is in development, it has not yet been accepted for use in management. There are consequently no estimates of stock biomass. Estimates of recruitment trends and current levels relative to virgin or historic levels are also not available. </w:t>
      </w:r>
    </w:p>
    <w:p w:rsidR="00654890" w:rsidRPr="009D7D44" w:rsidRDefault="00654890" w:rsidP="00654890">
      <w:pPr>
        <w:autoSpaceDE w:val="0"/>
        <w:autoSpaceDN w:val="0"/>
        <w:adjustRightInd w:val="0"/>
        <w:spacing w:after="120"/>
        <w:rPr>
          <w:sz w:val="22"/>
          <w:szCs w:val="22"/>
        </w:rPr>
      </w:pPr>
      <w:r w:rsidRPr="009D7D44">
        <w:rPr>
          <w:i/>
          <w:sz w:val="22"/>
          <w:szCs w:val="22"/>
        </w:rPr>
        <w:t>Summary of major changes</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Fishery data have been updated with the results for 2012/13: retained catch for the directed fishery and </w:t>
      </w:r>
      <w:proofErr w:type="spellStart"/>
      <w:r w:rsidRPr="009D7D44">
        <w:rPr>
          <w:sz w:val="22"/>
          <w:szCs w:val="22"/>
        </w:rPr>
        <w:t>bycatch</w:t>
      </w:r>
      <w:proofErr w:type="spellEnd"/>
      <w:r w:rsidRPr="009D7D44">
        <w:rPr>
          <w:sz w:val="22"/>
          <w:szCs w:val="22"/>
        </w:rPr>
        <w:t xml:space="preserve"> estimates for the directed fishery, non-directed crab fisheries, and </w:t>
      </w:r>
      <w:proofErr w:type="spellStart"/>
      <w:r w:rsidRPr="009D7D44">
        <w:rPr>
          <w:sz w:val="22"/>
          <w:szCs w:val="22"/>
        </w:rPr>
        <w:t>groundfish</w:t>
      </w:r>
      <w:proofErr w:type="spellEnd"/>
      <w:r w:rsidRPr="009D7D44">
        <w:rPr>
          <w:sz w:val="22"/>
          <w:szCs w:val="22"/>
        </w:rPr>
        <w:t xml:space="preserve"> fisheries.  </w:t>
      </w:r>
    </w:p>
    <w:p w:rsidR="00654890" w:rsidRPr="009D7D44" w:rsidRDefault="00654890" w:rsidP="00654890">
      <w:pPr>
        <w:autoSpaceDE w:val="0"/>
        <w:autoSpaceDN w:val="0"/>
        <w:adjustRightInd w:val="0"/>
        <w:spacing w:after="120"/>
        <w:rPr>
          <w:i/>
          <w:iCs/>
          <w:sz w:val="22"/>
          <w:szCs w:val="22"/>
        </w:rPr>
      </w:pPr>
      <w:r w:rsidRPr="009D7D44">
        <w:rPr>
          <w:i/>
          <w:iCs/>
          <w:sz w:val="22"/>
          <w:szCs w:val="22"/>
        </w:rPr>
        <w:lastRenderedPageBreak/>
        <w:t>Tier determination/Plan Team discussion and resulting OFL and ABC determination</w:t>
      </w:r>
    </w:p>
    <w:p w:rsidR="00654890" w:rsidRPr="009D7D44" w:rsidRDefault="00654890" w:rsidP="00654890">
      <w:pPr>
        <w:jc w:val="both"/>
        <w:rPr>
          <w:sz w:val="22"/>
          <w:szCs w:val="22"/>
        </w:rPr>
      </w:pPr>
      <w:r w:rsidRPr="009D7D44">
        <w:rPr>
          <w:sz w:val="22"/>
          <w:szCs w:val="22"/>
        </w:rPr>
        <w:t xml:space="preserve">The CPT recommends that this stock be managed as a Tier 5 stock in 2014/15. </w:t>
      </w:r>
      <w:r w:rsidRPr="009D7D44">
        <w:rPr>
          <w:i/>
          <w:iCs/>
          <w:sz w:val="22"/>
          <w:szCs w:val="22"/>
        </w:rPr>
        <w:t>B</w:t>
      </w:r>
      <w:r w:rsidRPr="009D7D44">
        <w:rPr>
          <w:sz w:val="22"/>
          <w:szCs w:val="22"/>
          <w:vertAlign w:val="subscript"/>
        </w:rPr>
        <w:t>MSY</w:t>
      </w:r>
      <w:r w:rsidRPr="009D7D44">
        <w:rPr>
          <w:sz w:val="22"/>
          <w:szCs w:val="22"/>
        </w:rPr>
        <w:t xml:space="preserve"> and MSST are not estimated for this stock. Observer data on </w:t>
      </w:r>
      <w:proofErr w:type="spellStart"/>
      <w:r w:rsidRPr="009D7D44">
        <w:rPr>
          <w:sz w:val="22"/>
          <w:szCs w:val="22"/>
        </w:rPr>
        <w:t>bycatch</w:t>
      </w:r>
      <w:proofErr w:type="spellEnd"/>
      <w:r w:rsidRPr="009D7D44">
        <w:rPr>
          <w:sz w:val="22"/>
          <w:szCs w:val="22"/>
        </w:rPr>
        <w:t xml:space="preserve"> from the directed fishery and </w:t>
      </w:r>
      <w:proofErr w:type="spellStart"/>
      <w:r w:rsidRPr="009D7D44">
        <w:rPr>
          <w:sz w:val="22"/>
          <w:szCs w:val="22"/>
        </w:rPr>
        <w:t>groundfish</w:t>
      </w:r>
      <w:proofErr w:type="spellEnd"/>
      <w:r w:rsidRPr="009D7D44">
        <w:rPr>
          <w:sz w:val="22"/>
          <w:szCs w:val="22"/>
        </w:rPr>
        <w:t xml:space="preserve"> fisheries provides the estimate of total </w:t>
      </w:r>
      <w:proofErr w:type="spellStart"/>
      <w:r w:rsidRPr="009D7D44">
        <w:rPr>
          <w:sz w:val="22"/>
          <w:szCs w:val="22"/>
        </w:rPr>
        <w:t>bycatch</w:t>
      </w:r>
      <w:proofErr w:type="spellEnd"/>
      <w:r w:rsidRPr="009D7D44">
        <w:rPr>
          <w:sz w:val="22"/>
          <w:szCs w:val="22"/>
        </w:rPr>
        <w:t xml:space="preserve"> mortality.  </w:t>
      </w:r>
      <w:proofErr w:type="spellStart"/>
      <w:r w:rsidRPr="009D7D44">
        <w:rPr>
          <w:sz w:val="22"/>
          <w:szCs w:val="22"/>
        </w:rPr>
        <w:t>Bycatch</w:t>
      </w:r>
      <w:proofErr w:type="spellEnd"/>
      <w:r w:rsidRPr="009D7D44">
        <w:rPr>
          <w:sz w:val="22"/>
          <w:szCs w:val="22"/>
        </w:rPr>
        <w:t xml:space="preserve"> data from the directed fishery for years after the 1990/91 season (excluding 1993/94 and 1994/95 seasons due to insufficient data) and from the </w:t>
      </w:r>
      <w:proofErr w:type="spellStart"/>
      <w:r w:rsidRPr="009D7D44">
        <w:rPr>
          <w:sz w:val="22"/>
          <w:szCs w:val="22"/>
        </w:rPr>
        <w:t>groundfish</w:t>
      </w:r>
      <w:proofErr w:type="spellEnd"/>
      <w:r w:rsidRPr="009D7D44">
        <w:rPr>
          <w:sz w:val="22"/>
          <w:szCs w:val="22"/>
        </w:rPr>
        <w:t xml:space="preserve"> fisheries since the 1993/94 season were used.  There are no directed fishery observer data prior to the 1988/89 season and observer data are lacking or confidential for four seasons in at least one management area in the Aleutian Islands during 1988/89–1994/95.</w:t>
      </w:r>
    </w:p>
    <w:p w:rsidR="00654890" w:rsidRPr="009D7D44" w:rsidRDefault="00654890" w:rsidP="00654890">
      <w:pPr>
        <w:rPr>
          <w:sz w:val="22"/>
          <w:szCs w:val="22"/>
        </w:rPr>
      </w:pPr>
    </w:p>
    <w:p w:rsidR="00654890" w:rsidRPr="009D7D44" w:rsidRDefault="00654890" w:rsidP="00654890">
      <w:pPr>
        <w:jc w:val="both"/>
        <w:rPr>
          <w:sz w:val="22"/>
          <w:szCs w:val="22"/>
        </w:rPr>
      </w:pPr>
      <w:r w:rsidRPr="009D7D44">
        <w:rPr>
          <w:sz w:val="22"/>
          <w:szCs w:val="22"/>
        </w:rPr>
        <w:t xml:space="preserve">This assessment author recommended using the same approach for determining the 2014/15 total catch OFL as was used to determine the 2013/14 total catch OFL.  This approach uses data for 1985/86–1995/96 to estimate the mean retained catch in the crab fisheries, and </w:t>
      </w:r>
      <w:proofErr w:type="spellStart"/>
      <w:r w:rsidRPr="009D7D44">
        <w:rPr>
          <w:sz w:val="22"/>
          <w:szCs w:val="22"/>
        </w:rPr>
        <w:t>bycatch</w:t>
      </w:r>
      <w:proofErr w:type="spellEnd"/>
      <w:r w:rsidRPr="009D7D44">
        <w:rPr>
          <w:sz w:val="22"/>
          <w:szCs w:val="22"/>
        </w:rPr>
        <w:t xml:space="preserve"> data for 1990/91-95/96 to estimate the mean </w:t>
      </w:r>
      <w:proofErr w:type="spellStart"/>
      <w:r w:rsidRPr="009D7D44">
        <w:rPr>
          <w:sz w:val="22"/>
          <w:szCs w:val="22"/>
        </w:rPr>
        <w:t>bycatch</w:t>
      </w:r>
      <w:proofErr w:type="spellEnd"/>
      <w:r w:rsidRPr="009D7D44">
        <w:rPr>
          <w:sz w:val="22"/>
          <w:szCs w:val="22"/>
        </w:rPr>
        <w:t xml:space="preserve"> rate (0.363):</w:t>
      </w:r>
    </w:p>
    <w:p w:rsidR="00654890" w:rsidRPr="009D7D44" w:rsidRDefault="00654890" w:rsidP="00654890">
      <w:pPr>
        <w:jc w:val="both"/>
        <w:rPr>
          <w:sz w:val="22"/>
          <w:szCs w:val="22"/>
        </w:rPr>
      </w:pPr>
    </w:p>
    <w:p w:rsidR="00654890" w:rsidRPr="009D7D44" w:rsidRDefault="00654890" w:rsidP="00654890">
      <w:pPr>
        <w:rPr>
          <w:sz w:val="22"/>
          <w:szCs w:val="22"/>
        </w:rPr>
      </w:pPr>
      <w:r w:rsidRPr="009D7D44">
        <w:rPr>
          <w:sz w:val="22"/>
          <w:szCs w:val="22"/>
        </w:rPr>
        <w:tab/>
        <w:t>OFL</w:t>
      </w:r>
      <w:r w:rsidRPr="009D7D44">
        <w:rPr>
          <w:sz w:val="22"/>
          <w:szCs w:val="22"/>
          <w:vertAlign w:val="subscript"/>
        </w:rPr>
        <w:t xml:space="preserve"> 2013/14</w:t>
      </w:r>
      <w:r w:rsidRPr="009D7D44">
        <w:rPr>
          <w:sz w:val="22"/>
          <w:szCs w:val="22"/>
        </w:rPr>
        <w:t xml:space="preserve"> = (1+R</w:t>
      </w:r>
      <w:r w:rsidRPr="009D7D44">
        <w:rPr>
          <w:sz w:val="22"/>
          <w:szCs w:val="22"/>
          <w:vertAlign w:val="subscript"/>
        </w:rPr>
        <w:t>90/91-95/96</w:t>
      </w:r>
      <w:proofErr w:type="gramStart"/>
      <w:r w:rsidRPr="009D7D44">
        <w:rPr>
          <w:sz w:val="22"/>
          <w:szCs w:val="22"/>
        </w:rPr>
        <w:t>)•</w:t>
      </w:r>
      <w:proofErr w:type="gramEnd"/>
      <w:r w:rsidRPr="009D7D44">
        <w:rPr>
          <w:sz w:val="22"/>
          <w:szCs w:val="22"/>
        </w:rPr>
        <w:t xml:space="preserve"> RET</w:t>
      </w:r>
      <w:r w:rsidRPr="009D7D44">
        <w:rPr>
          <w:sz w:val="22"/>
          <w:szCs w:val="22"/>
          <w:vertAlign w:val="subscript"/>
        </w:rPr>
        <w:t>85/86-95/96</w:t>
      </w:r>
      <w:r w:rsidRPr="009D7D44">
        <w:rPr>
          <w:sz w:val="22"/>
          <w:szCs w:val="22"/>
        </w:rPr>
        <w:t xml:space="preserve"> + BM</w:t>
      </w:r>
      <w:r w:rsidRPr="009D7D44">
        <w:rPr>
          <w:sz w:val="22"/>
          <w:szCs w:val="22"/>
          <w:vertAlign w:val="subscript"/>
        </w:rPr>
        <w:t>GF,93/94-08/09</w:t>
      </w:r>
      <w:r w:rsidRPr="009D7D44">
        <w:rPr>
          <w:sz w:val="22"/>
          <w:szCs w:val="22"/>
        </w:rPr>
        <w:t xml:space="preserve"> = 12,537,757 </w:t>
      </w:r>
      <w:proofErr w:type="spellStart"/>
      <w:r w:rsidRPr="009D7D44">
        <w:rPr>
          <w:sz w:val="22"/>
          <w:szCs w:val="22"/>
        </w:rPr>
        <w:t>lb</w:t>
      </w:r>
      <w:proofErr w:type="spellEnd"/>
    </w:p>
    <w:p w:rsidR="00654890" w:rsidRPr="009D7D44" w:rsidRDefault="00654890" w:rsidP="00654890">
      <w:pPr>
        <w:autoSpaceDE w:val="0"/>
        <w:autoSpaceDN w:val="0"/>
        <w:adjustRightInd w:val="0"/>
        <w:spacing w:after="120"/>
        <w:rPr>
          <w:sz w:val="22"/>
          <w:szCs w:val="22"/>
        </w:rPr>
      </w:pPr>
      <w:proofErr w:type="gramStart"/>
      <w:r w:rsidRPr="009D7D44">
        <w:rPr>
          <w:sz w:val="22"/>
          <w:szCs w:val="22"/>
        </w:rPr>
        <w:t>where</w:t>
      </w:r>
      <w:proofErr w:type="gramEnd"/>
      <w:r w:rsidRPr="009D7D44">
        <w:rPr>
          <w:sz w:val="22"/>
          <w:szCs w:val="22"/>
        </w:rPr>
        <w:t>,</w:t>
      </w:r>
    </w:p>
    <w:p w:rsidR="00654890" w:rsidRPr="009D7D44" w:rsidRDefault="00654890" w:rsidP="00654890">
      <w:pPr>
        <w:numPr>
          <w:ilvl w:val="0"/>
          <w:numId w:val="3"/>
        </w:numPr>
        <w:contextualSpacing/>
        <w:jc w:val="both"/>
        <w:rPr>
          <w:rFonts w:eastAsia="Calibri"/>
          <w:sz w:val="22"/>
          <w:szCs w:val="22"/>
        </w:rPr>
      </w:pPr>
      <w:r w:rsidRPr="009D7D44">
        <w:rPr>
          <w:rFonts w:eastAsia="Calibri"/>
          <w:sz w:val="22"/>
          <w:szCs w:val="22"/>
        </w:rPr>
        <w:t>R</w:t>
      </w:r>
      <w:r w:rsidRPr="009D7D44">
        <w:rPr>
          <w:rFonts w:eastAsia="Calibri"/>
          <w:sz w:val="22"/>
          <w:szCs w:val="22"/>
          <w:vertAlign w:val="subscript"/>
        </w:rPr>
        <w:t>90/91-95/96</w:t>
      </w:r>
      <w:r w:rsidRPr="009D7D44">
        <w:rPr>
          <w:rFonts w:eastAsia="Calibri"/>
          <w:sz w:val="22"/>
          <w:szCs w:val="22"/>
        </w:rPr>
        <w:t xml:space="preserve"> is the average of the annual ratios of </w:t>
      </w:r>
      <w:proofErr w:type="spellStart"/>
      <w:r w:rsidRPr="009D7D44">
        <w:rPr>
          <w:rFonts w:eastAsia="Calibri"/>
          <w:sz w:val="22"/>
          <w:szCs w:val="22"/>
        </w:rPr>
        <w:t>bycatch</w:t>
      </w:r>
      <w:proofErr w:type="spellEnd"/>
      <w:r w:rsidRPr="009D7D44">
        <w:rPr>
          <w:rFonts w:eastAsia="Calibri"/>
          <w:sz w:val="22"/>
          <w:szCs w:val="22"/>
        </w:rPr>
        <w:t xml:space="preserve"> mortality due to crab fisheries to retained catch in pounds over the period of the subscripted years, excluding 1993/94–1994/95 due to data confidentiality and lack of data,</w:t>
      </w:r>
    </w:p>
    <w:p w:rsidR="00654890" w:rsidRPr="009D7D44" w:rsidRDefault="00654890" w:rsidP="00654890">
      <w:pPr>
        <w:numPr>
          <w:ilvl w:val="0"/>
          <w:numId w:val="3"/>
        </w:numPr>
        <w:contextualSpacing/>
        <w:jc w:val="both"/>
        <w:rPr>
          <w:rFonts w:eastAsia="Calibri"/>
          <w:sz w:val="22"/>
          <w:szCs w:val="22"/>
        </w:rPr>
      </w:pPr>
      <w:r w:rsidRPr="009D7D44">
        <w:rPr>
          <w:rFonts w:eastAsia="Calibri"/>
          <w:sz w:val="22"/>
          <w:szCs w:val="22"/>
        </w:rPr>
        <w:t>RET</w:t>
      </w:r>
      <w:r w:rsidRPr="009D7D44">
        <w:rPr>
          <w:rFonts w:eastAsia="Calibri"/>
          <w:sz w:val="22"/>
          <w:szCs w:val="22"/>
          <w:vertAlign w:val="subscript"/>
        </w:rPr>
        <w:t>85/86-95/96</w:t>
      </w:r>
      <w:r w:rsidRPr="009D7D44">
        <w:rPr>
          <w:rFonts w:eastAsia="Calibri"/>
          <w:sz w:val="22"/>
          <w:szCs w:val="22"/>
        </w:rPr>
        <w:t xml:space="preserve"> is the average annual retained catch in the directed crab fishery over the period 1985/86-1995/96), and</w:t>
      </w:r>
    </w:p>
    <w:p w:rsidR="00654890" w:rsidRPr="009D7D44" w:rsidRDefault="00654890" w:rsidP="00654890">
      <w:pPr>
        <w:numPr>
          <w:ilvl w:val="0"/>
          <w:numId w:val="3"/>
        </w:numPr>
        <w:autoSpaceDE w:val="0"/>
        <w:autoSpaceDN w:val="0"/>
        <w:adjustRightInd w:val="0"/>
        <w:spacing w:after="120"/>
        <w:contextualSpacing/>
        <w:jc w:val="both"/>
        <w:rPr>
          <w:rFonts w:eastAsia="Calibri"/>
          <w:sz w:val="22"/>
          <w:szCs w:val="22"/>
        </w:rPr>
      </w:pPr>
      <w:r w:rsidRPr="009D7D44">
        <w:rPr>
          <w:rFonts w:eastAsia="Calibri"/>
          <w:sz w:val="22"/>
          <w:szCs w:val="22"/>
        </w:rPr>
        <w:t>BM</w:t>
      </w:r>
      <w:r w:rsidRPr="009D7D44">
        <w:rPr>
          <w:rFonts w:eastAsia="Calibri"/>
          <w:sz w:val="22"/>
          <w:szCs w:val="22"/>
          <w:vertAlign w:val="subscript"/>
        </w:rPr>
        <w:t>GF</w:t>
      </w:r>
      <w:proofErr w:type="gramStart"/>
      <w:r w:rsidRPr="009D7D44">
        <w:rPr>
          <w:rFonts w:eastAsia="Calibri"/>
          <w:sz w:val="22"/>
          <w:szCs w:val="22"/>
          <w:vertAlign w:val="subscript"/>
        </w:rPr>
        <w:t>,93</w:t>
      </w:r>
      <w:proofErr w:type="gramEnd"/>
      <w:r w:rsidRPr="009D7D44">
        <w:rPr>
          <w:rFonts w:eastAsia="Calibri"/>
          <w:sz w:val="22"/>
          <w:szCs w:val="22"/>
          <w:vertAlign w:val="subscript"/>
        </w:rPr>
        <w:t>/94-08/09</w:t>
      </w:r>
      <w:r w:rsidRPr="009D7D44">
        <w:rPr>
          <w:rFonts w:eastAsia="Calibri"/>
          <w:sz w:val="22"/>
          <w:szCs w:val="22"/>
        </w:rPr>
        <w:t xml:space="preserve"> is the average of the annual estimates of </w:t>
      </w:r>
      <w:proofErr w:type="spellStart"/>
      <w:r w:rsidRPr="009D7D44">
        <w:rPr>
          <w:rFonts w:eastAsia="Calibri"/>
          <w:sz w:val="22"/>
          <w:szCs w:val="22"/>
        </w:rPr>
        <w:t>bycatch</w:t>
      </w:r>
      <w:proofErr w:type="spellEnd"/>
      <w:r w:rsidRPr="009D7D44">
        <w:rPr>
          <w:rFonts w:eastAsia="Calibri"/>
          <w:sz w:val="22"/>
          <w:szCs w:val="22"/>
        </w:rPr>
        <w:t xml:space="preserve"> mortality due to </w:t>
      </w:r>
      <w:proofErr w:type="spellStart"/>
      <w:r w:rsidRPr="009D7D44">
        <w:rPr>
          <w:rFonts w:eastAsia="Calibri"/>
          <w:sz w:val="22"/>
          <w:szCs w:val="22"/>
        </w:rPr>
        <w:t>groundfish</w:t>
      </w:r>
      <w:proofErr w:type="spellEnd"/>
      <w:r w:rsidRPr="009D7D44">
        <w:rPr>
          <w:rFonts w:eastAsia="Calibri"/>
          <w:sz w:val="22"/>
          <w:szCs w:val="22"/>
        </w:rPr>
        <w:t xml:space="preserve"> fisheries over the period 1993/94-2008/09.</w:t>
      </w:r>
    </w:p>
    <w:p w:rsidR="00654890" w:rsidRPr="009D7D44" w:rsidRDefault="00654890" w:rsidP="00654890">
      <w:pPr>
        <w:autoSpaceDE w:val="0"/>
        <w:autoSpaceDN w:val="0"/>
        <w:adjustRightInd w:val="0"/>
        <w:spacing w:after="120"/>
        <w:jc w:val="both"/>
        <w:rPr>
          <w:sz w:val="22"/>
          <w:szCs w:val="22"/>
        </w:rPr>
      </w:pP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The assessment author recommended a 25% buffer between the OFL and ABC, which is an increase over the 10% buffer used in recent years. The author noted that the time-period used to determine the OFL for </w:t>
      </w:r>
      <w:r w:rsidR="005E35AE" w:rsidRPr="009D7D44">
        <w:rPr>
          <w:sz w:val="22"/>
          <w:szCs w:val="22"/>
        </w:rPr>
        <w:t xml:space="preserve">Tier </w:t>
      </w:r>
      <w:r w:rsidRPr="009D7D44">
        <w:rPr>
          <w:sz w:val="22"/>
          <w:szCs w:val="22"/>
        </w:rPr>
        <w:t xml:space="preserve">5 stocks should be representative of a stock’s productivity. In the past, the CPT has suggested various time ranges to compute the OFL, which suggests uncertainty regarding the time-period to represent productivity and the basis for setting the OFL. The assessment author noted that the ABC for the </w:t>
      </w:r>
      <w:r w:rsidR="005E35AE" w:rsidRPr="009D7D44">
        <w:rPr>
          <w:sz w:val="22"/>
          <w:szCs w:val="22"/>
        </w:rPr>
        <w:t xml:space="preserve">Tier </w:t>
      </w:r>
      <w:r w:rsidRPr="009D7D44">
        <w:rPr>
          <w:sz w:val="22"/>
          <w:szCs w:val="22"/>
        </w:rPr>
        <w:t xml:space="preserve">5 Adak red king crab stock is based on a 40% buffer, and three of the six FMP stocks that are surveyed by the EBS bottom trawl survey have buffers &gt;10%. The CPT agreed that there is more uncertainty than </w:t>
      </w:r>
      <w:r w:rsidR="006A108C" w:rsidRPr="009D7D44">
        <w:rPr>
          <w:sz w:val="22"/>
          <w:szCs w:val="22"/>
        </w:rPr>
        <w:t>is</w:t>
      </w:r>
      <w:r w:rsidRPr="009D7D44">
        <w:rPr>
          <w:sz w:val="22"/>
          <w:szCs w:val="22"/>
        </w:rPr>
        <w:t xml:space="preserve"> </w:t>
      </w:r>
      <w:r w:rsidR="005E35AE" w:rsidRPr="009D7D44">
        <w:rPr>
          <w:sz w:val="22"/>
          <w:szCs w:val="22"/>
        </w:rPr>
        <w:t xml:space="preserve">accommodated </w:t>
      </w:r>
      <w:r w:rsidRPr="009D7D44">
        <w:rPr>
          <w:sz w:val="22"/>
          <w:szCs w:val="22"/>
        </w:rPr>
        <w:t xml:space="preserve">by a 10% buffer; however, </w:t>
      </w:r>
      <w:r w:rsidR="005E35AE" w:rsidRPr="009D7D44">
        <w:rPr>
          <w:sz w:val="22"/>
          <w:szCs w:val="22"/>
        </w:rPr>
        <w:t xml:space="preserve">the CPT agreed that uncertainty estimation issues should be more comprehensively addressed in the September CPT meeting and thus recommended </w:t>
      </w:r>
      <w:r w:rsidR="006A108C" w:rsidRPr="009D7D44">
        <w:rPr>
          <w:sz w:val="22"/>
          <w:szCs w:val="22"/>
        </w:rPr>
        <w:t>the status quo</w:t>
      </w:r>
      <w:r w:rsidR="005E35AE" w:rsidRPr="009D7D44">
        <w:rPr>
          <w:sz w:val="22"/>
          <w:szCs w:val="22"/>
        </w:rPr>
        <w:t xml:space="preserve"> 10% buffer for 2014/15 for this stock. </w:t>
      </w:r>
      <w:r w:rsidRPr="009D7D44">
        <w:rPr>
          <w:sz w:val="22"/>
          <w:szCs w:val="22"/>
        </w:rPr>
        <w:t xml:space="preserve">The CPT recommended ABC is 11,283,981 lb. </w:t>
      </w:r>
    </w:p>
    <w:p w:rsidR="00654890" w:rsidRPr="009D7D44" w:rsidRDefault="00654890" w:rsidP="00654890">
      <w:pPr>
        <w:keepNext/>
        <w:autoSpaceDE w:val="0"/>
        <w:autoSpaceDN w:val="0"/>
        <w:adjustRightInd w:val="0"/>
        <w:spacing w:after="120"/>
        <w:rPr>
          <w:i/>
          <w:iCs/>
          <w:sz w:val="22"/>
          <w:szCs w:val="22"/>
        </w:rPr>
      </w:pPr>
      <w:r w:rsidRPr="009D7D44">
        <w:rPr>
          <w:i/>
          <w:iCs/>
          <w:sz w:val="22"/>
          <w:szCs w:val="22"/>
        </w:rPr>
        <w:lastRenderedPageBreak/>
        <w:t>Historical status and catch specifications (millions lb.) of Aleutian Islands golden king crab</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
        <w:gridCol w:w="870"/>
        <w:gridCol w:w="1070"/>
        <w:gridCol w:w="764"/>
        <w:gridCol w:w="1214"/>
        <w:gridCol w:w="856"/>
        <w:gridCol w:w="2013"/>
        <w:gridCol w:w="1497"/>
      </w:tblGrid>
      <w:tr w:rsidR="00654890" w:rsidRPr="009D7D44" w:rsidTr="00ED3AC8">
        <w:tc>
          <w:tcPr>
            <w:tcW w:w="1004"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Year</w:t>
            </w:r>
          </w:p>
        </w:tc>
        <w:tc>
          <w:tcPr>
            <w:tcW w:w="870"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MSST</w:t>
            </w:r>
          </w:p>
        </w:tc>
        <w:tc>
          <w:tcPr>
            <w:tcW w:w="1070"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Biomass (MMB)</w:t>
            </w:r>
          </w:p>
        </w:tc>
        <w:tc>
          <w:tcPr>
            <w:tcW w:w="764"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TAC</w:t>
            </w:r>
          </w:p>
        </w:tc>
        <w:tc>
          <w:tcPr>
            <w:tcW w:w="1214"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Retained Catch</w:t>
            </w:r>
          </w:p>
        </w:tc>
        <w:tc>
          <w:tcPr>
            <w:tcW w:w="856"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Total Catch</w:t>
            </w:r>
          </w:p>
        </w:tc>
        <w:tc>
          <w:tcPr>
            <w:tcW w:w="2013"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OFL</w:t>
            </w:r>
          </w:p>
        </w:tc>
        <w:tc>
          <w:tcPr>
            <w:tcW w:w="1497" w:type="dxa"/>
            <w:tcBorders>
              <w:top w:val="single" w:sz="4" w:space="0" w:color="auto"/>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ABC</w:t>
            </w:r>
          </w:p>
        </w:tc>
      </w:tr>
      <w:tr w:rsidR="00654890" w:rsidRPr="009D7D44" w:rsidTr="00ED3AC8">
        <w:tc>
          <w:tcPr>
            <w:tcW w:w="100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2010/11</w:t>
            </w:r>
          </w:p>
        </w:tc>
        <w:tc>
          <w:tcPr>
            <w:tcW w:w="8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5.99</w:t>
            </w:r>
          </w:p>
        </w:tc>
        <w:tc>
          <w:tcPr>
            <w:tcW w:w="121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5.97</w:t>
            </w:r>
          </w:p>
        </w:tc>
        <w:tc>
          <w:tcPr>
            <w:tcW w:w="856"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6.56</w:t>
            </w:r>
          </w:p>
        </w:tc>
        <w:tc>
          <w:tcPr>
            <w:tcW w:w="2013"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11.06</w:t>
            </w:r>
          </w:p>
        </w:tc>
        <w:tc>
          <w:tcPr>
            <w:tcW w:w="1497"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r>
      <w:tr w:rsidR="00654890" w:rsidRPr="009D7D44" w:rsidTr="00ED3AC8">
        <w:tc>
          <w:tcPr>
            <w:tcW w:w="100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2011/12</w:t>
            </w:r>
          </w:p>
        </w:tc>
        <w:tc>
          <w:tcPr>
            <w:tcW w:w="8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5.99</w:t>
            </w:r>
          </w:p>
        </w:tc>
        <w:tc>
          <w:tcPr>
            <w:tcW w:w="121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5.96</w:t>
            </w:r>
          </w:p>
        </w:tc>
        <w:tc>
          <w:tcPr>
            <w:tcW w:w="856"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6.51</w:t>
            </w:r>
          </w:p>
        </w:tc>
        <w:tc>
          <w:tcPr>
            <w:tcW w:w="2013"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11.40</w:t>
            </w:r>
          </w:p>
        </w:tc>
        <w:tc>
          <w:tcPr>
            <w:tcW w:w="1497"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10.26</w:t>
            </w:r>
          </w:p>
        </w:tc>
      </w:tr>
      <w:tr w:rsidR="00654890" w:rsidRPr="009D7D44" w:rsidTr="00ED3AC8">
        <w:tc>
          <w:tcPr>
            <w:tcW w:w="100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2012/13</w:t>
            </w:r>
          </w:p>
        </w:tc>
        <w:tc>
          <w:tcPr>
            <w:tcW w:w="8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6.29</w:t>
            </w:r>
          </w:p>
        </w:tc>
        <w:tc>
          <w:tcPr>
            <w:tcW w:w="121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6.27</w:t>
            </w:r>
          </w:p>
        </w:tc>
        <w:tc>
          <w:tcPr>
            <w:tcW w:w="856"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6.87</w:t>
            </w:r>
          </w:p>
        </w:tc>
        <w:tc>
          <w:tcPr>
            <w:tcW w:w="2013"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12.54</w:t>
            </w:r>
          </w:p>
        </w:tc>
        <w:tc>
          <w:tcPr>
            <w:tcW w:w="1497"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11.28</w:t>
            </w:r>
          </w:p>
        </w:tc>
      </w:tr>
      <w:tr w:rsidR="00654890" w:rsidRPr="009D7D44" w:rsidTr="00ED3AC8">
        <w:tc>
          <w:tcPr>
            <w:tcW w:w="100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2013/14</w:t>
            </w:r>
          </w:p>
        </w:tc>
        <w:tc>
          <w:tcPr>
            <w:tcW w:w="8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6.29</w:t>
            </w:r>
          </w:p>
        </w:tc>
        <w:tc>
          <w:tcPr>
            <w:tcW w:w="1214"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856"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2013"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12.54</w:t>
            </w:r>
          </w:p>
        </w:tc>
        <w:tc>
          <w:tcPr>
            <w:tcW w:w="1497" w:type="dxa"/>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11.28</w:t>
            </w:r>
          </w:p>
        </w:tc>
      </w:tr>
      <w:tr w:rsidR="00654890" w:rsidRPr="009D7D44" w:rsidTr="00ED3AC8">
        <w:tc>
          <w:tcPr>
            <w:tcW w:w="1004"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2014/15</w:t>
            </w:r>
          </w:p>
        </w:tc>
        <w:tc>
          <w:tcPr>
            <w:tcW w:w="870"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vertAlign w:val="superscript"/>
              </w:rPr>
            </w:pPr>
            <w:r w:rsidRPr="009D7D44">
              <w:rPr>
                <w:sz w:val="22"/>
                <w:szCs w:val="22"/>
              </w:rPr>
              <w:t>6.29</w:t>
            </w:r>
            <w:r w:rsidRPr="009D7D44">
              <w:rPr>
                <w:sz w:val="22"/>
                <w:szCs w:val="22"/>
                <w:vertAlign w:val="superscript"/>
              </w:rPr>
              <w:t>A</w:t>
            </w:r>
          </w:p>
        </w:tc>
        <w:tc>
          <w:tcPr>
            <w:tcW w:w="1214"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856"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2013"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12.54</w:t>
            </w:r>
          </w:p>
        </w:tc>
        <w:tc>
          <w:tcPr>
            <w:tcW w:w="1497" w:type="dxa"/>
            <w:tcBorders>
              <w:bottom w:val="single" w:sz="4" w:space="0" w:color="auto"/>
            </w:tcBorders>
          </w:tcPr>
          <w:p w:rsidR="00654890" w:rsidRPr="009D7D44" w:rsidRDefault="00654890" w:rsidP="00ED3AC8">
            <w:pPr>
              <w:keepNext/>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11.28</w:t>
            </w:r>
          </w:p>
        </w:tc>
      </w:tr>
    </w:tbl>
    <w:p w:rsidR="00654890" w:rsidRPr="009D7D44" w:rsidRDefault="00654890" w:rsidP="00654890">
      <w:pPr>
        <w:keepNext/>
        <w:autoSpaceDE w:val="0"/>
        <w:autoSpaceDN w:val="0"/>
        <w:adjustRightInd w:val="0"/>
        <w:spacing w:after="120"/>
        <w:rPr>
          <w:iCs/>
          <w:sz w:val="22"/>
          <w:szCs w:val="22"/>
        </w:rPr>
      </w:pPr>
      <w:r w:rsidRPr="009D7D44">
        <w:rPr>
          <w:iCs/>
          <w:sz w:val="22"/>
          <w:szCs w:val="22"/>
          <w:vertAlign w:val="superscript"/>
        </w:rPr>
        <w:t xml:space="preserve">A </w:t>
      </w:r>
      <w:r w:rsidRPr="009D7D44">
        <w:rPr>
          <w:iCs/>
          <w:sz w:val="22"/>
          <w:szCs w:val="22"/>
        </w:rPr>
        <w:t xml:space="preserve"> </w:t>
      </w:r>
      <w:r w:rsidRPr="009D7D44">
        <w:rPr>
          <w:color w:val="000000"/>
          <w:sz w:val="22"/>
          <w:szCs w:val="22"/>
          <w:shd w:val="clear" w:color="auto" w:fill="FFFFFF"/>
        </w:rPr>
        <w:t xml:space="preserve">The 2014/15 </w:t>
      </w:r>
      <w:proofErr w:type="gramStart"/>
      <w:r w:rsidRPr="009D7D44">
        <w:rPr>
          <w:color w:val="000000"/>
          <w:sz w:val="22"/>
          <w:szCs w:val="22"/>
          <w:shd w:val="clear" w:color="auto" w:fill="FFFFFF"/>
        </w:rPr>
        <w:t>TAC  specified</w:t>
      </w:r>
      <w:proofErr w:type="gramEnd"/>
      <w:r w:rsidRPr="009D7D44">
        <w:rPr>
          <w:color w:val="000000"/>
          <w:sz w:val="22"/>
          <w:szCs w:val="22"/>
          <w:shd w:val="clear" w:color="auto" w:fill="FFFFFF"/>
        </w:rPr>
        <w:t xml:space="preserve"> in ADFG regulation; however, the TAC is not established until the specifications are approved. </w:t>
      </w:r>
    </w:p>
    <w:p w:rsidR="00654890" w:rsidRPr="009D7D44" w:rsidRDefault="00654890" w:rsidP="009D7D44">
      <w:pPr>
        <w:keepNext/>
        <w:widowControl/>
        <w:autoSpaceDE w:val="0"/>
        <w:autoSpaceDN w:val="0"/>
        <w:adjustRightInd w:val="0"/>
        <w:spacing w:after="120"/>
        <w:rPr>
          <w:i/>
          <w:iCs/>
          <w:sz w:val="22"/>
          <w:szCs w:val="22"/>
        </w:rPr>
      </w:pPr>
      <w:r w:rsidRPr="009D7D44">
        <w:rPr>
          <w:i/>
          <w:iCs/>
          <w:sz w:val="22"/>
          <w:szCs w:val="22"/>
        </w:rPr>
        <w:t>Historical status and catch specifications (thousand t) of Aleutian Islands golden king crab</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870"/>
        <w:gridCol w:w="1070"/>
        <w:gridCol w:w="764"/>
        <w:gridCol w:w="1214"/>
        <w:gridCol w:w="830"/>
        <w:gridCol w:w="2013"/>
        <w:gridCol w:w="1523"/>
      </w:tblGrid>
      <w:tr w:rsidR="00654890" w:rsidRPr="009D7D44" w:rsidTr="00ED3AC8">
        <w:tc>
          <w:tcPr>
            <w:tcW w:w="1004"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Year</w:t>
            </w:r>
          </w:p>
        </w:tc>
        <w:tc>
          <w:tcPr>
            <w:tcW w:w="870"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MSST</w:t>
            </w:r>
          </w:p>
        </w:tc>
        <w:tc>
          <w:tcPr>
            <w:tcW w:w="1070"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Biomass (MMB)</w:t>
            </w:r>
          </w:p>
        </w:tc>
        <w:tc>
          <w:tcPr>
            <w:tcW w:w="764"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TAC</w:t>
            </w:r>
          </w:p>
        </w:tc>
        <w:tc>
          <w:tcPr>
            <w:tcW w:w="1214"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Retained Catch</w:t>
            </w:r>
          </w:p>
        </w:tc>
        <w:tc>
          <w:tcPr>
            <w:tcW w:w="830"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vertAlign w:val="subscript"/>
              </w:rPr>
            </w:pPr>
            <w:r w:rsidRPr="009D7D44">
              <w:rPr>
                <w:b/>
                <w:sz w:val="22"/>
                <w:szCs w:val="22"/>
              </w:rPr>
              <w:t>Total Catch</w:t>
            </w:r>
          </w:p>
        </w:tc>
        <w:tc>
          <w:tcPr>
            <w:tcW w:w="2013"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OFL</w:t>
            </w:r>
          </w:p>
        </w:tc>
        <w:tc>
          <w:tcPr>
            <w:tcW w:w="1523" w:type="dxa"/>
            <w:tcBorders>
              <w:top w:val="single" w:sz="4" w:space="0" w:color="auto"/>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sz w:val="22"/>
                <w:szCs w:val="22"/>
              </w:rPr>
            </w:pPr>
            <w:r w:rsidRPr="009D7D44">
              <w:rPr>
                <w:b/>
                <w:sz w:val="22"/>
                <w:szCs w:val="22"/>
              </w:rPr>
              <w:t>ABC</w:t>
            </w:r>
          </w:p>
        </w:tc>
      </w:tr>
      <w:tr w:rsidR="00654890" w:rsidRPr="009D7D44" w:rsidTr="00ED3AC8">
        <w:tc>
          <w:tcPr>
            <w:tcW w:w="100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2010/11</w:t>
            </w:r>
          </w:p>
        </w:tc>
        <w:tc>
          <w:tcPr>
            <w:tcW w:w="8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2.72</w:t>
            </w:r>
          </w:p>
        </w:tc>
        <w:tc>
          <w:tcPr>
            <w:tcW w:w="121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2.71</w:t>
            </w:r>
          </w:p>
        </w:tc>
        <w:tc>
          <w:tcPr>
            <w:tcW w:w="83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2.98</w:t>
            </w:r>
          </w:p>
        </w:tc>
        <w:tc>
          <w:tcPr>
            <w:tcW w:w="201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5.02</w:t>
            </w:r>
          </w:p>
        </w:tc>
        <w:tc>
          <w:tcPr>
            <w:tcW w:w="152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r>
      <w:tr w:rsidR="00654890" w:rsidRPr="009D7D44" w:rsidTr="00ED3AC8">
        <w:tc>
          <w:tcPr>
            <w:tcW w:w="100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2011/12</w:t>
            </w:r>
          </w:p>
        </w:tc>
        <w:tc>
          <w:tcPr>
            <w:tcW w:w="8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2.72</w:t>
            </w:r>
          </w:p>
        </w:tc>
        <w:tc>
          <w:tcPr>
            <w:tcW w:w="121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2.71</w:t>
            </w:r>
          </w:p>
        </w:tc>
        <w:tc>
          <w:tcPr>
            <w:tcW w:w="83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2.95</w:t>
            </w:r>
          </w:p>
        </w:tc>
        <w:tc>
          <w:tcPr>
            <w:tcW w:w="201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5.17</w:t>
            </w:r>
          </w:p>
        </w:tc>
        <w:tc>
          <w:tcPr>
            <w:tcW w:w="152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4.66</w:t>
            </w:r>
          </w:p>
        </w:tc>
      </w:tr>
      <w:tr w:rsidR="00654890" w:rsidRPr="009D7D44" w:rsidTr="00ED3AC8">
        <w:tc>
          <w:tcPr>
            <w:tcW w:w="100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2012/13</w:t>
            </w:r>
          </w:p>
        </w:tc>
        <w:tc>
          <w:tcPr>
            <w:tcW w:w="8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2.85</w:t>
            </w:r>
          </w:p>
        </w:tc>
        <w:tc>
          <w:tcPr>
            <w:tcW w:w="121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2.84</w:t>
            </w:r>
          </w:p>
        </w:tc>
        <w:tc>
          <w:tcPr>
            <w:tcW w:w="83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3.12</w:t>
            </w:r>
          </w:p>
        </w:tc>
        <w:tc>
          <w:tcPr>
            <w:tcW w:w="201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5.69</w:t>
            </w:r>
          </w:p>
        </w:tc>
        <w:tc>
          <w:tcPr>
            <w:tcW w:w="152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5.12</w:t>
            </w:r>
          </w:p>
        </w:tc>
      </w:tr>
      <w:tr w:rsidR="00654890" w:rsidRPr="009D7D44" w:rsidTr="00ED3AC8">
        <w:tc>
          <w:tcPr>
            <w:tcW w:w="100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2013/14</w:t>
            </w:r>
          </w:p>
        </w:tc>
        <w:tc>
          <w:tcPr>
            <w:tcW w:w="8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2.85</w:t>
            </w:r>
          </w:p>
        </w:tc>
        <w:tc>
          <w:tcPr>
            <w:tcW w:w="1214"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830"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201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5.69</w:t>
            </w:r>
          </w:p>
        </w:tc>
        <w:tc>
          <w:tcPr>
            <w:tcW w:w="1523" w:type="dxa"/>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5.12</w:t>
            </w:r>
          </w:p>
        </w:tc>
      </w:tr>
      <w:tr w:rsidR="00654890" w:rsidRPr="009D7D44" w:rsidTr="00ED3AC8">
        <w:tc>
          <w:tcPr>
            <w:tcW w:w="1004"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2014/15</w:t>
            </w:r>
          </w:p>
        </w:tc>
        <w:tc>
          <w:tcPr>
            <w:tcW w:w="870"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1070"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NA</w:t>
            </w:r>
          </w:p>
        </w:tc>
        <w:tc>
          <w:tcPr>
            <w:tcW w:w="764"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vertAlign w:val="superscript"/>
              </w:rPr>
            </w:pPr>
            <w:r w:rsidRPr="009D7D44">
              <w:rPr>
                <w:sz w:val="22"/>
                <w:szCs w:val="22"/>
              </w:rPr>
              <w:t>2.85</w:t>
            </w:r>
            <w:r w:rsidRPr="009D7D44">
              <w:rPr>
                <w:sz w:val="22"/>
                <w:szCs w:val="22"/>
                <w:vertAlign w:val="superscript"/>
              </w:rPr>
              <w:t>A</w:t>
            </w:r>
          </w:p>
        </w:tc>
        <w:tc>
          <w:tcPr>
            <w:tcW w:w="1214"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830"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p>
        </w:tc>
        <w:tc>
          <w:tcPr>
            <w:tcW w:w="2013"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5.69</w:t>
            </w:r>
          </w:p>
        </w:tc>
        <w:tc>
          <w:tcPr>
            <w:tcW w:w="1523" w:type="dxa"/>
            <w:tcBorders>
              <w:bottom w:val="single" w:sz="4" w:space="0" w:color="auto"/>
            </w:tcBorders>
          </w:tcPr>
          <w:p w:rsidR="00654890" w:rsidRPr="009D7D44" w:rsidRDefault="00654890" w:rsidP="009D7D44">
            <w:pPr>
              <w:keepNext/>
              <w:widowControl/>
              <w:tabs>
                <w:tab w:val="left" w:pos="1842"/>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sz w:val="22"/>
                <w:szCs w:val="22"/>
              </w:rPr>
            </w:pPr>
            <w:r w:rsidRPr="009D7D44">
              <w:rPr>
                <w:sz w:val="22"/>
                <w:szCs w:val="22"/>
              </w:rPr>
              <w:t>5.12</w:t>
            </w:r>
          </w:p>
        </w:tc>
      </w:tr>
    </w:tbl>
    <w:p w:rsidR="00654890" w:rsidRPr="009D7D44" w:rsidRDefault="00654890" w:rsidP="009D7D44">
      <w:pPr>
        <w:keepNext/>
        <w:widowControl/>
        <w:autoSpaceDE w:val="0"/>
        <w:autoSpaceDN w:val="0"/>
        <w:adjustRightInd w:val="0"/>
        <w:spacing w:after="120"/>
        <w:rPr>
          <w:iCs/>
          <w:sz w:val="22"/>
          <w:szCs w:val="22"/>
        </w:rPr>
      </w:pPr>
      <w:r w:rsidRPr="009D7D44">
        <w:rPr>
          <w:iCs/>
          <w:sz w:val="22"/>
          <w:szCs w:val="22"/>
          <w:vertAlign w:val="superscript"/>
        </w:rPr>
        <w:t xml:space="preserve">A </w:t>
      </w:r>
      <w:r w:rsidRPr="009D7D44">
        <w:rPr>
          <w:iCs/>
          <w:sz w:val="22"/>
          <w:szCs w:val="22"/>
        </w:rPr>
        <w:t xml:space="preserve"> </w:t>
      </w:r>
      <w:r w:rsidRPr="009D7D44">
        <w:rPr>
          <w:color w:val="000000"/>
          <w:sz w:val="22"/>
          <w:szCs w:val="22"/>
          <w:shd w:val="clear" w:color="auto" w:fill="FFFFFF"/>
        </w:rPr>
        <w:t xml:space="preserve">The 2014/15 TAC </w:t>
      </w:r>
      <w:proofErr w:type="gramStart"/>
      <w:r w:rsidRPr="009D7D44">
        <w:rPr>
          <w:color w:val="000000"/>
          <w:sz w:val="22"/>
          <w:szCs w:val="22"/>
          <w:shd w:val="clear" w:color="auto" w:fill="FFFFFF"/>
        </w:rPr>
        <w:t>specified  in</w:t>
      </w:r>
      <w:proofErr w:type="gramEnd"/>
      <w:r w:rsidRPr="009D7D44">
        <w:rPr>
          <w:color w:val="000000"/>
          <w:sz w:val="22"/>
          <w:szCs w:val="22"/>
          <w:shd w:val="clear" w:color="auto" w:fill="FFFFFF"/>
        </w:rPr>
        <w:t xml:space="preserve"> ADFG regulation; however, the TAC is not established until the specifications are approved. </w:t>
      </w:r>
    </w:p>
    <w:p w:rsidR="00654890" w:rsidRPr="009D7D44" w:rsidRDefault="00654890" w:rsidP="00654890">
      <w:pPr>
        <w:autoSpaceDE w:val="0"/>
        <w:autoSpaceDN w:val="0"/>
        <w:adjustRightInd w:val="0"/>
        <w:spacing w:after="120"/>
        <w:jc w:val="both"/>
        <w:rPr>
          <w:sz w:val="22"/>
          <w:szCs w:val="22"/>
        </w:rPr>
      </w:pPr>
      <w:r w:rsidRPr="009D7D44">
        <w:rPr>
          <w:sz w:val="22"/>
          <w:szCs w:val="22"/>
        </w:rPr>
        <w:t xml:space="preserve">No overfished determination is possible for this stock given the lack of biomass information. Catch in 2012/13 was below the OFL therefore overfishing did not occur. </w:t>
      </w:r>
    </w:p>
    <w:p w:rsidR="00654890" w:rsidRPr="009D7D44" w:rsidRDefault="00654890" w:rsidP="00654890">
      <w:pPr>
        <w:autoSpaceDE w:val="0"/>
        <w:autoSpaceDN w:val="0"/>
        <w:adjustRightInd w:val="0"/>
        <w:spacing w:after="120"/>
        <w:rPr>
          <w:i/>
          <w:iCs/>
          <w:sz w:val="22"/>
          <w:szCs w:val="22"/>
        </w:rPr>
      </w:pPr>
      <w:r w:rsidRPr="009D7D44">
        <w:rPr>
          <w:i/>
          <w:iCs/>
          <w:sz w:val="22"/>
          <w:szCs w:val="22"/>
        </w:rPr>
        <w:t>Additional Plan Team recommendations</w:t>
      </w:r>
    </w:p>
    <w:p w:rsidR="00654890" w:rsidRPr="009D7D44" w:rsidRDefault="00654890" w:rsidP="00654890">
      <w:pPr>
        <w:widowControl/>
        <w:rPr>
          <w:sz w:val="22"/>
          <w:szCs w:val="22"/>
        </w:rPr>
      </w:pPr>
      <w:r w:rsidRPr="009D7D44">
        <w:rPr>
          <w:sz w:val="22"/>
          <w:szCs w:val="22"/>
        </w:rPr>
        <w:t xml:space="preserve">The CPT notes inconsistencies in how uncertainty is characterized between the OFL and ABC for the BSAI crab stocks. The CPT recommends the buffer for this stock be revisited after it conducts a more complete review on the methods used to establish buffers across all BSAI crab stocks. </w:t>
      </w:r>
    </w:p>
    <w:p w:rsidR="00654890" w:rsidRPr="009D7D44" w:rsidRDefault="00654890" w:rsidP="00654890">
      <w:pPr>
        <w:widowControl/>
        <w:rPr>
          <w:sz w:val="22"/>
          <w:szCs w:val="22"/>
        </w:rPr>
      </w:pPr>
    </w:p>
    <w:p w:rsidR="00654890" w:rsidRPr="009D7D44" w:rsidRDefault="00654890" w:rsidP="00654890">
      <w:pPr>
        <w:widowControl/>
        <w:rPr>
          <w:sz w:val="22"/>
          <w:szCs w:val="22"/>
        </w:rPr>
      </w:pPr>
      <w:r w:rsidRPr="009D7D44">
        <w:rPr>
          <w:sz w:val="22"/>
          <w:szCs w:val="22"/>
        </w:rPr>
        <w:t xml:space="preserve">The CPT received an update on the proposed assessment model for Aleutian Islands golden king crab.  However, the short lead-time for document review prevented the CPT from conducting a full review of the proposed model. A more thorough review of the model will occur at the September 2014 CPT meeting. </w:t>
      </w:r>
    </w:p>
    <w:p w:rsidR="00654890" w:rsidRPr="009D7D44" w:rsidRDefault="00654890" w:rsidP="00654890">
      <w:pPr>
        <w:rPr>
          <w:sz w:val="22"/>
          <w:szCs w:val="22"/>
        </w:rPr>
      </w:pPr>
    </w:p>
    <w:p w:rsidR="009D7D44" w:rsidRDefault="009D7D44">
      <w:pPr>
        <w:widowControl/>
        <w:spacing w:after="200" w:line="276" w:lineRule="auto"/>
        <w:rPr>
          <w:rFonts w:eastAsiaTheme="majorEastAsia" w:cstheme="majorBidi"/>
          <w:b/>
          <w:bCs/>
          <w:color w:val="000000" w:themeColor="text1"/>
          <w:sz w:val="28"/>
          <w:szCs w:val="28"/>
        </w:rPr>
      </w:pPr>
      <w:r>
        <w:br w:type="page"/>
      </w:r>
    </w:p>
    <w:p w:rsidR="00654890" w:rsidRPr="009D7D44" w:rsidRDefault="00654890" w:rsidP="009D7D44">
      <w:pPr>
        <w:pStyle w:val="Heading1"/>
        <w:jc w:val="left"/>
      </w:pPr>
      <w:r w:rsidRPr="009D7D44">
        <w:lastRenderedPageBreak/>
        <w:t>10</w:t>
      </w:r>
      <w:r w:rsidRPr="009D7D44">
        <w:tab/>
        <w:t>Adak red king crab, Aleutian Islands</w:t>
      </w:r>
    </w:p>
    <w:p w:rsidR="00654890" w:rsidRPr="009D7D44" w:rsidRDefault="00654890" w:rsidP="00654890">
      <w:pPr>
        <w:jc w:val="both"/>
        <w:rPr>
          <w:i/>
          <w:sz w:val="22"/>
          <w:szCs w:val="22"/>
        </w:rPr>
      </w:pPr>
    </w:p>
    <w:p w:rsidR="00654890" w:rsidRPr="009D7D44" w:rsidRDefault="00654890" w:rsidP="00654890">
      <w:pPr>
        <w:jc w:val="both"/>
        <w:rPr>
          <w:sz w:val="22"/>
          <w:szCs w:val="22"/>
        </w:rPr>
      </w:pPr>
      <w:r w:rsidRPr="009D7D44">
        <w:rPr>
          <w:i/>
          <w:sz w:val="22"/>
          <w:szCs w:val="22"/>
        </w:rPr>
        <w:t xml:space="preserve">Fishery information relative to OFL and ABC setting </w:t>
      </w:r>
    </w:p>
    <w:p w:rsidR="00654890" w:rsidRPr="009D7D44" w:rsidRDefault="00654890" w:rsidP="00654890">
      <w:pPr>
        <w:jc w:val="both"/>
        <w:rPr>
          <w:i/>
          <w:sz w:val="22"/>
          <w:szCs w:val="22"/>
        </w:rPr>
      </w:pPr>
    </w:p>
    <w:p w:rsidR="00654890" w:rsidRPr="009D7D44" w:rsidRDefault="00654890" w:rsidP="00654890">
      <w:pPr>
        <w:jc w:val="both"/>
        <w:rPr>
          <w:sz w:val="22"/>
          <w:szCs w:val="22"/>
        </w:rPr>
      </w:pPr>
      <w:r w:rsidRPr="009D7D44">
        <w:rPr>
          <w:sz w:val="22"/>
          <w:szCs w:val="22"/>
        </w:rPr>
        <w:t>The domestic fishery has been prosecuted since 1960/61 and was opened every season through the 1995/96 season. Since 1995/96, the fishery was opened only in 1998/99, and from 2000/01-2003/04. Peak harvest occurred during the 1964/65 season with a retained catch of 21.19 million lb. During the early years of the fishery through the late 1970s, most or all of the retained catch was harvested in the area between 172° W longitude and 179° 15’ W longitude. As the annual retained catch decreased into the mid-1970s and the early-1980s, a large portion of the retained catch came from the area west of 179° 15’ W longitude.</w:t>
      </w:r>
    </w:p>
    <w:p w:rsidR="00654890" w:rsidRPr="009D7D44" w:rsidRDefault="00654890" w:rsidP="00654890">
      <w:pPr>
        <w:jc w:val="both"/>
        <w:rPr>
          <w:sz w:val="22"/>
          <w:szCs w:val="22"/>
        </w:rPr>
      </w:pPr>
    </w:p>
    <w:p w:rsidR="00654890" w:rsidRPr="009D7D44" w:rsidRDefault="00654890" w:rsidP="00654890">
      <w:pPr>
        <w:jc w:val="both"/>
        <w:rPr>
          <w:sz w:val="22"/>
          <w:szCs w:val="22"/>
        </w:rPr>
      </w:pPr>
      <w:r w:rsidRPr="009D7D44">
        <w:rPr>
          <w:sz w:val="22"/>
          <w:szCs w:val="22"/>
        </w:rPr>
        <w:t xml:space="preserve">Retained catch during the 10-year period, 1985/86 through 1994/95, averaged 0.94 million </w:t>
      </w:r>
      <w:proofErr w:type="spellStart"/>
      <w:r w:rsidRPr="009D7D44">
        <w:rPr>
          <w:sz w:val="22"/>
          <w:szCs w:val="22"/>
        </w:rPr>
        <w:t>lb</w:t>
      </w:r>
      <w:proofErr w:type="spellEnd"/>
      <w:r w:rsidRPr="009D7D44">
        <w:rPr>
          <w:sz w:val="22"/>
          <w:szCs w:val="22"/>
        </w:rPr>
        <w:t xml:space="preserve">, but the retained catch during the 1995/96 season was low, only 0.04 million lb. There was an exploratory fishery with a low guideline harvest level (GHL) in 1998/99; three Commissioner’s permit fisheries in limited areas during 2000/01 and 2002/03 to allow for ADF&amp;G-Industry surveys, and two commercial fisheries with a GHL of 0.50 million lb. during the 2002/03 and 2003/04 seasons. Most of the catch since the 1990/91 season was harvested in the Petrel Bank area (between 179° W longitude and 179° E longitude) and the last two commercial fishery seasons (2002/03 and 2003/04) were opened only in the Petrel Bank area. Retained catches in those two seasons were 0.51 million </w:t>
      </w:r>
      <w:proofErr w:type="spellStart"/>
      <w:r w:rsidRPr="009D7D44">
        <w:rPr>
          <w:sz w:val="22"/>
          <w:szCs w:val="22"/>
        </w:rPr>
        <w:t>lb</w:t>
      </w:r>
      <w:proofErr w:type="spellEnd"/>
      <w:r w:rsidRPr="009D7D44">
        <w:rPr>
          <w:sz w:val="22"/>
          <w:szCs w:val="22"/>
        </w:rPr>
        <w:t xml:space="preserve"> (2002/03) and 0.48 million </w:t>
      </w:r>
      <w:proofErr w:type="spellStart"/>
      <w:r w:rsidRPr="009D7D44">
        <w:rPr>
          <w:sz w:val="22"/>
          <w:szCs w:val="22"/>
        </w:rPr>
        <w:t>lb</w:t>
      </w:r>
      <w:proofErr w:type="spellEnd"/>
      <w:r w:rsidRPr="009D7D44">
        <w:rPr>
          <w:sz w:val="22"/>
          <w:szCs w:val="22"/>
        </w:rPr>
        <w:t xml:space="preserve"> (2003/04). The fishery has been closed since the end of the 2003/04 season. </w:t>
      </w:r>
    </w:p>
    <w:p w:rsidR="00654890" w:rsidRPr="009D7D44" w:rsidRDefault="00654890" w:rsidP="00654890">
      <w:pPr>
        <w:jc w:val="both"/>
        <w:rPr>
          <w:sz w:val="22"/>
          <w:szCs w:val="22"/>
        </w:rPr>
      </w:pPr>
    </w:p>
    <w:p w:rsidR="00654890" w:rsidRPr="009D7D44" w:rsidRDefault="00654890" w:rsidP="00654890">
      <w:pPr>
        <w:jc w:val="both"/>
        <w:rPr>
          <w:sz w:val="22"/>
          <w:szCs w:val="22"/>
        </w:rPr>
      </w:pPr>
      <w:r w:rsidRPr="009D7D44">
        <w:rPr>
          <w:sz w:val="22"/>
          <w:szCs w:val="22"/>
        </w:rPr>
        <w:t xml:space="preserve">Non-retained catch of red king crabs occurs in both the directed red king crab fishery (when prosecuted), in the Aleutian Islands golden king crab fishery, and in </w:t>
      </w:r>
      <w:proofErr w:type="spellStart"/>
      <w:r w:rsidRPr="009D7D44">
        <w:rPr>
          <w:sz w:val="22"/>
          <w:szCs w:val="22"/>
        </w:rPr>
        <w:t>groundfish</w:t>
      </w:r>
      <w:proofErr w:type="spellEnd"/>
      <w:r w:rsidRPr="009D7D44">
        <w:rPr>
          <w:sz w:val="22"/>
          <w:szCs w:val="22"/>
        </w:rPr>
        <w:t xml:space="preserve"> fisheries. Estimated </w:t>
      </w:r>
      <w:proofErr w:type="spellStart"/>
      <w:r w:rsidRPr="009D7D44">
        <w:rPr>
          <w:sz w:val="22"/>
          <w:szCs w:val="22"/>
        </w:rPr>
        <w:t>bycatch</w:t>
      </w:r>
      <w:proofErr w:type="spellEnd"/>
      <w:r w:rsidRPr="009D7D44">
        <w:rPr>
          <w:sz w:val="22"/>
          <w:szCs w:val="22"/>
        </w:rPr>
        <w:t xml:space="preserve"> mortality during the 1995/96-201</w:t>
      </w:r>
      <w:r w:rsidR="00BE4556" w:rsidRPr="009D7D44">
        <w:rPr>
          <w:sz w:val="22"/>
          <w:szCs w:val="22"/>
        </w:rPr>
        <w:t>2</w:t>
      </w:r>
      <w:r w:rsidRPr="009D7D44">
        <w:rPr>
          <w:sz w:val="22"/>
          <w:szCs w:val="22"/>
        </w:rPr>
        <w:t xml:space="preserve">/13 seasons averaged 0.002 million </w:t>
      </w:r>
      <w:proofErr w:type="spellStart"/>
      <w:r w:rsidRPr="009D7D44">
        <w:rPr>
          <w:sz w:val="22"/>
          <w:szCs w:val="22"/>
        </w:rPr>
        <w:t>lb</w:t>
      </w:r>
      <w:proofErr w:type="spellEnd"/>
      <w:r w:rsidRPr="009D7D44">
        <w:rPr>
          <w:sz w:val="22"/>
          <w:szCs w:val="22"/>
        </w:rPr>
        <w:t xml:space="preserve"> in crab fisheries and 0.019 million </w:t>
      </w:r>
      <w:proofErr w:type="spellStart"/>
      <w:r w:rsidRPr="009D7D44">
        <w:rPr>
          <w:sz w:val="22"/>
          <w:szCs w:val="22"/>
        </w:rPr>
        <w:t>lb</w:t>
      </w:r>
      <w:proofErr w:type="spellEnd"/>
      <w:r w:rsidRPr="009D7D44">
        <w:rPr>
          <w:sz w:val="22"/>
          <w:szCs w:val="22"/>
        </w:rPr>
        <w:t xml:space="preserve"> in </w:t>
      </w:r>
      <w:proofErr w:type="spellStart"/>
      <w:r w:rsidRPr="009D7D44">
        <w:rPr>
          <w:sz w:val="22"/>
          <w:szCs w:val="22"/>
        </w:rPr>
        <w:t>groundfish</w:t>
      </w:r>
      <w:proofErr w:type="spellEnd"/>
      <w:r w:rsidRPr="009D7D44">
        <w:rPr>
          <w:sz w:val="22"/>
          <w:szCs w:val="22"/>
        </w:rPr>
        <w:t xml:space="preserve"> fisheries. Estimated annual total fishing mortality (in terms of total crab removal) during 1995/96-201</w:t>
      </w:r>
      <w:r w:rsidR="0011037F" w:rsidRPr="009D7D44">
        <w:rPr>
          <w:sz w:val="22"/>
          <w:szCs w:val="22"/>
        </w:rPr>
        <w:t>2</w:t>
      </w:r>
      <w:r w:rsidRPr="009D7D44">
        <w:rPr>
          <w:sz w:val="22"/>
          <w:szCs w:val="22"/>
        </w:rPr>
        <w:t xml:space="preserve">/13 averaged 0.091 million lb. The average retained catch during that period was 0.070 million lb. This fishery is rationalized under the Crab Rationalization Program only for the area west of 179° W longitude.  </w:t>
      </w:r>
      <w:proofErr w:type="spellStart"/>
      <w:r w:rsidRPr="009D7D44">
        <w:rPr>
          <w:sz w:val="22"/>
          <w:szCs w:val="22"/>
        </w:rPr>
        <w:t>Bycatch</w:t>
      </w:r>
      <w:proofErr w:type="spellEnd"/>
      <w:r w:rsidRPr="009D7D44">
        <w:rPr>
          <w:sz w:val="22"/>
          <w:szCs w:val="22"/>
        </w:rPr>
        <w:t xml:space="preserve"> in 2012/13 was 196 </w:t>
      </w:r>
      <w:proofErr w:type="spellStart"/>
      <w:r w:rsidRPr="009D7D44">
        <w:rPr>
          <w:sz w:val="22"/>
          <w:szCs w:val="22"/>
        </w:rPr>
        <w:t>lb</w:t>
      </w:r>
      <w:proofErr w:type="spellEnd"/>
      <w:r w:rsidRPr="009D7D44">
        <w:rPr>
          <w:sz w:val="22"/>
          <w:szCs w:val="22"/>
        </w:rPr>
        <w:t xml:space="preserve"> in crab fisheries and 428 </w:t>
      </w:r>
      <w:proofErr w:type="spellStart"/>
      <w:r w:rsidRPr="009D7D44">
        <w:rPr>
          <w:sz w:val="22"/>
          <w:szCs w:val="22"/>
        </w:rPr>
        <w:t>lb</w:t>
      </w:r>
      <w:proofErr w:type="spellEnd"/>
      <w:r w:rsidRPr="009D7D44">
        <w:rPr>
          <w:sz w:val="22"/>
          <w:szCs w:val="22"/>
        </w:rPr>
        <w:t xml:space="preserve"> in </w:t>
      </w:r>
      <w:proofErr w:type="spellStart"/>
      <w:r w:rsidRPr="009D7D44">
        <w:rPr>
          <w:sz w:val="22"/>
          <w:szCs w:val="22"/>
        </w:rPr>
        <w:t>groundfish</w:t>
      </w:r>
      <w:proofErr w:type="spellEnd"/>
      <w:r w:rsidRPr="009D7D44">
        <w:rPr>
          <w:sz w:val="22"/>
          <w:szCs w:val="22"/>
        </w:rPr>
        <w:t xml:space="preserve"> fisheries (total catch 624 </w:t>
      </w:r>
      <w:proofErr w:type="spellStart"/>
      <w:r w:rsidRPr="009D7D44">
        <w:rPr>
          <w:sz w:val="22"/>
          <w:szCs w:val="22"/>
        </w:rPr>
        <w:t>lb</w:t>
      </w:r>
      <w:proofErr w:type="spellEnd"/>
      <w:r w:rsidRPr="009D7D44">
        <w:rPr>
          <w:sz w:val="22"/>
          <w:szCs w:val="22"/>
        </w:rPr>
        <w:t xml:space="preserve">). </w:t>
      </w:r>
    </w:p>
    <w:p w:rsidR="00654890" w:rsidRPr="009D7D44" w:rsidRDefault="00654890" w:rsidP="00654890">
      <w:pPr>
        <w:jc w:val="both"/>
        <w:rPr>
          <w:sz w:val="22"/>
          <w:szCs w:val="22"/>
        </w:rPr>
      </w:pPr>
    </w:p>
    <w:p w:rsidR="00654890" w:rsidRPr="009D7D44" w:rsidRDefault="00654890" w:rsidP="00654890">
      <w:pPr>
        <w:keepNext/>
        <w:widowControl/>
        <w:jc w:val="both"/>
        <w:rPr>
          <w:i/>
          <w:sz w:val="22"/>
          <w:szCs w:val="22"/>
        </w:rPr>
      </w:pPr>
      <w:r w:rsidRPr="009D7D44">
        <w:rPr>
          <w:i/>
          <w:sz w:val="22"/>
          <w:szCs w:val="22"/>
        </w:rPr>
        <w:t>Data and assessment methodology</w:t>
      </w:r>
    </w:p>
    <w:p w:rsidR="00654890" w:rsidRPr="009D7D44" w:rsidRDefault="00654890" w:rsidP="00654890">
      <w:pPr>
        <w:keepNext/>
        <w:widowControl/>
        <w:jc w:val="both"/>
        <w:rPr>
          <w:sz w:val="22"/>
          <w:szCs w:val="22"/>
        </w:rPr>
      </w:pPr>
    </w:p>
    <w:p w:rsidR="00654890" w:rsidRPr="009D7D44" w:rsidRDefault="00654890" w:rsidP="00654890">
      <w:pPr>
        <w:keepNext/>
        <w:widowControl/>
        <w:jc w:val="both"/>
        <w:rPr>
          <w:sz w:val="22"/>
          <w:szCs w:val="22"/>
        </w:rPr>
      </w:pPr>
      <w:r w:rsidRPr="009D7D44">
        <w:rPr>
          <w:sz w:val="22"/>
          <w:szCs w:val="22"/>
        </w:rPr>
        <w:t xml:space="preserve">The 1960/61-2007/08 time series of retained catch (number and pounds of crabs), effort (vessels, landings and pot lifts), average weight and average carapace length of landed crabs, and catch-per-unit effort (number of crabs per pot lift) are available. </w:t>
      </w:r>
      <w:proofErr w:type="spellStart"/>
      <w:r w:rsidRPr="009D7D44">
        <w:rPr>
          <w:sz w:val="22"/>
          <w:szCs w:val="22"/>
        </w:rPr>
        <w:t>Bycatch</w:t>
      </w:r>
      <w:proofErr w:type="spellEnd"/>
      <w:r w:rsidRPr="009D7D44">
        <w:rPr>
          <w:sz w:val="22"/>
          <w:szCs w:val="22"/>
        </w:rPr>
        <w:t xml:space="preserve"> from crab fisheries during 1995/96-2012/13 and from </w:t>
      </w:r>
      <w:proofErr w:type="spellStart"/>
      <w:r w:rsidRPr="009D7D44">
        <w:rPr>
          <w:sz w:val="22"/>
          <w:szCs w:val="22"/>
        </w:rPr>
        <w:t>groundfish</w:t>
      </w:r>
      <w:proofErr w:type="spellEnd"/>
      <w:r w:rsidRPr="009D7D44">
        <w:rPr>
          <w:sz w:val="22"/>
          <w:szCs w:val="22"/>
        </w:rPr>
        <w:t xml:space="preserve"> fisheries during 1993/94-2012/13 are available. There is no assessment model for this stock. The standardized surveys of the Petrel Bank area conducted by ADF&amp;G in 2006 and 2009 and the ADF&amp;G-Industry Petrel Bank surveys conducted in 2001 have been too limited in geographic scope and too infrequent for reliable estimation of abundance for the entire western Aleutian Islands area.</w:t>
      </w:r>
    </w:p>
    <w:p w:rsidR="00654890" w:rsidRPr="009D7D44" w:rsidRDefault="00654890" w:rsidP="00654890">
      <w:pPr>
        <w:jc w:val="both"/>
        <w:rPr>
          <w:sz w:val="22"/>
          <w:szCs w:val="22"/>
        </w:rPr>
      </w:pPr>
    </w:p>
    <w:p w:rsidR="00654890" w:rsidRPr="009D7D44" w:rsidRDefault="00654890" w:rsidP="00654890">
      <w:pPr>
        <w:jc w:val="both"/>
        <w:rPr>
          <w:sz w:val="22"/>
          <w:szCs w:val="22"/>
        </w:rPr>
      </w:pPr>
      <w:r w:rsidRPr="009D7D44">
        <w:rPr>
          <w:i/>
          <w:sz w:val="22"/>
          <w:szCs w:val="22"/>
        </w:rPr>
        <w:t>Stock biomass and recruitment trends</w:t>
      </w:r>
    </w:p>
    <w:p w:rsidR="00654890" w:rsidRPr="009D7D44" w:rsidRDefault="00654890" w:rsidP="00654890">
      <w:pPr>
        <w:jc w:val="both"/>
        <w:rPr>
          <w:sz w:val="22"/>
          <w:szCs w:val="22"/>
        </w:rPr>
      </w:pPr>
    </w:p>
    <w:p w:rsidR="00654890" w:rsidRPr="009D7D44" w:rsidRDefault="00654890" w:rsidP="00654890">
      <w:pPr>
        <w:jc w:val="both"/>
        <w:rPr>
          <w:sz w:val="22"/>
          <w:szCs w:val="22"/>
        </w:rPr>
      </w:pPr>
      <w:r w:rsidRPr="009D7D44">
        <w:rPr>
          <w:sz w:val="22"/>
          <w:szCs w:val="22"/>
        </w:rPr>
        <w:t>Estimates of stock biomass are not available for this stock. Estimates of recruitment trends and current levels relative to virgin or historic levels are not available. The fishery has been closed since the end of 2003/04 season due to apparent poor recruitment. An ADF&amp;G-Industry survey was conducted as a commissioner’s permit fishery in the Adak-Atka-</w:t>
      </w:r>
      <w:proofErr w:type="spellStart"/>
      <w:r w:rsidRPr="009D7D44">
        <w:rPr>
          <w:sz w:val="22"/>
          <w:szCs w:val="22"/>
        </w:rPr>
        <w:t>Amlia</w:t>
      </w:r>
      <w:proofErr w:type="spellEnd"/>
      <w:r w:rsidRPr="009D7D44">
        <w:rPr>
          <w:sz w:val="22"/>
          <w:szCs w:val="22"/>
        </w:rPr>
        <w:t xml:space="preserve"> Islands area in November 2002 and provided no evidence of recruitment sufficient to support a commercial fishery. A pot survey conducted by ADF&amp;G in the Petrel Bank area in 2006 provided no evidence of strong recruitment. A 2009 survey conducted by ADF&amp;G in the Petrel Bank area encountered a smaller, ageing population with the catch of legal male </w:t>
      </w:r>
      <w:r w:rsidRPr="009D7D44">
        <w:rPr>
          <w:sz w:val="22"/>
          <w:szCs w:val="22"/>
        </w:rPr>
        <w:lastRenderedPageBreak/>
        <w:t>crab occurring in a more limited area and at lower densities than were found in the 2006 survey and provided no expectations for recruitment. A test fishery conducted by a commercial vessel during October-December 2009 in the area west of Petrel Bank yielded only one legal male red king crab.</w:t>
      </w:r>
    </w:p>
    <w:p w:rsidR="00654890" w:rsidRPr="009D7D44" w:rsidRDefault="00654890" w:rsidP="00654890">
      <w:pPr>
        <w:jc w:val="both"/>
        <w:rPr>
          <w:i/>
          <w:sz w:val="22"/>
          <w:szCs w:val="22"/>
        </w:rPr>
      </w:pPr>
    </w:p>
    <w:p w:rsidR="00654890" w:rsidRPr="009D7D44" w:rsidRDefault="00654890" w:rsidP="00654890">
      <w:pPr>
        <w:jc w:val="both"/>
        <w:rPr>
          <w:i/>
          <w:sz w:val="22"/>
          <w:szCs w:val="22"/>
        </w:rPr>
      </w:pPr>
      <w:r w:rsidRPr="009D7D44">
        <w:rPr>
          <w:i/>
          <w:sz w:val="22"/>
          <w:szCs w:val="22"/>
        </w:rPr>
        <w:t>Tier determination/Plan Team discussion and resulting OFL and ABC determination</w:t>
      </w:r>
    </w:p>
    <w:p w:rsidR="00654890" w:rsidRPr="009D7D44" w:rsidRDefault="00654890" w:rsidP="00654890">
      <w:pPr>
        <w:jc w:val="both"/>
        <w:rPr>
          <w:i/>
          <w:sz w:val="22"/>
          <w:szCs w:val="22"/>
        </w:rPr>
      </w:pPr>
    </w:p>
    <w:p w:rsidR="00654890" w:rsidRPr="009D7D44" w:rsidRDefault="00654890" w:rsidP="00654890">
      <w:pPr>
        <w:jc w:val="both"/>
        <w:rPr>
          <w:sz w:val="22"/>
          <w:szCs w:val="22"/>
        </w:rPr>
      </w:pPr>
      <w:r w:rsidRPr="009D7D44">
        <w:rPr>
          <w:sz w:val="22"/>
          <w:szCs w:val="22"/>
        </w:rPr>
        <w:t xml:space="preserve">The CPT recommends that this stock be managed under Tier 5 for the 2014/15 season. The CPT concurs with the assessment author’s recommendation of an OFL based on the 1995/96–2007/08 average total catch following the recommendation of the SSC in June 2010 to freeze the time period for computing the OFL at 1995/96–2007/08. The CPT recommends an OFL for 2014/15 of 0.12 million lb. </w:t>
      </w:r>
    </w:p>
    <w:p w:rsidR="00654890" w:rsidRPr="009D7D44" w:rsidRDefault="00654890" w:rsidP="00654890">
      <w:pPr>
        <w:jc w:val="both"/>
        <w:rPr>
          <w:sz w:val="22"/>
          <w:szCs w:val="22"/>
        </w:rPr>
      </w:pPr>
    </w:p>
    <w:p w:rsidR="00654890" w:rsidRPr="009D7D44" w:rsidRDefault="00654890" w:rsidP="00654890">
      <w:pPr>
        <w:jc w:val="both"/>
        <w:rPr>
          <w:sz w:val="22"/>
          <w:szCs w:val="22"/>
        </w:rPr>
      </w:pPr>
      <w:r w:rsidRPr="009D7D44">
        <w:rPr>
          <w:sz w:val="22"/>
          <w:szCs w:val="22"/>
        </w:rPr>
        <w:t xml:space="preserve">The Team continues to have concerns regarding the depleted status of this stock.  </w:t>
      </w:r>
      <w:proofErr w:type="spellStart"/>
      <w:r w:rsidRPr="009D7D44">
        <w:rPr>
          <w:sz w:val="22"/>
          <w:szCs w:val="22"/>
        </w:rPr>
        <w:t>Groundfish</w:t>
      </w:r>
      <w:proofErr w:type="spellEnd"/>
      <w:r w:rsidRPr="009D7D44">
        <w:rPr>
          <w:sz w:val="22"/>
          <w:szCs w:val="22"/>
        </w:rPr>
        <w:t xml:space="preserve"> </w:t>
      </w:r>
      <w:proofErr w:type="spellStart"/>
      <w:r w:rsidRPr="009D7D44">
        <w:rPr>
          <w:sz w:val="22"/>
          <w:szCs w:val="22"/>
        </w:rPr>
        <w:t>bycatch</w:t>
      </w:r>
      <w:proofErr w:type="spellEnd"/>
      <w:r w:rsidRPr="009D7D44">
        <w:rPr>
          <w:sz w:val="22"/>
          <w:szCs w:val="22"/>
        </w:rPr>
        <w:t xml:space="preserve"> in recent years has accounted for the majority of the catch of this stock.  The maximum permissible ABC is 0.11 million </w:t>
      </w:r>
      <w:proofErr w:type="spellStart"/>
      <w:r w:rsidRPr="009D7D44">
        <w:rPr>
          <w:sz w:val="22"/>
          <w:szCs w:val="22"/>
        </w:rPr>
        <w:t>lb</w:t>
      </w:r>
      <w:proofErr w:type="spellEnd"/>
      <w:r w:rsidRPr="009D7D44">
        <w:rPr>
          <w:sz w:val="22"/>
          <w:szCs w:val="22"/>
        </w:rPr>
        <w:t xml:space="preserve"> based on the Tier 5 control rule of a 10% buffer on the OFL.  </w:t>
      </w:r>
    </w:p>
    <w:p w:rsidR="00654890" w:rsidRPr="009D7D44" w:rsidRDefault="00654890" w:rsidP="00654890">
      <w:pPr>
        <w:rPr>
          <w:sz w:val="22"/>
          <w:szCs w:val="22"/>
        </w:rPr>
      </w:pPr>
    </w:p>
    <w:p w:rsidR="00654890" w:rsidRPr="009D7D44" w:rsidRDefault="00654890" w:rsidP="00654890">
      <w:pPr>
        <w:rPr>
          <w:sz w:val="22"/>
          <w:szCs w:val="22"/>
        </w:rPr>
      </w:pPr>
      <w:r w:rsidRPr="009D7D44">
        <w:rPr>
          <w:sz w:val="22"/>
          <w:szCs w:val="22"/>
        </w:rPr>
        <w:t xml:space="preserve">The CPT recommends an ABC of 0.074 million </w:t>
      </w:r>
      <w:proofErr w:type="spellStart"/>
      <w:r w:rsidRPr="009D7D44">
        <w:rPr>
          <w:sz w:val="22"/>
          <w:szCs w:val="22"/>
        </w:rPr>
        <w:t>lb</w:t>
      </w:r>
      <w:proofErr w:type="spellEnd"/>
      <w:r w:rsidRPr="009D7D44">
        <w:rPr>
          <w:sz w:val="22"/>
          <w:szCs w:val="22"/>
        </w:rPr>
        <w:t xml:space="preserve"> for 2014/15, which is below the maximum permissible ABC (</w:t>
      </w:r>
      <w:proofErr w:type="spellStart"/>
      <w:r w:rsidRPr="009D7D44">
        <w:rPr>
          <w:sz w:val="22"/>
          <w:szCs w:val="22"/>
        </w:rPr>
        <w:t>maxABC</w:t>
      </w:r>
      <w:proofErr w:type="spellEnd"/>
      <w:r w:rsidRPr="009D7D44">
        <w:rPr>
          <w:sz w:val="22"/>
          <w:szCs w:val="22"/>
        </w:rPr>
        <w:t xml:space="preserve"> = 0.11 million </w:t>
      </w:r>
      <w:proofErr w:type="spellStart"/>
      <w:r w:rsidRPr="009D7D44">
        <w:rPr>
          <w:sz w:val="22"/>
          <w:szCs w:val="22"/>
        </w:rPr>
        <w:t>lb</w:t>
      </w:r>
      <w:proofErr w:type="spellEnd"/>
      <w:r w:rsidRPr="009D7D44">
        <w:rPr>
          <w:sz w:val="22"/>
          <w:szCs w:val="22"/>
        </w:rPr>
        <w:t xml:space="preserve">).  Industry has expressed interest in past years in an exploratory fishery around the Adak area based on anecdotal information that there may be legal crab available in this stock.  Industry chose not to conduct a test fishery in 2012/13 and no such test fishery has been scheduled to date for 2014.  </w:t>
      </w:r>
    </w:p>
    <w:p w:rsidR="00654890" w:rsidRPr="009D7D44" w:rsidRDefault="00654890" w:rsidP="00654890">
      <w:pPr>
        <w:jc w:val="both"/>
        <w:rPr>
          <w:sz w:val="22"/>
          <w:szCs w:val="22"/>
        </w:rPr>
      </w:pPr>
    </w:p>
    <w:p w:rsidR="00654890" w:rsidRPr="009D7D44" w:rsidRDefault="00654890" w:rsidP="00654890">
      <w:pPr>
        <w:keepNext/>
        <w:widowControl/>
        <w:jc w:val="both"/>
        <w:rPr>
          <w:i/>
          <w:sz w:val="22"/>
          <w:szCs w:val="22"/>
        </w:rPr>
      </w:pPr>
    </w:p>
    <w:p w:rsidR="00654890" w:rsidRPr="009D7D44" w:rsidRDefault="00654890" w:rsidP="00654890">
      <w:pPr>
        <w:keepNext/>
        <w:widowControl/>
        <w:jc w:val="both"/>
        <w:rPr>
          <w:i/>
          <w:sz w:val="22"/>
          <w:szCs w:val="22"/>
        </w:rPr>
      </w:pPr>
      <w:proofErr w:type="gramStart"/>
      <w:r w:rsidRPr="009D7D44">
        <w:rPr>
          <w:i/>
          <w:sz w:val="22"/>
          <w:szCs w:val="22"/>
        </w:rPr>
        <w:t xml:space="preserve">Status and catch specifications (millions of </w:t>
      </w:r>
      <w:proofErr w:type="spellStart"/>
      <w:r w:rsidRPr="009D7D44">
        <w:rPr>
          <w:i/>
          <w:sz w:val="22"/>
          <w:szCs w:val="22"/>
        </w:rPr>
        <w:t>lb</w:t>
      </w:r>
      <w:proofErr w:type="spellEnd"/>
      <w:r w:rsidRPr="009D7D44">
        <w:rPr>
          <w:i/>
          <w:sz w:val="22"/>
          <w:szCs w:val="22"/>
        </w:rPr>
        <w:t xml:space="preserve">) of </w:t>
      </w:r>
      <w:r w:rsidR="0011037F" w:rsidRPr="009D7D44">
        <w:rPr>
          <w:i/>
          <w:sz w:val="22"/>
          <w:szCs w:val="22"/>
        </w:rPr>
        <w:t xml:space="preserve">WAI </w:t>
      </w:r>
      <w:r w:rsidRPr="009D7D44">
        <w:rPr>
          <w:i/>
          <w:sz w:val="22"/>
          <w:szCs w:val="22"/>
        </w:rPr>
        <w:t>RKC.</w:t>
      </w:r>
      <w:proofErr w:type="gramEnd"/>
    </w:p>
    <w:tbl>
      <w:tblPr>
        <w:tblW w:w="4506" w:type="pct"/>
        <w:tblInd w:w="108" w:type="dxa"/>
        <w:tblLook w:val="00A0" w:firstRow="1" w:lastRow="0" w:firstColumn="1" w:lastColumn="0" w:noHBand="0" w:noVBand="0"/>
      </w:tblPr>
      <w:tblGrid>
        <w:gridCol w:w="1019"/>
        <w:gridCol w:w="882"/>
        <w:gridCol w:w="1080"/>
        <w:gridCol w:w="1198"/>
        <w:gridCol w:w="1146"/>
        <w:gridCol w:w="1080"/>
        <w:gridCol w:w="1165"/>
        <w:gridCol w:w="1060"/>
      </w:tblGrid>
      <w:tr w:rsidR="00654890" w:rsidRPr="009D7D44" w:rsidTr="00654890">
        <w:trPr>
          <w:trHeight w:val="464"/>
        </w:trPr>
        <w:tc>
          <w:tcPr>
            <w:tcW w:w="590"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Year</w:t>
            </w:r>
          </w:p>
        </w:tc>
        <w:tc>
          <w:tcPr>
            <w:tcW w:w="511" w:type="pct"/>
            <w:tcBorders>
              <w:top w:val="single" w:sz="8" w:space="0" w:color="auto"/>
              <w:left w:val="nil"/>
              <w:bottom w:val="single" w:sz="8" w:space="0" w:color="auto"/>
              <w:right w:val="nil"/>
            </w:tcBorders>
            <w:vAlign w:val="center"/>
            <w:hideMark/>
          </w:tcPr>
          <w:p w:rsidR="00654890" w:rsidRPr="009D7D44" w:rsidRDefault="00654890">
            <w:pPr>
              <w:keepNext/>
              <w:widowControl/>
              <w:snapToGrid w:val="0"/>
              <w:spacing w:line="276" w:lineRule="auto"/>
              <w:jc w:val="center"/>
              <w:rPr>
                <w:b/>
                <w:bCs/>
                <w:sz w:val="22"/>
                <w:szCs w:val="22"/>
              </w:rPr>
            </w:pPr>
            <w:r w:rsidRPr="009D7D44">
              <w:rPr>
                <w:b/>
                <w:bCs/>
                <w:sz w:val="22"/>
                <w:szCs w:val="22"/>
              </w:rPr>
              <w:t>MSST</w:t>
            </w:r>
          </w:p>
        </w:tc>
        <w:tc>
          <w:tcPr>
            <w:tcW w:w="626"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Biomass (MMB)</w:t>
            </w:r>
          </w:p>
        </w:tc>
        <w:tc>
          <w:tcPr>
            <w:tcW w:w="69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TAC</w:t>
            </w:r>
          </w:p>
        </w:tc>
        <w:tc>
          <w:tcPr>
            <w:tcW w:w="66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Retained Catch</w:t>
            </w:r>
          </w:p>
        </w:tc>
        <w:tc>
          <w:tcPr>
            <w:tcW w:w="626"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Total Catch</w:t>
            </w:r>
          </w:p>
        </w:tc>
        <w:tc>
          <w:tcPr>
            <w:tcW w:w="675"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OFL</w:t>
            </w:r>
          </w:p>
        </w:tc>
        <w:tc>
          <w:tcPr>
            <w:tcW w:w="61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ABC</w:t>
            </w:r>
          </w:p>
        </w:tc>
      </w:tr>
      <w:tr w:rsidR="00654890" w:rsidRPr="009D7D44" w:rsidTr="00654890">
        <w:trPr>
          <w:trHeight w:val="310"/>
        </w:trPr>
        <w:tc>
          <w:tcPr>
            <w:tcW w:w="590" w:type="pct"/>
            <w:vAlign w:val="center"/>
            <w:hideMark/>
          </w:tcPr>
          <w:p w:rsidR="00654890" w:rsidRPr="009D7D44" w:rsidRDefault="00654890">
            <w:pPr>
              <w:keepNext/>
              <w:snapToGrid w:val="0"/>
              <w:spacing w:line="276" w:lineRule="auto"/>
              <w:jc w:val="center"/>
              <w:rPr>
                <w:sz w:val="22"/>
                <w:szCs w:val="22"/>
              </w:rPr>
            </w:pPr>
            <w:r w:rsidRPr="009D7D44">
              <w:rPr>
                <w:sz w:val="22"/>
                <w:szCs w:val="22"/>
              </w:rPr>
              <w:t>2010/11</w:t>
            </w:r>
          </w:p>
        </w:tc>
        <w:tc>
          <w:tcPr>
            <w:tcW w:w="511" w:type="pct"/>
            <w:hideMark/>
          </w:tcPr>
          <w:p w:rsidR="00654890" w:rsidRPr="009D7D44" w:rsidRDefault="00654890">
            <w:pPr>
              <w:keepNext/>
              <w:widowControl/>
              <w:snapToGrid w:val="0"/>
              <w:spacing w:line="276" w:lineRule="auto"/>
              <w:jc w:val="center"/>
              <w:rPr>
                <w:sz w:val="22"/>
                <w:szCs w:val="22"/>
              </w:rPr>
            </w:pPr>
            <w:r w:rsidRPr="009D7D44">
              <w:rPr>
                <w:sz w:val="22"/>
                <w:szCs w:val="22"/>
              </w:rPr>
              <w:t>NA</w:t>
            </w:r>
          </w:p>
        </w:tc>
        <w:tc>
          <w:tcPr>
            <w:tcW w:w="626" w:type="pct"/>
            <w:hideMark/>
          </w:tcPr>
          <w:p w:rsidR="00654890" w:rsidRPr="009D7D44" w:rsidRDefault="00654890">
            <w:pPr>
              <w:keepNext/>
              <w:snapToGrid w:val="0"/>
              <w:spacing w:line="276" w:lineRule="auto"/>
              <w:jc w:val="center"/>
              <w:rPr>
                <w:sz w:val="22"/>
                <w:szCs w:val="22"/>
              </w:rPr>
            </w:pPr>
            <w:r w:rsidRPr="009D7D44">
              <w:rPr>
                <w:sz w:val="22"/>
                <w:szCs w:val="22"/>
              </w:rPr>
              <w:t>NA</w:t>
            </w:r>
          </w:p>
        </w:tc>
        <w:tc>
          <w:tcPr>
            <w:tcW w:w="69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Closed</w:t>
            </w:r>
          </w:p>
        </w:tc>
        <w:tc>
          <w:tcPr>
            <w:tcW w:w="66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0</w:t>
            </w:r>
          </w:p>
        </w:tc>
        <w:tc>
          <w:tcPr>
            <w:tcW w:w="626" w:type="pct"/>
            <w:vAlign w:val="center"/>
            <w:hideMark/>
          </w:tcPr>
          <w:p w:rsidR="00654890" w:rsidRPr="009D7D44" w:rsidRDefault="00654890">
            <w:pPr>
              <w:keepNext/>
              <w:snapToGrid w:val="0"/>
              <w:spacing w:line="276" w:lineRule="auto"/>
              <w:jc w:val="center"/>
              <w:rPr>
                <w:sz w:val="22"/>
                <w:szCs w:val="22"/>
              </w:rPr>
            </w:pPr>
            <w:r w:rsidRPr="009D7D44">
              <w:rPr>
                <w:sz w:val="22"/>
                <w:szCs w:val="22"/>
              </w:rPr>
              <w:t>0.004</w:t>
            </w:r>
          </w:p>
        </w:tc>
        <w:tc>
          <w:tcPr>
            <w:tcW w:w="675" w:type="pct"/>
            <w:vAlign w:val="bottom"/>
            <w:hideMark/>
          </w:tcPr>
          <w:p w:rsidR="00654890" w:rsidRPr="009D7D44" w:rsidRDefault="00654890">
            <w:pPr>
              <w:widowControl/>
              <w:snapToGrid w:val="0"/>
              <w:spacing w:line="276" w:lineRule="auto"/>
              <w:jc w:val="center"/>
              <w:rPr>
                <w:sz w:val="22"/>
                <w:szCs w:val="22"/>
                <w:vertAlign w:val="superscript"/>
              </w:rPr>
            </w:pPr>
            <w:r w:rsidRPr="009D7D44">
              <w:rPr>
                <w:sz w:val="22"/>
                <w:szCs w:val="22"/>
              </w:rPr>
              <w:t>0.12</w:t>
            </w:r>
            <w:r w:rsidR="0014713D" w:rsidRPr="009D7D44">
              <w:rPr>
                <w:sz w:val="22"/>
                <w:szCs w:val="22"/>
              </w:rPr>
              <w:t>4</w:t>
            </w:r>
          </w:p>
        </w:tc>
        <w:tc>
          <w:tcPr>
            <w:tcW w:w="614" w:type="pct"/>
            <w:vAlign w:val="bottom"/>
          </w:tcPr>
          <w:p w:rsidR="00654890" w:rsidRPr="009D7D44" w:rsidRDefault="00654890">
            <w:pPr>
              <w:widowControl/>
              <w:snapToGrid w:val="0"/>
              <w:spacing w:line="276" w:lineRule="auto"/>
              <w:jc w:val="center"/>
              <w:rPr>
                <w:sz w:val="22"/>
                <w:szCs w:val="22"/>
              </w:rPr>
            </w:pPr>
          </w:p>
        </w:tc>
      </w:tr>
      <w:tr w:rsidR="00654890" w:rsidRPr="009D7D44" w:rsidTr="00654890">
        <w:trPr>
          <w:trHeight w:val="310"/>
        </w:trPr>
        <w:tc>
          <w:tcPr>
            <w:tcW w:w="590" w:type="pct"/>
            <w:vAlign w:val="center"/>
            <w:hideMark/>
          </w:tcPr>
          <w:p w:rsidR="00654890" w:rsidRPr="009D7D44" w:rsidRDefault="00654890">
            <w:pPr>
              <w:keepNext/>
              <w:snapToGrid w:val="0"/>
              <w:spacing w:line="276" w:lineRule="auto"/>
              <w:jc w:val="center"/>
              <w:rPr>
                <w:sz w:val="22"/>
                <w:szCs w:val="22"/>
              </w:rPr>
            </w:pPr>
            <w:r w:rsidRPr="009D7D44">
              <w:rPr>
                <w:sz w:val="22"/>
                <w:szCs w:val="22"/>
              </w:rPr>
              <w:t>2011/12</w:t>
            </w:r>
          </w:p>
        </w:tc>
        <w:tc>
          <w:tcPr>
            <w:tcW w:w="511" w:type="pct"/>
            <w:hideMark/>
          </w:tcPr>
          <w:p w:rsidR="00654890" w:rsidRPr="009D7D44" w:rsidRDefault="00654890">
            <w:pPr>
              <w:keepNext/>
              <w:widowControl/>
              <w:snapToGrid w:val="0"/>
              <w:spacing w:line="276" w:lineRule="auto"/>
              <w:jc w:val="center"/>
              <w:rPr>
                <w:sz w:val="22"/>
                <w:szCs w:val="22"/>
              </w:rPr>
            </w:pPr>
            <w:r w:rsidRPr="009D7D44">
              <w:rPr>
                <w:sz w:val="22"/>
                <w:szCs w:val="22"/>
              </w:rPr>
              <w:t>NA</w:t>
            </w:r>
          </w:p>
        </w:tc>
        <w:tc>
          <w:tcPr>
            <w:tcW w:w="626" w:type="pct"/>
            <w:hideMark/>
          </w:tcPr>
          <w:p w:rsidR="00654890" w:rsidRPr="009D7D44" w:rsidRDefault="00654890">
            <w:pPr>
              <w:keepNext/>
              <w:snapToGrid w:val="0"/>
              <w:spacing w:line="276" w:lineRule="auto"/>
              <w:jc w:val="center"/>
              <w:rPr>
                <w:sz w:val="22"/>
                <w:szCs w:val="22"/>
              </w:rPr>
            </w:pPr>
            <w:r w:rsidRPr="009D7D44">
              <w:rPr>
                <w:sz w:val="22"/>
                <w:szCs w:val="22"/>
              </w:rPr>
              <w:t>NA</w:t>
            </w:r>
          </w:p>
        </w:tc>
        <w:tc>
          <w:tcPr>
            <w:tcW w:w="69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Closed</w:t>
            </w:r>
          </w:p>
        </w:tc>
        <w:tc>
          <w:tcPr>
            <w:tcW w:w="66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0</w:t>
            </w:r>
          </w:p>
        </w:tc>
        <w:tc>
          <w:tcPr>
            <w:tcW w:w="626" w:type="pct"/>
            <w:vAlign w:val="center"/>
            <w:hideMark/>
          </w:tcPr>
          <w:p w:rsidR="00654890" w:rsidRPr="009D7D44" w:rsidRDefault="00654890">
            <w:pPr>
              <w:keepNext/>
              <w:snapToGrid w:val="0"/>
              <w:spacing w:line="276" w:lineRule="auto"/>
              <w:jc w:val="center"/>
              <w:rPr>
                <w:sz w:val="22"/>
                <w:szCs w:val="22"/>
              </w:rPr>
            </w:pPr>
            <w:r w:rsidRPr="009D7D44">
              <w:rPr>
                <w:sz w:val="22"/>
                <w:szCs w:val="22"/>
              </w:rPr>
              <w:t>0.002</w:t>
            </w:r>
          </w:p>
        </w:tc>
        <w:tc>
          <w:tcPr>
            <w:tcW w:w="675" w:type="pct"/>
            <w:vAlign w:val="bottom"/>
            <w:hideMark/>
          </w:tcPr>
          <w:p w:rsidR="00654890" w:rsidRPr="009D7D44" w:rsidRDefault="00654890">
            <w:pPr>
              <w:widowControl/>
              <w:snapToGrid w:val="0"/>
              <w:spacing w:line="276" w:lineRule="auto"/>
              <w:jc w:val="center"/>
              <w:rPr>
                <w:sz w:val="22"/>
                <w:szCs w:val="22"/>
                <w:highlight w:val="yellow"/>
                <w:vertAlign w:val="superscript"/>
              </w:rPr>
            </w:pPr>
            <w:r w:rsidRPr="009D7D44">
              <w:rPr>
                <w:sz w:val="22"/>
                <w:szCs w:val="22"/>
              </w:rPr>
              <w:t>0.12</w:t>
            </w:r>
            <w:r w:rsidR="0014713D" w:rsidRPr="009D7D44">
              <w:rPr>
                <w:sz w:val="22"/>
                <w:szCs w:val="22"/>
              </w:rPr>
              <w:t>4</w:t>
            </w:r>
          </w:p>
        </w:tc>
        <w:tc>
          <w:tcPr>
            <w:tcW w:w="614" w:type="pct"/>
            <w:vAlign w:val="bottom"/>
            <w:hideMark/>
          </w:tcPr>
          <w:p w:rsidR="00654890" w:rsidRPr="009D7D44" w:rsidRDefault="00654890">
            <w:pPr>
              <w:widowControl/>
              <w:snapToGrid w:val="0"/>
              <w:spacing w:line="276" w:lineRule="auto"/>
              <w:jc w:val="center"/>
              <w:rPr>
                <w:sz w:val="22"/>
                <w:szCs w:val="22"/>
                <w:highlight w:val="yellow"/>
              </w:rPr>
            </w:pPr>
            <w:r w:rsidRPr="009D7D44">
              <w:rPr>
                <w:sz w:val="22"/>
                <w:szCs w:val="22"/>
              </w:rPr>
              <w:t>0.0</w:t>
            </w:r>
            <w:r w:rsidR="007F56D6" w:rsidRPr="009D7D44">
              <w:rPr>
                <w:sz w:val="22"/>
                <w:szCs w:val="22"/>
              </w:rPr>
              <w:t>27</w:t>
            </w:r>
            <w:r w:rsidRPr="009D7D44">
              <w:rPr>
                <w:sz w:val="22"/>
                <w:szCs w:val="22"/>
                <w:vertAlign w:val="superscript"/>
              </w:rPr>
              <w:t xml:space="preserve"> </w:t>
            </w:r>
          </w:p>
        </w:tc>
      </w:tr>
      <w:tr w:rsidR="00654890" w:rsidRPr="009D7D44" w:rsidTr="00654890">
        <w:trPr>
          <w:trHeight w:val="310"/>
        </w:trPr>
        <w:tc>
          <w:tcPr>
            <w:tcW w:w="590" w:type="pct"/>
            <w:vAlign w:val="center"/>
            <w:hideMark/>
          </w:tcPr>
          <w:p w:rsidR="00654890" w:rsidRPr="009D7D44" w:rsidRDefault="00654890">
            <w:pPr>
              <w:keepNext/>
              <w:snapToGrid w:val="0"/>
              <w:spacing w:line="276" w:lineRule="auto"/>
              <w:jc w:val="center"/>
              <w:rPr>
                <w:sz w:val="22"/>
                <w:szCs w:val="22"/>
              </w:rPr>
            </w:pPr>
            <w:r w:rsidRPr="009D7D44">
              <w:rPr>
                <w:sz w:val="22"/>
                <w:szCs w:val="22"/>
              </w:rPr>
              <w:t>2012/13</w:t>
            </w:r>
          </w:p>
        </w:tc>
        <w:tc>
          <w:tcPr>
            <w:tcW w:w="511" w:type="pct"/>
            <w:hideMark/>
          </w:tcPr>
          <w:p w:rsidR="00654890" w:rsidRPr="009D7D44" w:rsidRDefault="00654890">
            <w:pPr>
              <w:keepNext/>
              <w:widowControl/>
              <w:snapToGrid w:val="0"/>
              <w:spacing w:line="276" w:lineRule="auto"/>
              <w:jc w:val="center"/>
              <w:rPr>
                <w:sz w:val="22"/>
                <w:szCs w:val="22"/>
              </w:rPr>
            </w:pPr>
            <w:r w:rsidRPr="009D7D44">
              <w:rPr>
                <w:sz w:val="22"/>
                <w:szCs w:val="22"/>
              </w:rPr>
              <w:t>NA</w:t>
            </w:r>
          </w:p>
        </w:tc>
        <w:tc>
          <w:tcPr>
            <w:tcW w:w="626" w:type="pct"/>
            <w:hideMark/>
          </w:tcPr>
          <w:p w:rsidR="00654890" w:rsidRPr="009D7D44" w:rsidRDefault="00654890">
            <w:pPr>
              <w:keepNext/>
              <w:snapToGrid w:val="0"/>
              <w:spacing w:line="276" w:lineRule="auto"/>
              <w:jc w:val="center"/>
              <w:rPr>
                <w:sz w:val="22"/>
                <w:szCs w:val="22"/>
              </w:rPr>
            </w:pPr>
            <w:r w:rsidRPr="009D7D44">
              <w:rPr>
                <w:sz w:val="22"/>
                <w:szCs w:val="22"/>
              </w:rPr>
              <w:t>NA</w:t>
            </w:r>
          </w:p>
        </w:tc>
        <w:tc>
          <w:tcPr>
            <w:tcW w:w="69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Closed</w:t>
            </w:r>
          </w:p>
        </w:tc>
        <w:tc>
          <w:tcPr>
            <w:tcW w:w="66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0</w:t>
            </w:r>
          </w:p>
        </w:tc>
        <w:tc>
          <w:tcPr>
            <w:tcW w:w="626" w:type="pct"/>
            <w:vAlign w:val="center"/>
            <w:hideMark/>
          </w:tcPr>
          <w:p w:rsidR="00654890" w:rsidRPr="009D7D44" w:rsidRDefault="00654890">
            <w:pPr>
              <w:keepNext/>
              <w:snapToGrid w:val="0"/>
              <w:spacing w:line="276" w:lineRule="auto"/>
              <w:jc w:val="center"/>
              <w:rPr>
                <w:sz w:val="22"/>
                <w:szCs w:val="22"/>
              </w:rPr>
            </w:pPr>
            <w:r w:rsidRPr="009D7D44">
              <w:rPr>
                <w:sz w:val="22"/>
                <w:szCs w:val="22"/>
              </w:rPr>
              <w:t>&lt;0.001</w:t>
            </w:r>
          </w:p>
        </w:tc>
        <w:tc>
          <w:tcPr>
            <w:tcW w:w="675" w:type="pct"/>
            <w:vAlign w:val="bottom"/>
            <w:hideMark/>
          </w:tcPr>
          <w:p w:rsidR="00654890" w:rsidRPr="009D7D44" w:rsidRDefault="00654890">
            <w:pPr>
              <w:widowControl/>
              <w:snapToGrid w:val="0"/>
              <w:spacing w:line="276" w:lineRule="auto"/>
              <w:jc w:val="center"/>
              <w:rPr>
                <w:sz w:val="22"/>
                <w:szCs w:val="22"/>
                <w:highlight w:val="yellow"/>
                <w:vertAlign w:val="superscript"/>
              </w:rPr>
            </w:pPr>
            <w:r w:rsidRPr="009D7D44">
              <w:rPr>
                <w:sz w:val="22"/>
                <w:szCs w:val="22"/>
              </w:rPr>
              <w:t>0.12</w:t>
            </w:r>
            <w:r w:rsidR="0014713D" w:rsidRPr="009D7D44">
              <w:rPr>
                <w:sz w:val="22"/>
                <w:szCs w:val="22"/>
              </w:rPr>
              <w:t>4</w:t>
            </w:r>
          </w:p>
        </w:tc>
        <w:tc>
          <w:tcPr>
            <w:tcW w:w="61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0.07</w:t>
            </w:r>
            <w:r w:rsidR="007F56D6" w:rsidRPr="009D7D44">
              <w:rPr>
                <w:sz w:val="22"/>
                <w:szCs w:val="22"/>
              </w:rPr>
              <w:t>4</w:t>
            </w:r>
          </w:p>
        </w:tc>
      </w:tr>
      <w:tr w:rsidR="00654890" w:rsidRPr="009D7D44" w:rsidTr="00654890">
        <w:trPr>
          <w:trHeight w:val="310"/>
        </w:trPr>
        <w:tc>
          <w:tcPr>
            <w:tcW w:w="590" w:type="pct"/>
            <w:vAlign w:val="center"/>
            <w:hideMark/>
          </w:tcPr>
          <w:p w:rsidR="00654890" w:rsidRPr="009D7D44" w:rsidRDefault="00654890">
            <w:pPr>
              <w:keepNext/>
              <w:snapToGrid w:val="0"/>
              <w:spacing w:line="276" w:lineRule="auto"/>
              <w:jc w:val="center"/>
              <w:rPr>
                <w:sz w:val="22"/>
                <w:szCs w:val="22"/>
              </w:rPr>
            </w:pPr>
            <w:r w:rsidRPr="009D7D44">
              <w:rPr>
                <w:sz w:val="22"/>
                <w:szCs w:val="22"/>
              </w:rPr>
              <w:t>2013/14</w:t>
            </w:r>
          </w:p>
        </w:tc>
        <w:tc>
          <w:tcPr>
            <w:tcW w:w="511" w:type="pct"/>
            <w:hideMark/>
          </w:tcPr>
          <w:p w:rsidR="00654890" w:rsidRPr="009D7D44" w:rsidRDefault="00654890">
            <w:pPr>
              <w:keepNext/>
              <w:widowControl/>
              <w:snapToGrid w:val="0"/>
              <w:spacing w:line="276" w:lineRule="auto"/>
              <w:jc w:val="center"/>
              <w:rPr>
                <w:sz w:val="22"/>
                <w:szCs w:val="22"/>
              </w:rPr>
            </w:pPr>
            <w:r w:rsidRPr="009D7D44">
              <w:rPr>
                <w:sz w:val="22"/>
                <w:szCs w:val="22"/>
              </w:rPr>
              <w:t>NA</w:t>
            </w:r>
          </w:p>
        </w:tc>
        <w:tc>
          <w:tcPr>
            <w:tcW w:w="626" w:type="pct"/>
            <w:hideMark/>
          </w:tcPr>
          <w:p w:rsidR="00654890" w:rsidRPr="009D7D44" w:rsidRDefault="00654890">
            <w:pPr>
              <w:keepNext/>
              <w:snapToGrid w:val="0"/>
              <w:spacing w:line="276" w:lineRule="auto"/>
              <w:jc w:val="center"/>
              <w:rPr>
                <w:sz w:val="22"/>
                <w:szCs w:val="22"/>
              </w:rPr>
            </w:pPr>
            <w:r w:rsidRPr="009D7D44">
              <w:rPr>
                <w:sz w:val="22"/>
                <w:szCs w:val="22"/>
              </w:rPr>
              <w:t>NA</w:t>
            </w:r>
          </w:p>
        </w:tc>
        <w:tc>
          <w:tcPr>
            <w:tcW w:w="69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Closed</w:t>
            </w:r>
          </w:p>
        </w:tc>
        <w:tc>
          <w:tcPr>
            <w:tcW w:w="664" w:type="pct"/>
            <w:vAlign w:val="bottom"/>
          </w:tcPr>
          <w:p w:rsidR="00654890" w:rsidRPr="009D7D44" w:rsidRDefault="00654890">
            <w:pPr>
              <w:widowControl/>
              <w:snapToGrid w:val="0"/>
              <w:spacing w:line="276" w:lineRule="auto"/>
              <w:jc w:val="center"/>
              <w:rPr>
                <w:sz w:val="22"/>
                <w:szCs w:val="22"/>
              </w:rPr>
            </w:pPr>
          </w:p>
        </w:tc>
        <w:tc>
          <w:tcPr>
            <w:tcW w:w="626" w:type="pct"/>
            <w:vAlign w:val="center"/>
          </w:tcPr>
          <w:p w:rsidR="00654890" w:rsidRPr="009D7D44" w:rsidRDefault="00654890">
            <w:pPr>
              <w:keepNext/>
              <w:snapToGrid w:val="0"/>
              <w:spacing w:line="276" w:lineRule="auto"/>
              <w:jc w:val="center"/>
              <w:rPr>
                <w:sz w:val="22"/>
                <w:szCs w:val="22"/>
              </w:rPr>
            </w:pPr>
          </w:p>
        </w:tc>
        <w:tc>
          <w:tcPr>
            <w:tcW w:w="675" w:type="pct"/>
            <w:vAlign w:val="bottom"/>
            <w:hideMark/>
          </w:tcPr>
          <w:p w:rsidR="00654890" w:rsidRPr="009D7D44" w:rsidRDefault="00654890">
            <w:pPr>
              <w:widowControl/>
              <w:snapToGrid w:val="0"/>
              <w:spacing w:line="276" w:lineRule="auto"/>
              <w:jc w:val="center"/>
              <w:rPr>
                <w:sz w:val="22"/>
                <w:szCs w:val="22"/>
                <w:highlight w:val="yellow"/>
                <w:vertAlign w:val="superscript"/>
              </w:rPr>
            </w:pPr>
            <w:r w:rsidRPr="009D7D44">
              <w:rPr>
                <w:sz w:val="22"/>
                <w:szCs w:val="22"/>
              </w:rPr>
              <w:t>0.12</w:t>
            </w:r>
            <w:r w:rsidR="0014713D" w:rsidRPr="009D7D44">
              <w:rPr>
                <w:sz w:val="22"/>
                <w:szCs w:val="22"/>
              </w:rPr>
              <w:t>4</w:t>
            </w:r>
          </w:p>
        </w:tc>
        <w:tc>
          <w:tcPr>
            <w:tcW w:w="614" w:type="pct"/>
            <w:vAlign w:val="bottom"/>
            <w:hideMark/>
          </w:tcPr>
          <w:p w:rsidR="00654890" w:rsidRPr="009D7D44" w:rsidRDefault="00654890">
            <w:pPr>
              <w:widowControl/>
              <w:snapToGrid w:val="0"/>
              <w:spacing w:line="276" w:lineRule="auto"/>
              <w:jc w:val="center"/>
              <w:rPr>
                <w:sz w:val="22"/>
                <w:szCs w:val="22"/>
              </w:rPr>
            </w:pPr>
            <w:r w:rsidRPr="009D7D44">
              <w:rPr>
                <w:sz w:val="22"/>
                <w:szCs w:val="22"/>
              </w:rPr>
              <w:t>0.07</w:t>
            </w:r>
            <w:r w:rsidR="007F56D6" w:rsidRPr="009D7D44">
              <w:rPr>
                <w:sz w:val="22"/>
                <w:szCs w:val="22"/>
              </w:rPr>
              <w:t>4</w:t>
            </w:r>
          </w:p>
        </w:tc>
      </w:tr>
      <w:tr w:rsidR="00654890" w:rsidRPr="009D7D44" w:rsidTr="00654890">
        <w:trPr>
          <w:trHeight w:val="310"/>
        </w:trPr>
        <w:tc>
          <w:tcPr>
            <w:tcW w:w="590" w:type="pct"/>
            <w:tcBorders>
              <w:top w:val="nil"/>
              <w:left w:val="nil"/>
              <w:bottom w:val="single" w:sz="4" w:space="0" w:color="auto"/>
              <w:right w:val="nil"/>
            </w:tcBorders>
            <w:vAlign w:val="center"/>
            <w:hideMark/>
          </w:tcPr>
          <w:p w:rsidR="00654890" w:rsidRPr="009D7D44" w:rsidRDefault="00654890">
            <w:pPr>
              <w:keepNext/>
              <w:snapToGrid w:val="0"/>
              <w:spacing w:line="276" w:lineRule="auto"/>
              <w:jc w:val="center"/>
              <w:rPr>
                <w:sz w:val="22"/>
                <w:szCs w:val="22"/>
              </w:rPr>
            </w:pPr>
            <w:r w:rsidRPr="009D7D44">
              <w:rPr>
                <w:sz w:val="22"/>
                <w:szCs w:val="22"/>
              </w:rPr>
              <w:t>2014/15</w:t>
            </w:r>
          </w:p>
        </w:tc>
        <w:tc>
          <w:tcPr>
            <w:tcW w:w="511" w:type="pct"/>
            <w:tcBorders>
              <w:top w:val="nil"/>
              <w:left w:val="nil"/>
              <w:bottom w:val="single" w:sz="4" w:space="0" w:color="auto"/>
              <w:right w:val="nil"/>
            </w:tcBorders>
            <w:hideMark/>
          </w:tcPr>
          <w:p w:rsidR="00654890" w:rsidRPr="009D7D44" w:rsidRDefault="00654890">
            <w:pPr>
              <w:keepNext/>
              <w:widowControl/>
              <w:snapToGrid w:val="0"/>
              <w:spacing w:line="276" w:lineRule="auto"/>
              <w:jc w:val="center"/>
              <w:rPr>
                <w:sz w:val="22"/>
                <w:szCs w:val="22"/>
              </w:rPr>
            </w:pPr>
            <w:r w:rsidRPr="009D7D44">
              <w:rPr>
                <w:sz w:val="22"/>
                <w:szCs w:val="22"/>
              </w:rPr>
              <w:t>NA</w:t>
            </w:r>
          </w:p>
        </w:tc>
        <w:tc>
          <w:tcPr>
            <w:tcW w:w="626" w:type="pct"/>
            <w:tcBorders>
              <w:top w:val="nil"/>
              <w:left w:val="nil"/>
              <w:bottom w:val="single" w:sz="4" w:space="0" w:color="auto"/>
              <w:right w:val="nil"/>
            </w:tcBorders>
            <w:hideMark/>
          </w:tcPr>
          <w:p w:rsidR="00654890" w:rsidRPr="009D7D44" w:rsidRDefault="00654890">
            <w:pPr>
              <w:keepNext/>
              <w:snapToGrid w:val="0"/>
              <w:spacing w:line="276" w:lineRule="auto"/>
              <w:jc w:val="center"/>
              <w:rPr>
                <w:sz w:val="22"/>
                <w:szCs w:val="22"/>
              </w:rPr>
            </w:pPr>
            <w:r w:rsidRPr="009D7D44">
              <w:rPr>
                <w:sz w:val="22"/>
                <w:szCs w:val="22"/>
              </w:rPr>
              <w:t>NA</w:t>
            </w:r>
          </w:p>
        </w:tc>
        <w:tc>
          <w:tcPr>
            <w:tcW w:w="694" w:type="pct"/>
            <w:tcBorders>
              <w:top w:val="nil"/>
              <w:left w:val="nil"/>
              <w:bottom w:val="single" w:sz="4" w:space="0" w:color="auto"/>
              <w:right w:val="nil"/>
            </w:tcBorders>
            <w:vAlign w:val="bottom"/>
            <w:hideMark/>
          </w:tcPr>
          <w:p w:rsidR="00654890" w:rsidRPr="009D7D44" w:rsidRDefault="00654890">
            <w:pPr>
              <w:widowControl/>
              <w:snapToGrid w:val="0"/>
              <w:spacing w:line="276" w:lineRule="auto"/>
              <w:jc w:val="center"/>
              <w:rPr>
                <w:sz w:val="22"/>
                <w:szCs w:val="22"/>
              </w:rPr>
            </w:pPr>
            <w:r w:rsidRPr="009D7D44">
              <w:rPr>
                <w:sz w:val="22"/>
                <w:szCs w:val="22"/>
              </w:rPr>
              <w:t>Closed</w:t>
            </w:r>
          </w:p>
        </w:tc>
        <w:tc>
          <w:tcPr>
            <w:tcW w:w="664" w:type="pct"/>
            <w:tcBorders>
              <w:top w:val="nil"/>
              <w:left w:val="nil"/>
              <w:bottom w:val="single" w:sz="4" w:space="0" w:color="auto"/>
              <w:right w:val="nil"/>
            </w:tcBorders>
            <w:vAlign w:val="bottom"/>
          </w:tcPr>
          <w:p w:rsidR="00654890" w:rsidRPr="009D7D44" w:rsidRDefault="00654890">
            <w:pPr>
              <w:widowControl/>
              <w:snapToGrid w:val="0"/>
              <w:spacing w:line="276" w:lineRule="auto"/>
              <w:jc w:val="center"/>
              <w:rPr>
                <w:sz w:val="22"/>
                <w:szCs w:val="22"/>
              </w:rPr>
            </w:pPr>
          </w:p>
        </w:tc>
        <w:tc>
          <w:tcPr>
            <w:tcW w:w="626" w:type="pct"/>
            <w:tcBorders>
              <w:top w:val="nil"/>
              <w:left w:val="nil"/>
              <w:bottom w:val="single" w:sz="4" w:space="0" w:color="auto"/>
              <w:right w:val="nil"/>
            </w:tcBorders>
            <w:vAlign w:val="center"/>
          </w:tcPr>
          <w:p w:rsidR="00654890" w:rsidRPr="009D7D44" w:rsidRDefault="00654890">
            <w:pPr>
              <w:keepNext/>
              <w:snapToGrid w:val="0"/>
              <w:spacing w:line="276" w:lineRule="auto"/>
              <w:jc w:val="center"/>
              <w:rPr>
                <w:sz w:val="22"/>
                <w:szCs w:val="22"/>
              </w:rPr>
            </w:pPr>
          </w:p>
        </w:tc>
        <w:tc>
          <w:tcPr>
            <w:tcW w:w="675" w:type="pct"/>
            <w:tcBorders>
              <w:top w:val="nil"/>
              <w:left w:val="nil"/>
              <w:bottom w:val="single" w:sz="4" w:space="0" w:color="auto"/>
              <w:right w:val="nil"/>
            </w:tcBorders>
            <w:vAlign w:val="bottom"/>
            <w:hideMark/>
          </w:tcPr>
          <w:p w:rsidR="00654890" w:rsidRPr="009D7D44" w:rsidRDefault="00654890">
            <w:pPr>
              <w:widowControl/>
              <w:snapToGrid w:val="0"/>
              <w:spacing w:line="276" w:lineRule="auto"/>
              <w:jc w:val="center"/>
              <w:rPr>
                <w:sz w:val="22"/>
                <w:szCs w:val="22"/>
                <w:highlight w:val="yellow"/>
                <w:vertAlign w:val="superscript"/>
              </w:rPr>
            </w:pPr>
            <w:r w:rsidRPr="009D7D44">
              <w:rPr>
                <w:sz w:val="22"/>
                <w:szCs w:val="22"/>
              </w:rPr>
              <w:t>0.12</w:t>
            </w:r>
            <w:r w:rsidR="0014713D" w:rsidRPr="009D7D44">
              <w:rPr>
                <w:sz w:val="22"/>
                <w:szCs w:val="22"/>
              </w:rPr>
              <w:t>4</w:t>
            </w:r>
          </w:p>
        </w:tc>
        <w:tc>
          <w:tcPr>
            <w:tcW w:w="614" w:type="pct"/>
            <w:tcBorders>
              <w:top w:val="nil"/>
              <w:left w:val="nil"/>
              <w:bottom w:val="single" w:sz="4" w:space="0" w:color="auto"/>
              <w:right w:val="nil"/>
            </w:tcBorders>
            <w:vAlign w:val="bottom"/>
            <w:hideMark/>
          </w:tcPr>
          <w:p w:rsidR="00654890" w:rsidRPr="009D7D44" w:rsidRDefault="00654890">
            <w:pPr>
              <w:widowControl/>
              <w:snapToGrid w:val="0"/>
              <w:spacing w:line="276" w:lineRule="auto"/>
              <w:jc w:val="center"/>
              <w:rPr>
                <w:sz w:val="22"/>
                <w:szCs w:val="22"/>
              </w:rPr>
            </w:pPr>
            <w:r w:rsidRPr="009D7D44">
              <w:rPr>
                <w:sz w:val="22"/>
                <w:szCs w:val="22"/>
              </w:rPr>
              <w:t>0.07</w:t>
            </w:r>
            <w:r w:rsidR="007F56D6" w:rsidRPr="009D7D44">
              <w:rPr>
                <w:sz w:val="22"/>
                <w:szCs w:val="22"/>
              </w:rPr>
              <w:t>4</w:t>
            </w:r>
          </w:p>
        </w:tc>
      </w:tr>
    </w:tbl>
    <w:p w:rsidR="00654890" w:rsidRPr="009D7D44" w:rsidRDefault="00654890" w:rsidP="00654890">
      <w:pPr>
        <w:jc w:val="both"/>
        <w:rPr>
          <w:sz w:val="22"/>
          <w:szCs w:val="22"/>
        </w:rPr>
      </w:pPr>
    </w:p>
    <w:p w:rsidR="00654890" w:rsidRPr="009D7D44" w:rsidRDefault="00654890" w:rsidP="00654890">
      <w:pPr>
        <w:keepNext/>
        <w:widowControl/>
        <w:jc w:val="both"/>
        <w:rPr>
          <w:i/>
          <w:sz w:val="22"/>
          <w:szCs w:val="22"/>
        </w:rPr>
      </w:pPr>
      <w:proofErr w:type="gramStart"/>
      <w:r w:rsidRPr="009D7D44">
        <w:rPr>
          <w:i/>
          <w:sz w:val="22"/>
          <w:szCs w:val="22"/>
        </w:rPr>
        <w:t xml:space="preserve">Status and catch specifications (t) of </w:t>
      </w:r>
      <w:r w:rsidR="0011037F" w:rsidRPr="009D7D44">
        <w:rPr>
          <w:i/>
          <w:sz w:val="22"/>
          <w:szCs w:val="22"/>
        </w:rPr>
        <w:t xml:space="preserve">WAI </w:t>
      </w:r>
      <w:r w:rsidRPr="009D7D44">
        <w:rPr>
          <w:i/>
          <w:sz w:val="22"/>
          <w:szCs w:val="22"/>
        </w:rPr>
        <w:t>RKC.</w:t>
      </w:r>
      <w:proofErr w:type="gramEnd"/>
    </w:p>
    <w:tbl>
      <w:tblPr>
        <w:tblW w:w="4506" w:type="pct"/>
        <w:tblInd w:w="108" w:type="dxa"/>
        <w:tblLook w:val="00A0" w:firstRow="1" w:lastRow="0" w:firstColumn="1" w:lastColumn="0" w:noHBand="0" w:noVBand="0"/>
      </w:tblPr>
      <w:tblGrid>
        <w:gridCol w:w="1019"/>
        <w:gridCol w:w="882"/>
        <w:gridCol w:w="1080"/>
        <w:gridCol w:w="1198"/>
        <w:gridCol w:w="1146"/>
        <w:gridCol w:w="1080"/>
        <w:gridCol w:w="1165"/>
        <w:gridCol w:w="1060"/>
      </w:tblGrid>
      <w:tr w:rsidR="00654890" w:rsidRPr="009D7D44" w:rsidTr="00654890">
        <w:trPr>
          <w:trHeight w:val="464"/>
        </w:trPr>
        <w:tc>
          <w:tcPr>
            <w:tcW w:w="590"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Year</w:t>
            </w:r>
          </w:p>
        </w:tc>
        <w:tc>
          <w:tcPr>
            <w:tcW w:w="511" w:type="pct"/>
            <w:tcBorders>
              <w:top w:val="single" w:sz="8" w:space="0" w:color="auto"/>
              <w:left w:val="nil"/>
              <w:bottom w:val="single" w:sz="8" w:space="0" w:color="auto"/>
              <w:right w:val="nil"/>
            </w:tcBorders>
            <w:vAlign w:val="center"/>
            <w:hideMark/>
          </w:tcPr>
          <w:p w:rsidR="00654890" w:rsidRPr="009D7D44" w:rsidRDefault="00654890">
            <w:pPr>
              <w:keepNext/>
              <w:widowControl/>
              <w:snapToGrid w:val="0"/>
              <w:spacing w:line="276" w:lineRule="auto"/>
              <w:jc w:val="center"/>
              <w:rPr>
                <w:b/>
                <w:bCs/>
                <w:sz w:val="22"/>
                <w:szCs w:val="22"/>
              </w:rPr>
            </w:pPr>
            <w:r w:rsidRPr="009D7D44">
              <w:rPr>
                <w:b/>
                <w:bCs/>
                <w:sz w:val="22"/>
                <w:szCs w:val="22"/>
              </w:rPr>
              <w:t>MSST</w:t>
            </w:r>
          </w:p>
        </w:tc>
        <w:tc>
          <w:tcPr>
            <w:tcW w:w="626"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Biomass (MMB)</w:t>
            </w:r>
          </w:p>
        </w:tc>
        <w:tc>
          <w:tcPr>
            <w:tcW w:w="69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TAC</w:t>
            </w:r>
          </w:p>
        </w:tc>
        <w:tc>
          <w:tcPr>
            <w:tcW w:w="66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Retained Catch</w:t>
            </w:r>
          </w:p>
        </w:tc>
        <w:tc>
          <w:tcPr>
            <w:tcW w:w="626"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Total Catch</w:t>
            </w:r>
          </w:p>
        </w:tc>
        <w:tc>
          <w:tcPr>
            <w:tcW w:w="675"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OFL</w:t>
            </w:r>
          </w:p>
        </w:tc>
        <w:tc>
          <w:tcPr>
            <w:tcW w:w="614" w:type="pct"/>
            <w:tcBorders>
              <w:top w:val="single" w:sz="8" w:space="0" w:color="auto"/>
              <w:left w:val="nil"/>
              <w:bottom w:val="single" w:sz="8" w:space="0" w:color="auto"/>
              <w:right w:val="nil"/>
            </w:tcBorders>
            <w:vAlign w:val="center"/>
            <w:hideMark/>
          </w:tcPr>
          <w:p w:rsidR="00654890" w:rsidRPr="009D7D44" w:rsidRDefault="00654890">
            <w:pPr>
              <w:keepNext/>
              <w:snapToGrid w:val="0"/>
              <w:spacing w:line="276" w:lineRule="auto"/>
              <w:jc w:val="center"/>
              <w:rPr>
                <w:b/>
                <w:bCs/>
                <w:sz w:val="22"/>
                <w:szCs w:val="22"/>
              </w:rPr>
            </w:pPr>
            <w:r w:rsidRPr="009D7D44">
              <w:rPr>
                <w:b/>
                <w:bCs/>
                <w:sz w:val="22"/>
                <w:szCs w:val="22"/>
              </w:rPr>
              <w:t>ABC</w:t>
            </w:r>
          </w:p>
        </w:tc>
      </w:tr>
      <w:tr w:rsidR="00654890" w:rsidRPr="009D7D44" w:rsidTr="00654890">
        <w:trPr>
          <w:trHeight w:val="310"/>
        </w:trPr>
        <w:tc>
          <w:tcPr>
            <w:tcW w:w="590"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2010/11</w:t>
            </w:r>
          </w:p>
        </w:tc>
        <w:tc>
          <w:tcPr>
            <w:tcW w:w="511"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9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Closed</w:t>
            </w:r>
          </w:p>
        </w:tc>
        <w:tc>
          <w:tcPr>
            <w:tcW w:w="66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0</w:t>
            </w:r>
          </w:p>
        </w:tc>
        <w:tc>
          <w:tcPr>
            <w:tcW w:w="626" w:type="pct"/>
            <w:vAlign w:val="bottom"/>
            <w:hideMark/>
          </w:tcPr>
          <w:p w:rsidR="00654890" w:rsidRPr="009D7D44" w:rsidRDefault="00654890">
            <w:pPr>
              <w:snapToGrid w:val="0"/>
              <w:spacing w:line="276" w:lineRule="auto"/>
              <w:jc w:val="center"/>
              <w:rPr>
                <w:sz w:val="22"/>
                <w:szCs w:val="22"/>
              </w:rPr>
            </w:pPr>
            <w:r w:rsidRPr="009D7D44">
              <w:rPr>
                <w:sz w:val="22"/>
                <w:szCs w:val="22"/>
              </w:rPr>
              <w:t>1.81</w:t>
            </w:r>
          </w:p>
        </w:tc>
        <w:tc>
          <w:tcPr>
            <w:tcW w:w="675" w:type="pct"/>
            <w:vAlign w:val="bottom"/>
            <w:hideMark/>
          </w:tcPr>
          <w:p w:rsidR="00654890" w:rsidRPr="009D7D44" w:rsidRDefault="00257645">
            <w:pPr>
              <w:snapToGrid w:val="0"/>
              <w:spacing w:line="276" w:lineRule="auto"/>
              <w:jc w:val="center"/>
              <w:rPr>
                <w:color w:val="000000"/>
                <w:sz w:val="22"/>
                <w:szCs w:val="22"/>
              </w:rPr>
            </w:pPr>
            <w:r w:rsidRPr="009D7D44">
              <w:rPr>
                <w:color w:val="000000"/>
                <w:sz w:val="22"/>
                <w:szCs w:val="22"/>
              </w:rPr>
              <w:t>56.25</w:t>
            </w:r>
          </w:p>
        </w:tc>
        <w:tc>
          <w:tcPr>
            <w:tcW w:w="614" w:type="pct"/>
            <w:vAlign w:val="bottom"/>
          </w:tcPr>
          <w:p w:rsidR="00654890" w:rsidRPr="009D7D44" w:rsidRDefault="00654890">
            <w:pPr>
              <w:snapToGrid w:val="0"/>
              <w:spacing w:line="276" w:lineRule="auto"/>
              <w:jc w:val="center"/>
              <w:rPr>
                <w:color w:val="000000"/>
                <w:sz w:val="22"/>
                <w:szCs w:val="22"/>
              </w:rPr>
            </w:pPr>
          </w:p>
        </w:tc>
      </w:tr>
      <w:tr w:rsidR="00654890" w:rsidRPr="009D7D44" w:rsidTr="00654890">
        <w:trPr>
          <w:trHeight w:val="310"/>
        </w:trPr>
        <w:tc>
          <w:tcPr>
            <w:tcW w:w="590"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2011/12</w:t>
            </w:r>
          </w:p>
        </w:tc>
        <w:tc>
          <w:tcPr>
            <w:tcW w:w="511"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9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Closed</w:t>
            </w:r>
          </w:p>
        </w:tc>
        <w:tc>
          <w:tcPr>
            <w:tcW w:w="66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0</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1.0</w:t>
            </w:r>
            <w:r w:rsidR="00993279" w:rsidRPr="009D7D44">
              <w:rPr>
                <w:color w:val="000000"/>
                <w:sz w:val="22"/>
                <w:szCs w:val="22"/>
              </w:rPr>
              <w:t>0</w:t>
            </w:r>
          </w:p>
        </w:tc>
        <w:tc>
          <w:tcPr>
            <w:tcW w:w="675" w:type="pct"/>
            <w:vAlign w:val="bottom"/>
            <w:hideMark/>
          </w:tcPr>
          <w:p w:rsidR="00654890" w:rsidRPr="009D7D44" w:rsidRDefault="00257645">
            <w:pPr>
              <w:snapToGrid w:val="0"/>
              <w:spacing w:line="276" w:lineRule="auto"/>
              <w:jc w:val="center"/>
              <w:rPr>
                <w:color w:val="000000"/>
                <w:sz w:val="22"/>
                <w:szCs w:val="22"/>
              </w:rPr>
            </w:pPr>
            <w:r w:rsidRPr="009D7D44">
              <w:rPr>
                <w:color w:val="000000"/>
                <w:sz w:val="22"/>
                <w:szCs w:val="22"/>
              </w:rPr>
              <w:t>56.25</w:t>
            </w:r>
          </w:p>
        </w:tc>
        <w:tc>
          <w:tcPr>
            <w:tcW w:w="61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12.0</w:t>
            </w:r>
            <w:r w:rsidR="0011037F" w:rsidRPr="009D7D44">
              <w:rPr>
                <w:color w:val="000000"/>
                <w:sz w:val="22"/>
                <w:szCs w:val="22"/>
              </w:rPr>
              <w:t>0</w:t>
            </w:r>
          </w:p>
        </w:tc>
      </w:tr>
      <w:tr w:rsidR="00654890" w:rsidRPr="009D7D44" w:rsidTr="00654890">
        <w:trPr>
          <w:trHeight w:val="310"/>
        </w:trPr>
        <w:tc>
          <w:tcPr>
            <w:tcW w:w="590"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2012/13</w:t>
            </w:r>
          </w:p>
        </w:tc>
        <w:tc>
          <w:tcPr>
            <w:tcW w:w="511"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9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Closed</w:t>
            </w:r>
          </w:p>
        </w:tc>
        <w:tc>
          <w:tcPr>
            <w:tcW w:w="66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0</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&lt;1.0</w:t>
            </w:r>
            <w:r w:rsidR="00993279" w:rsidRPr="009D7D44">
              <w:rPr>
                <w:color w:val="000000"/>
                <w:sz w:val="22"/>
                <w:szCs w:val="22"/>
              </w:rPr>
              <w:t>0</w:t>
            </w:r>
          </w:p>
        </w:tc>
        <w:tc>
          <w:tcPr>
            <w:tcW w:w="675" w:type="pct"/>
            <w:vAlign w:val="bottom"/>
            <w:hideMark/>
          </w:tcPr>
          <w:p w:rsidR="00654890" w:rsidRPr="009D7D44" w:rsidRDefault="00257645">
            <w:pPr>
              <w:snapToGrid w:val="0"/>
              <w:spacing w:line="276" w:lineRule="auto"/>
              <w:jc w:val="center"/>
              <w:rPr>
                <w:color w:val="000000"/>
                <w:sz w:val="22"/>
                <w:szCs w:val="22"/>
              </w:rPr>
            </w:pPr>
            <w:r w:rsidRPr="009D7D44">
              <w:rPr>
                <w:color w:val="000000"/>
                <w:sz w:val="22"/>
                <w:szCs w:val="22"/>
              </w:rPr>
              <w:t>56.25</w:t>
            </w:r>
          </w:p>
        </w:tc>
        <w:tc>
          <w:tcPr>
            <w:tcW w:w="61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33.57</w:t>
            </w:r>
          </w:p>
        </w:tc>
      </w:tr>
      <w:tr w:rsidR="00654890" w:rsidRPr="009D7D44" w:rsidTr="00654890">
        <w:trPr>
          <w:trHeight w:val="310"/>
        </w:trPr>
        <w:tc>
          <w:tcPr>
            <w:tcW w:w="590"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2013/14</w:t>
            </w:r>
          </w:p>
        </w:tc>
        <w:tc>
          <w:tcPr>
            <w:tcW w:w="511"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26"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9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Closed</w:t>
            </w:r>
          </w:p>
        </w:tc>
        <w:tc>
          <w:tcPr>
            <w:tcW w:w="664" w:type="pct"/>
            <w:vAlign w:val="bottom"/>
          </w:tcPr>
          <w:p w:rsidR="00654890" w:rsidRPr="009D7D44" w:rsidRDefault="00654890">
            <w:pPr>
              <w:snapToGrid w:val="0"/>
              <w:spacing w:line="276" w:lineRule="auto"/>
              <w:jc w:val="center"/>
              <w:rPr>
                <w:color w:val="000000"/>
                <w:sz w:val="22"/>
                <w:szCs w:val="22"/>
              </w:rPr>
            </w:pPr>
          </w:p>
        </w:tc>
        <w:tc>
          <w:tcPr>
            <w:tcW w:w="626" w:type="pct"/>
            <w:vAlign w:val="bottom"/>
          </w:tcPr>
          <w:p w:rsidR="00654890" w:rsidRPr="009D7D44" w:rsidRDefault="00654890">
            <w:pPr>
              <w:snapToGrid w:val="0"/>
              <w:spacing w:line="276" w:lineRule="auto"/>
              <w:jc w:val="center"/>
              <w:rPr>
                <w:color w:val="000000"/>
                <w:sz w:val="22"/>
                <w:szCs w:val="22"/>
              </w:rPr>
            </w:pPr>
          </w:p>
        </w:tc>
        <w:tc>
          <w:tcPr>
            <w:tcW w:w="675" w:type="pct"/>
            <w:vAlign w:val="bottom"/>
            <w:hideMark/>
          </w:tcPr>
          <w:p w:rsidR="00654890" w:rsidRPr="009D7D44" w:rsidRDefault="00257645">
            <w:pPr>
              <w:snapToGrid w:val="0"/>
              <w:spacing w:line="276" w:lineRule="auto"/>
              <w:jc w:val="center"/>
              <w:rPr>
                <w:color w:val="000000"/>
                <w:sz w:val="22"/>
                <w:szCs w:val="22"/>
              </w:rPr>
            </w:pPr>
            <w:r w:rsidRPr="009D7D44">
              <w:rPr>
                <w:color w:val="000000"/>
                <w:sz w:val="22"/>
                <w:szCs w:val="22"/>
              </w:rPr>
              <w:t>56.25</w:t>
            </w:r>
          </w:p>
        </w:tc>
        <w:tc>
          <w:tcPr>
            <w:tcW w:w="614" w:type="pct"/>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33.57</w:t>
            </w:r>
          </w:p>
        </w:tc>
      </w:tr>
      <w:tr w:rsidR="00654890" w:rsidRPr="009D7D44" w:rsidTr="00654890">
        <w:trPr>
          <w:trHeight w:val="310"/>
        </w:trPr>
        <w:tc>
          <w:tcPr>
            <w:tcW w:w="590" w:type="pct"/>
            <w:tcBorders>
              <w:top w:val="nil"/>
              <w:left w:val="nil"/>
              <w:bottom w:val="single" w:sz="4" w:space="0" w:color="auto"/>
              <w:right w:val="nil"/>
            </w:tcBorders>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2014/15</w:t>
            </w:r>
          </w:p>
        </w:tc>
        <w:tc>
          <w:tcPr>
            <w:tcW w:w="511" w:type="pct"/>
            <w:tcBorders>
              <w:top w:val="nil"/>
              <w:left w:val="nil"/>
              <w:bottom w:val="single" w:sz="4" w:space="0" w:color="auto"/>
              <w:right w:val="nil"/>
            </w:tcBorders>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26" w:type="pct"/>
            <w:tcBorders>
              <w:top w:val="nil"/>
              <w:left w:val="nil"/>
              <w:bottom w:val="single" w:sz="4" w:space="0" w:color="auto"/>
              <w:right w:val="nil"/>
            </w:tcBorders>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NA</w:t>
            </w:r>
          </w:p>
        </w:tc>
        <w:tc>
          <w:tcPr>
            <w:tcW w:w="694" w:type="pct"/>
            <w:tcBorders>
              <w:top w:val="nil"/>
              <w:left w:val="nil"/>
              <w:bottom w:val="single" w:sz="4" w:space="0" w:color="auto"/>
              <w:right w:val="nil"/>
            </w:tcBorders>
            <w:vAlign w:val="bottom"/>
            <w:hideMark/>
          </w:tcPr>
          <w:p w:rsidR="00654890" w:rsidRPr="009D7D44" w:rsidRDefault="00654890">
            <w:pPr>
              <w:snapToGrid w:val="0"/>
              <w:spacing w:line="276" w:lineRule="auto"/>
              <w:jc w:val="center"/>
              <w:rPr>
                <w:color w:val="000000"/>
                <w:sz w:val="22"/>
                <w:szCs w:val="22"/>
              </w:rPr>
            </w:pPr>
            <w:r w:rsidRPr="009D7D44">
              <w:rPr>
                <w:color w:val="000000"/>
                <w:sz w:val="22"/>
                <w:szCs w:val="22"/>
              </w:rPr>
              <w:t>Closed</w:t>
            </w:r>
          </w:p>
        </w:tc>
        <w:tc>
          <w:tcPr>
            <w:tcW w:w="664" w:type="pct"/>
            <w:tcBorders>
              <w:top w:val="nil"/>
              <w:left w:val="nil"/>
              <w:bottom w:val="single" w:sz="4" w:space="0" w:color="auto"/>
              <w:right w:val="nil"/>
            </w:tcBorders>
            <w:vAlign w:val="bottom"/>
          </w:tcPr>
          <w:p w:rsidR="00654890" w:rsidRPr="009D7D44" w:rsidRDefault="00654890">
            <w:pPr>
              <w:snapToGrid w:val="0"/>
              <w:spacing w:line="276" w:lineRule="auto"/>
              <w:jc w:val="center"/>
              <w:rPr>
                <w:color w:val="000000"/>
                <w:sz w:val="22"/>
                <w:szCs w:val="22"/>
              </w:rPr>
            </w:pPr>
          </w:p>
        </w:tc>
        <w:tc>
          <w:tcPr>
            <w:tcW w:w="626" w:type="pct"/>
            <w:tcBorders>
              <w:top w:val="nil"/>
              <w:left w:val="nil"/>
              <w:bottom w:val="single" w:sz="4" w:space="0" w:color="auto"/>
              <w:right w:val="nil"/>
            </w:tcBorders>
            <w:vAlign w:val="bottom"/>
          </w:tcPr>
          <w:p w:rsidR="00654890" w:rsidRPr="009D7D44" w:rsidRDefault="00654890">
            <w:pPr>
              <w:snapToGrid w:val="0"/>
              <w:spacing w:line="276" w:lineRule="auto"/>
              <w:jc w:val="center"/>
              <w:rPr>
                <w:color w:val="000000"/>
                <w:sz w:val="22"/>
                <w:szCs w:val="22"/>
              </w:rPr>
            </w:pPr>
          </w:p>
        </w:tc>
        <w:tc>
          <w:tcPr>
            <w:tcW w:w="675" w:type="pct"/>
            <w:tcBorders>
              <w:top w:val="nil"/>
              <w:left w:val="nil"/>
              <w:bottom w:val="single" w:sz="4" w:space="0" w:color="auto"/>
              <w:right w:val="nil"/>
            </w:tcBorders>
            <w:vAlign w:val="bottom"/>
            <w:hideMark/>
          </w:tcPr>
          <w:p w:rsidR="00654890" w:rsidRPr="009D7D44" w:rsidRDefault="0014713D">
            <w:pPr>
              <w:snapToGrid w:val="0"/>
              <w:spacing w:line="276" w:lineRule="auto"/>
              <w:jc w:val="center"/>
              <w:rPr>
                <w:color w:val="000000"/>
                <w:sz w:val="22"/>
                <w:szCs w:val="22"/>
              </w:rPr>
            </w:pPr>
            <w:r w:rsidRPr="009D7D44">
              <w:rPr>
                <w:color w:val="000000"/>
                <w:sz w:val="22"/>
                <w:szCs w:val="22"/>
              </w:rPr>
              <w:t>56</w:t>
            </w:r>
            <w:r w:rsidR="00257645" w:rsidRPr="009D7D44">
              <w:rPr>
                <w:color w:val="000000"/>
                <w:sz w:val="22"/>
                <w:szCs w:val="22"/>
              </w:rPr>
              <w:t>.25</w:t>
            </w:r>
          </w:p>
        </w:tc>
        <w:tc>
          <w:tcPr>
            <w:tcW w:w="614" w:type="pct"/>
            <w:tcBorders>
              <w:top w:val="nil"/>
              <w:left w:val="nil"/>
              <w:bottom w:val="single" w:sz="4" w:space="0" w:color="auto"/>
              <w:right w:val="nil"/>
            </w:tcBorders>
            <w:vAlign w:val="bottom"/>
            <w:hideMark/>
          </w:tcPr>
          <w:p w:rsidR="00654890" w:rsidRPr="009D7D44" w:rsidRDefault="0014713D">
            <w:pPr>
              <w:snapToGrid w:val="0"/>
              <w:spacing w:line="276" w:lineRule="auto"/>
              <w:jc w:val="center"/>
              <w:rPr>
                <w:color w:val="000000"/>
                <w:sz w:val="22"/>
                <w:szCs w:val="22"/>
              </w:rPr>
            </w:pPr>
            <w:r w:rsidRPr="009D7D44">
              <w:rPr>
                <w:color w:val="000000"/>
                <w:sz w:val="22"/>
                <w:szCs w:val="22"/>
              </w:rPr>
              <w:t>3</w:t>
            </w:r>
            <w:r w:rsidR="00257645" w:rsidRPr="009D7D44">
              <w:rPr>
                <w:color w:val="000000"/>
                <w:sz w:val="22"/>
                <w:szCs w:val="22"/>
              </w:rPr>
              <w:t>3.57</w:t>
            </w:r>
          </w:p>
        </w:tc>
      </w:tr>
    </w:tbl>
    <w:p w:rsidR="00654890" w:rsidRPr="009D7D44" w:rsidRDefault="00257645" w:rsidP="00654890">
      <w:pPr>
        <w:jc w:val="both"/>
        <w:rPr>
          <w:sz w:val="22"/>
          <w:szCs w:val="22"/>
        </w:rPr>
      </w:pPr>
      <w:r w:rsidRPr="009D7D44">
        <w:rPr>
          <w:sz w:val="22"/>
          <w:szCs w:val="22"/>
        </w:rPr>
        <w:t xml:space="preserve">Note that the tons table has been calculated from the </w:t>
      </w:r>
      <w:proofErr w:type="spellStart"/>
      <w:r w:rsidRPr="009D7D44">
        <w:rPr>
          <w:sz w:val="22"/>
          <w:szCs w:val="22"/>
        </w:rPr>
        <w:t>lb</w:t>
      </w:r>
      <w:proofErr w:type="spellEnd"/>
      <w:r w:rsidRPr="009D7D44">
        <w:rPr>
          <w:sz w:val="22"/>
          <w:szCs w:val="22"/>
        </w:rPr>
        <w:t xml:space="preserve"> table and rounded to the nearest two decimal places</w:t>
      </w:r>
    </w:p>
    <w:p w:rsidR="009D7D44" w:rsidRDefault="009D7D44" w:rsidP="00654890">
      <w:pPr>
        <w:autoSpaceDE w:val="0"/>
        <w:autoSpaceDN w:val="0"/>
        <w:adjustRightInd w:val="0"/>
        <w:spacing w:after="120"/>
        <w:jc w:val="both"/>
        <w:rPr>
          <w:sz w:val="22"/>
          <w:szCs w:val="22"/>
        </w:rPr>
      </w:pPr>
    </w:p>
    <w:p w:rsidR="00654890" w:rsidRPr="009D7D44" w:rsidRDefault="00654890" w:rsidP="00654890">
      <w:pPr>
        <w:autoSpaceDE w:val="0"/>
        <w:autoSpaceDN w:val="0"/>
        <w:adjustRightInd w:val="0"/>
        <w:spacing w:after="120"/>
        <w:jc w:val="both"/>
        <w:rPr>
          <w:sz w:val="22"/>
          <w:szCs w:val="22"/>
        </w:rPr>
      </w:pPr>
      <w:r w:rsidRPr="009D7D44">
        <w:rPr>
          <w:sz w:val="22"/>
          <w:szCs w:val="22"/>
        </w:rPr>
        <w:t>No overfished determination is possible for this stock given the lack of biomass information. Catch in 2012/13 was below the OFL therefore overfishing did not occur.</w:t>
      </w:r>
    </w:p>
    <w:p w:rsidR="00654890" w:rsidRPr="009D7D44" w:rsidRDefault="00654890" w:rsidP="00654890">
      <w:pPr>
        <w:jc w:val="both"/>
        <w:rPr>
          <w:sz w:val="22"/>
          <w:szCs w:val="22"/>
        </w:rPr>
      </w:pPr>
    </w:p>
    <w:p w:rsidR="00654890" w:rsidRPr="009D7D44" w:rsidRDefault="00654890" w:rsidP="009D7D44">
      <w:pPr>
        <w:keepNext/>
        <w:widowControl/>
        <w:jc w:val="both"/>
        <w:rPr>
          <w:i/>
          <w:sz w:val="22"/>
          <w:szCs w:val="22"/>
        </w:rPr>
      </w:pPr>
      <w:r w:rsidRPr="009D7D44">
        <w:rPr>
          <w:i/>
          <w:sz w:val="22"/>
          <w:szCs w:val="22"/>
        </w:rPr>
        <w:lastRenderedPageBreak/>
        <w:t>Additional Plan Team discussion</w:t>
      </w:r>
    </w:p>
    <w:p w:rsidR="00654890" w:rsidRPr="009D7D44" w:rsidRDefault="00654890" w:rsidP="009D7D44">
      <w:pPr>
        <w:keepNext/>
        <w:widowControl/>
        <w:jc w:val="both"/>
        <w:rPr>
          <w:sz w:val="22"/>
          <w:szCs w:val="22"/>
        </w:rPr>
      </w:pPr>
    </w:p>
    <w:p w:rsidR="00654890" w:rsidRPr="009D7D44" w:rsidRDefault="00654890" w:rsidP="009D7D44">
      <w:pPr>
        <w:keepNext/>
        <w:widowControl/>
        <w:rPr>
          <w:sz w:val="22"/>
          <w:szCs w:val="22"/>
        </w:rPr>
      </w:pPr>
      <w:r w:rsidRPr="009D7D44">
        <w:rPr>
          <w:sz w:val="22"/>
          <w:szCs w:val="22"/>
        </w:rPr>
        <w:t xml:space="preserve">The plan team discussed the history of catch of the stock in continuing to recommend the status quo ABC.  A </w:t>
      </w:r>
      <w:r w:rsidR="00C74B38" w:rsidRPr="009D7D44">
        <w:rPr>
          <w:sz w:val="22"/>
          <w:szCs w:val="22"/>
        </w:rPr>
        <w:t>S</w:t>
      </w:r>
      <w:r w:rsidRPr="009D7D44">
        <w:rPr>
          <w:sz w:val="22"/>
          <w:szCs w:val="22"/>
        </w:rPr>
        <w:t>tate of Alaska Board of Fish</w:t>
      </w:r>
      <w:r w:rsidR="00C74B38" w:rsidRPr="009D7D44">
        <w:rPr>
          <w:sz w:val="22"/>
          <w:szCs w:val="22"/>
        </w:rPr>
        <w:t>eries</w:t>
      </w:r>
      <w:r w:rsidRPr="009D7D44">
        <w:rPr>
          <w:sz w:val="22"/>
          <w:szCs w:val="22"/>
        </w:rPr>
        <w:t xml:space="preserve"> meeting in March 2014 divided the area into two management districts: 1) west of 179</w:t>
      </w:r>
      <w:r w:rsidR="00DE4EFC" w:rsidRPr="009D7D44">
        <w:rPr>
          <w:sz w:val="22"/>
          <w:szCs w:val="22"/>
        </w:rPr>
        <w:t xml:space="preserve"> degrees</w:t>
      </w:r>
      <w:r w:rsidR="009D7D44">
        <w:rPr>
          <w:sz w:val="22"/>
          <w:szCs w:val="22"/>
        </w:rPr>
        <w:t xml:space="preserve"> </w:t>
      </w:r>
      <w:r w:rsidRPr="009D7D44">
        <w:rPr>
          <w:sz w:val="22"/>
          <w:szCs w:val="22"/>
        </w:rPr>
        <w:t xml:space="preserve">W </w:t>
      </w:r>
      <w:r w:rsidR="00DE4EFC" w:rsidRPr="009D7D44">
        <w:rPr>
          <w:sz w:val="22"/>
          <w:szCs w:val="22"/>
        </w:rPr>
        <w:t xml:space="preserve">longitude </w:t>
      </w:r>
      <w:r w:rsidRPr="009D7D44">
        <w:rPr>
          <w:sz w:val="22"/>
          <w:szCs w:val="22"/>
        </w:rPr>
        <w:t xml:space="preserve">and 2) 171 to 179 </w:t>
      </w:r>
      <w:r w:rsidR="00DE4EFC" w:rsidRPr="009D7D44">
        <w:rPr>
          <w:sz w:val="22"/>
          <w:szCs w:val="22"/>
        </w:rPr>
        <w:t xml:space="preserve">degrees </w:t>
      </w:r>
      <w:r w:rsidRPr="009D7D44">
        <w:rPr>
          <w:sz w:val="22"/>
          <w:szCs w:val="22"/>
        </w:rPr>
        <w:t>W</w:t>
      </w:r>
      <w:r w:rsidR="00DE4EFC" w:rsidRPr="009D7D44">
        <w:rPr>
          <w:sz w:val="22"/>
          <w:szCs w:val="22"/>
        </w:rPr>
        <w:t xml:space="preserve"> longitude</w:t>
      </w:r>
      <w:r w:rsidRPr="009D7D44">
        <w:rPr>
          <w:sz w:val="22"/>
          <w:szCs w:val="22"/>
        </w:rPr>
        <w:t xml:space="preserve">.  Pot limits were established at 10 pots per vessel in state waters and 15 pots in federal waters.  The season open date was changed from October 15 to August 1 and federal waters would be closed when the GHL is less than 250,000 </w:t>
      </w:r>
      <w:proofErr w:type="spellStart"/>
      <w:r w:rsidRPr="009D7D44">
        <w:rPr>
          <w:sz w:val="22"/>
          <w:szCs w:val="22"/>
        </w:rPr>
        <w:t>lbs</w:t>
      </w:r>
      <w:proofErr w:type="spellEnd"/>
      <w:r w:rsidRPr="009D7D44">
        <w:rPr>
          <w:sz w:val="22"/>
          <w:szCs w:val="22"/>
        </w:rPr>
        <w:t xml:space="preserve"> (113 t).  </w:t>
      </w:r>
    </w:p>
    <w:p w:rsidR="00654890" w:rsidRPr="009D7D44" w:rsidRDefault="00654890" w:rsidP="00654890">
      <w:pPr>
        <w:jc w:val="both"/>
        <w:rPr>
          <w:sz w:val="22"/>
          <w:szCs w:val="22"/>
        </w:rPr>
      </w:pPr>
    </w:p>
    <w:p w:rsidR="00654890" w:rsidRPr="009D7D44" w:rsidRDefault="00654890" w:rsidP="00654890">
      <w:pPr>
        <w:jc w:val="both"/>
        <w:rPr>
          <w:sz w:val="22"/>
          <w:szCs w:val="22"/>
        </w:rPr>
      </w:pPr>
    </w:p>
    <w:p w:rsidR="00654890" w:rsidRPr="009D7D44" w:rsidRDefault="00654890" w:rsidP="00654890">
      <w:pPr>
        <w:jc w:val="both"/>
        <w:rPr>
          <w:sz w:val="22"/>
          <w:szCs w:val="22"/>
        </w:rPr>
      </w:pPr>
    </w:p>
    <w:p w:rsidR="00654890" w:rsidRPr="009D7D44" w:rsidRDefault="00654890" w:rsidP="00654890">
      <w:pPr>
        <w:widowControl/>
        <w:rPr>
          <w:sz w:val="22"/>
          <w:szCs w:val="22"/>
        </w:rPr>
      </w:pPr>
    </w:p>
    <w:p w:rsidR="00654890" w:rsidRPr="009D7D44" w:rsidRDefault="00654890" w:rsidP="00654890">
      <w:pPr>
        <w:widowControl/>
        <w:rPr>
          <w:sz w:val="22"/>
          <w:szCs w:val="22"/>
        </w:rPr>
      </w:pPr>
    </w:p>
    <w:p w:rsidR="00654890" w:rsidRPr="009D7D44" w:rsidRDefault="00654890" w:rsidP="00654890">
      <w:pPr>
        <w:rPr>
          <w:sz w:val="22"/>
          <w:szCs w:val="22"/>
        </w:rPr>
      </w:pPr>
    </w:p>
    <w:p w:rsidR="009D7D44" w:rsidRDefault="009D7D44">
      <w:pPr>
        <w:widowControl/>
        <w:spacing w:after="200" w:line="276" w:lineRule="auto"/>
        <w:rPr>
          <w:sz w:val="22"/>
          <w:szCs w:val="22"/>
        </w:rPr>
      </w:pPr>
      <w:r>
        <w:rPr>
          <w:sz w:val="22"/>
          <w:szCs w:val="22"/>
        </w:rPr>
        <w:br w:type="page"/>
      </w:r>
    </w:p>
    <w:p w:rsidR="009D7D44" w:rsidRDefault="009D7D44" w:rsidP="009D7D44">
      <w:pPr>
        <w:pStyle w:val="Caption"/>
        <w:rPr>
          <w:sz w:val="22"/>
          <w:szCs w:val="22"/>
          <w:u w:val="none"/>
        </w:rPr>
      </w:pPr>
      <w:r w:rsidRPr="0052391D">
        <w:rPr>
          <w:sz w:val="22"/>
          <w:szCs w:val="22"/>
          <w:u w:val="none"/>
        </w:rPr>
        <w:lastRenderedPageBreak/>
        <w:t xml:space="preserve">Table </w:t>
      </w:r>
      <w:r>
        <w:rPr>
          <w:sz w:val="22"/>
          <w:szCs w:val="22"/>
          <w:u w:val="none"/>
        </w:rPr>
        <w:t xml:space="preserve">3 Crab Plan Team </w:t>
      </w:r>
      <w:r w:rsidRPr="007D07E1">
        <w:rPr>
          <w:sz w:val="22"/>
          <w:szCs w:val="22"/>
          <w:u w:val="none"/>
        </w:rPr>
        <w:t xml:space="preserve">recommendations </w:t>
      </w:r>
      <w:r>
        <w:rPr>
          <w:sz w:val="22"/>
          <w:szCs w:val="22"/>
          <w:u w:val="none"/>
        </w:rPr>
        <w:t xml:space="preserve">May 2014 </w:t>
      </w:r>
    </w:p>
    <w:p w:rsidR="009D7D44" w:rsidRPr="007D07E1" w:rsidRDefault="009D7D44" w:rsidP="009D7D44">
      <w:pPr>
        <w:pStyle w:val="Caption"/>
        <w:jc w:val="both"/>
        <w:rPr>
          <w:sz w:val="22"/>
          <w:szCs w:val="22"/>
          <w:u w:val="none"/>
        </w:rPr>
      </w:pPr>
      <w:r>
        <w:rPr>
          <w:sz w:val="22"/>
          <w:szCs w:val="22"/>
          <w:u w:val="none"/>
        </w:rPr>
        <w:t>(Note diagonal fill indicated parameters not applicable for that tier level while shaded sections are to be filled out for the final SAFE in September 2014)</w:t>
      </w:r>
    </w:p>
    <w:tbl>
      <w:tblPr>
        <w:tblW w:w="11030" w:type="dxa"/>
        <w:jc w:val="center"/>
        <w:tblInd w:w="-750" w:type="dxa"/>
        <w:tblBorders>
          <w:top w:val="double" w:sz="4" w:space="0" w:color="auto"/>
          <w:bottom w:val="single" w:sz="4" w:space="0" w:color="000000"/>
          <w:insideH w:val="single" w:sz="2" w:space="0" w:color="000000"/>
        </w:tblBorders>
        <w:tblCellMar>
          <w:left w:w="58" w:type="dxa"/>
          <w:right w:w="58" w:type="dxa"/>
        </w:tblCellMar>
        <w:tblLook w:val="01E0" w:firstRow="1" w:lastRow="1" w:firstColumn="1" w:lastColumn="1" w:noHBand="0" w:noVBand="0"/>
      </w:tblPr>
      <w:tblGrid>
        <w:gridCol w:w="709"/>
        <w:gridCol w:w="989"/>
        <w:gridCol w:w="489"/>
        <w:gridCol w:w="609"/>
        <w:gridCol w:w="460"/>
        <w:gridCol w:w="812"/>
        <w:gridCol w:w="1353"/>
        <w:gridCol w:w="638"/>
        <w:gridCol w:w="1020"/>
        <w:gridCol w:w="383"/>
        <w:gridCol w:w="1396"/>
        <w:gridCol w:w="1086"/>
        <w:gridCol w:w="1086"/>
      </w:tblGrid>
      <w:tr w:rsidR="009D7D44" w:rsidRPr="009A1B74" w:rsidTr="00BB21C0">
        <w:trPr>
          <w:trHeight w:val="835"/>
          <w:jc w:val="center"/>
        </w:trPr>
        <w:tc>
          <w:tcPr>
            <w:tcW w:w="0" w:type="auto"/>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Chapter</w:t>
            </w:r>
          </w:p>
        </w:tc>
        <w:tc>
          <w:tcPr>
            <w:tcW w:w="989"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Stock</w:t>
            </w:r>
          </w:p>
        </w:tc>
        <w:tc>
          <w:tcPr>
            <w:tcW w:w="489"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 xml:space="preserve">Tier </w:t>
            </w:r>
          </w:p>
        </w:tc>
        <w:tc>
          <w:tcPr>
            <w:tcW w:w="609"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Status</w:t>
            </w:r>
          </w:p>
          <w:p w:rsidR="009D7D44" w:rsidRPr="009A1B74" w:rsidRDefault="009D7D44" w:rsidP="00BB21C0">
            <w:pPr>
              <w:keepNext/>
              <w:keepLines/>
              <w:widowControl/>
              <w:jc w:val="center"/>
              <w:rPr>
                <w:sz w:val="18"/>
                <w:szCs w:val="22"/>
              </w:rPr>
            </w:pPr>
            <w:r w:rsidRPr="009A1B74">
              <w:rPr>
                <w:sz w:val="18"/>
                <w:szCs w:val="22"/>
              </w:rPr>
              <w:t>(</w:t>
            </w:r>
            <w:proofErr w:type="spellStart"/>
            <w:r w:rsidRPr="009A1B74">
              <w:rPr>
                <w:sz w:val="18"/>
                <w:szCs w:val="22"/>
              </w:rPr>
              <w:t>a,b,c</w:t>
            </w:r>
            <w:proofErr w:type="spellEnd"/>
            <w:r w:rsidRPr="009A1B74">
              <w:rPr>
                <w:sz w:val="18"/>
                <w:szCs w:val="22"/>
              </w:rPr>
              <w:t>)</w:t>
            </w:r>
          </w:p>
        </w:tc>
        <w:tc>
          <w:tcPr>
            <w:tcW w:w="460"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F</w:t>
            </w:r>
            <w:r w:rsidRPr="009A1B74">
              <w:rPr>
                <w:sz w:val="18"/>
                <w:szCs w:val="22"/>
                <w:vertAlign w:val="subscript"/>
              </w:rPr>
              <w:t>OFL</w:t>
            </w:r>
          </w:p>
        </w:tc>
        <w:tc>
          <w:tcPr>
            <w:tcW w:w="812"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 xml:space="preserve"> B</w:t>
            </w:r>
            <w:r w:rsidRPr="009A1B74">
              <w:rPr>
                <w:sz w:val="18"/>
                <w:szCs w:val="22"/>
                <w:vertAlign w:val="subscript"/>
              </w:rPr>
              <w:t xml:space="preserve">MSY </w:t>
            </w:r>
            <w:r w:rsidRPr="009A1B74">
              <w:rPr>
                <w:sz w:val="18"/>
                <w:szCs w:val="22"/>
              </w:rPr>
              <w:t xml:space="preserve">or </w:t>
            </w:r>
            <w:proofErr w:type="spellStart"/>
            <w:r w:rsidRPr="009A1B74">
              <w:rPr>
                <w:sz w:val="18"/>
                <w:szCs w:val="22"/>
              </w:rPr>
              <w:t>B</w:t>
            </w:r>
            <w:r w:rsidRPr="009A1B74">
              <w:rPr>
                <w:sz w:val="18"/>
                <w:szCs w:val="22"/>
                <w:vertAlign w:val="subscript"/>
              </w:rPr>
              <w:t>MSYproxy</w:t>
            </w:r>
            <w:proofErr w:type="spellEnd"/>
          </w:p>
        </w:tc>
        <w:tc>
          <w:tcPr>
            <w:tcW w:w="1353"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Years</w:t>
            </w:r>
            <w:r w:rsidRPr="009A1B74">
              <w:rPr>
                <w:rStyle w:val="FootnoteReference"/>
                <w:rFonts w:eastAsiaTheme="majorEastAsia"/>
                <w:sz w:val="18"/>
                <w:szCs w:val="22"/>
                <w:vertAlign w:val="superscript"/>
              </w:rPr>
              <w:footnoteReference w:id="1"/>
            </w:r>
          </w:p>
          <w:p w:rsidR="009D7D44" w:rsidRPr="009A1B74" w:rsidRDefault="009D7D44" w:rsidP="00BB21C0">
            <w:pPr>
              <w:keepNext/>
              <w:keepLines/>
              <w:widowControl/>
              <w:jc w:val="center"/>
              <w:rPr>
                <w:sz w:val="18"/>
                <w:szCs w:val="22"/>
              </w:rPr>
            </w:pPr>
            <w:r w:rsidRPr="009A1B74">
              <w:rPr>
                <w:sz w:val="18"/>
                <w:szCs w:val="22"/>
              </w:rPr>
              <w:t>(biomass or catch)</w:t>
            </w:r>
          </w:p>
        </w:tc>
        <w:tc>
          <w:tcPr>
            <w:tcW w:w="638" w:type="dxa"/>
            <w:shd w:val="clear" w:color="auto" w:fill="auto"/>
            <w:vAlign w:val="bottom"/>
          </w:tcPr>
          <w:p w:rsidR="009D7D44" w:rsidRPr="009A1B74" w:rsidRDefault="009D7D44" w:rsidP="00BB21C0">
            <w:pPr>
              <w:keepNext/>
              <w:keepLines/>
              <w:widowControl/>
              <w:jc w:val="center"/>
              <w:rPr>
                <w:sz w:val="18"/>
                <w:szCs w:val="22"/>
              </w:rPr>
            </w:pPr>
            <w:r>
              <w:rPr>
                <w:sz w:val="18"/>
                <w:szCs w:val="22"/>
              </w:rPr>
              <w:t>2014</w:t>
            </w:r>
            <w:r w:rsidRPr="009A1B74">
              <w:rPr>
                <w:rStyle w:val="FootnoteReference"/>
                <w:rFonts w:eastAsiaTheme="majorEastAsia"/>
                <w:sz w:val="18"/>
                <w:szCs w:val="22"/>
                <w:vertAlign w:val="superscript"/>
              </w:rPr>
              <w:footnoteReference w:id="2"/>
            </w:r>
            <w:r w:rsidRPr="009A1B74">
              <w:rPr>
                <w:sz w:val="18"/>
                <w:szCs w:val="22"/>
              </w:rPr>
              <w:t xml:space="preserve"> </w:t>
            </w:r>
            <w:r w:rsidRPr="009A1B74">
              <w:rPr>
                <w:rStyle w:val="FootnoteReference"/>
                <w:rFonts w:eastAsiaTheme="majorEastAsia"/>
                <w:sz w:val="18"/>
                <w:szCs w:val="22"/>
                <w:vertAlign w:val="superscript"/>
              </w:rPr>
              <w:footnoteReference w:id="3"/>
            </w:r>
            <w:r w:rsidRPr="009A1B74">
              <w:rPr>
                <w:sz w:val="18"/>
                <w:szCs w:val="22"/>
                <w:vertAlign w:val="superscript"/>
              </w:rPr>
              <w:t xml:space="preserve"> </w:t>
            </w:r>
            <w:r w:rsidRPr="009A1B74">
              <w:rPr>
                <w:sz w:val="18"/>
                <w:szCs w:val="22"/>
              </w:rPr>
              <w:t>MMB</w:t>
            </w:r>
          </w:p>
        </w:tc>
        <w:tc>
          <w:tcPr>
            <w:tcW w:w="1020" w:type="dxa"/>
            <w:shd w:val="clear" w:color="auto" w:fill="auto"/>
            <w:vAlign w:val="bottom"/>
          </w:tcPr>
          <w:p w:rsidR="009D7D44" w:rsidRPr="009A1B74" w:rsidRDefault="009D7D44" w:rsidP="00BB21C0">
            <w:pPr>
              <w:keepNext/>
              <w:keepLines/>
              <w:widowControl/>
              <w:jc w:val="center"/>
              <w:rPr>
                <w:sz w:val="18"/>
                <w:szCs w:val="22"/>
              </w:rPr>
            </w:pPr>
            <w:r>
              <w:rPr>
                <w:sz w:val="18"/>
                <w:szCs w:val="22"/>
              </w:rPr>
              <w:t>2014</w:t>
            </w:r>
          </w:p>
          <w:p w:rsidR="009D7D44" w:rsidRPr="009A1B74" w:rsidRDefault="009D7D44" w:rsidP="00BB21C0">
            <w:pPr>
              <w:keepNext/>
              <w:keepLines/>
              <w:widowControl/>
              <w:jc w:val="center"/>
              <w:rPr>
                <w:sz w:val="18"/>
                <w:szCs w:val="22"/>
              </w:rPr>
            </w:pPr>
            <w:r w:rsidRPr="009A1B74">
              <w:rPr>
                <w:sz w:val="18"/>
                <w:szCs w:val="22"/>
              </w:rPr>
              <w:t>MMB / MMB</w:t>
            </w:r>
            <w:r w:rsidRPr="009A1B74">
              <w:rPr>
                <w:sz w:val="18"/>
                <w:szCs w:val="22"/>
                <w:vertAlign w:val="subscript"/>
              </w:rPr>
              <w:t>MSY</w:t>
            </w:r>
          </w:p>
        </w:tc>
        <w:tc>
          <w:tcPr>
            <w:tcW w:w="383" w:type="dxa"/>
            <w:tcBorders>
              <w:bottom w:val="single" w:sz="2" w:space="0" w:color="000000"/>
            </w:tcBorders>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γ</w:t>
            </w:r>
          </w:p>
        </w:tc>
        <w:tc>
          <w:tcPr>
            <w:tcW w:w="1396" w:type="dxa"/>
            <w:shd w:val="clear" w:color="auto" w:fill="auto"/>
            <w:vAlign w:val="bottom"/>
          </w:tcPr>
          <w:p w:rsidR="009D7D44" w:rsidRPr="009A1B74" w:rsidRDefault="009D7D44" w:rsidP="00BB21C0">
            <w:pPr>
              <w:keepNext/>
              <w:keepLines/>
              <w:widowControl/>
              <w:jc w:val="center"/>
              <w:rPr>
                <w:sz w:val="18"/>
                <w:szCs w:val="22"/>
              </w:rPr>
            </w:pPr>
            <w:r w:rsidRPr="009A1B74">
              <w:rPr>
                <w:sz w:val="18"/>
                <w:szCs w:val="22"/>
              </w:rPr>
              <w:t>Mortality (M)</w:t>
            </w:r>
          </w:p>
        </w:tc>
        <w:tc>
          <w:tcPr>
            <w:tcW w:w="1086" w:type="dxa"/>
            <w:shd w:val="clear" w:color="auto" w:fill="auto"/>
            <w:vAlign w:val="bottom"/>
          </w:tcPr>
          <w:p w:rsidR="009D7D44" w:rsidRPr="009A1B74" w:rsidRDefault="009D7D44" w:rsidP="00BB21C0">
            <w:pPr>
              <w:keepNext/>
              <w:keepLines/>
              <w:widowControl/>
              <w:jc w:val="center"/>
              <w:rPr>
                <w:sz w:val="18"/>
                <w:szCs w:val="22"/>
              </w:rPr>
            </w:pPr>
            <w:r>
              <w:rPr>
                <w:sz w:val="18"/>
                <w:szCs w:val="22"/>
              </w:rPr>
              <w:t>2014/15</w:t>
            </w:r>
            <w:r w:rsidRPr="009A1B74">
              <w:rPr>
                <w:sz w:val="18"/>
                <w:szCs w:val="22"/>
              </w:rPr>
              <w:t xml:space="preserve"> OFL </w:t>
            </w:r>
            <w:r w:rsidRPr="009A1B74">
              <w:rPr>
                <w:sz w:val="18"/>
                <w:szCs w:val="22"/>
              </w:rPr>
              <w:br/>
              <w:t xml:space="preserve">mill </w:t>
            </w:r>
            <w:proofErr w:type="spellStart"/>
            <w:r w:rsidRPr="009A1B74">
              <w:rPr>
                <w:sz w:val="18"/>
                <w:szCs w:val="22"/>
              </w:rPr>
              <w:t>lb</w:t>
            </w:r>
            <w:proofErr w:type="spellEnd"/>
            <w:r w:rsidRPr="009A1B74">
              <w:rPr>
                <w:sz w:val="18"/>
                <w:szCs w:val="22"/>
              </w:rPr>
              <w:t xml:space="preserve"> </w:t>
            </w:r>
          </w:p>
        </w:tc>
        <w:tc>
          <w:tcPr>
            <w:tcW w:w="1086" w:type="dxa"/>
          </w:tcPr>
          <w:p w:rsidR="009D7D44" w:rsidRDefault="009D7D44" w:rsidP="00BB21C0">
            <w:pPr>
              <w:keepNext/>
              <w:keepLines/>
              <w:widowControl/>
              <w:jc w:val="center"/>
              <w:rPr>
                <w:sz w:val="18"/>
                <w:szCs w:val="22"/>
              </w:rPr>
            </w:pPr>
          </w:p>
          <w:p w:rsidR="009D7D44" w:rsidRDefault="009D7D44" w:rsidP="00BB21C0">
            <w:pPr>
              <w:keepNext/>
              <w:keepLines/>
              <w:widowControl/>
              <w:jc w:val="center"/>
              <w:rPr>
                <w:sz w:val="18"/>
                <w:szCs w:val="22"/>
              </w:rPr>
            </w:pPr>
            <w:r>
              <w:rPr>
                <w:sz w:val="18"/>
                <w:szCs w:val="22"/>
              </w:rPr>
              <w:t>2014/15</w:t>
            </w:r>
            <w:r w:rsidRPr="009A1B74">
              <w:rPr>
                <w:sz w:val="18"/>
                <w:szCs w:val="22"/>
              </w:rPr>
              <w:t xml:space="preserve"> </w:t>
            </w:r>
            <w:r>
              <w:rPr>
                <w:sz w:val="18"/>
                <w:szCs w:val="22"/>
              </w:rPr>
              <w:t>ABC</w:t>
            </w:r>
            <w:r w:rsidRPr="009A1B74">
              <w:rPr>
                <w:sz w:val="18"/>
                <w:szCs w:val="22"/>
              </w:rPr>
              <w:t xml:space="preserve"> </w:t>
            </w:r>
            <w:r w:rsidRPr="009A1B74">
              <w:rPr>
                <w:sz w:val="18"/>
                <w:szCs w:val="22"/>
              </w:rPr>
              <w:br/>
              <w:t xml:space="preserve">mill </w:t>
            </w:r>
            <w:proofErr w:type="spellStart"/>
            <w:r w:rsidRPr="009A1B74">
              <w:rPr>
                <w:sz w:val="18"/>
                <w:szCs w:val="22"/>
              </w:rPr>
              <w:t>lb</w:t>
            </w:r>
            <w:proofErr w:type="spellEnd"/>
          </w:p>
        </w:tc>
      </w:tr>
      <w:tr w:rsidR="009D7D44" w:rsidRPr="009A1B74" w:rsidTr="00BB21C0">
        <w:trPr>
          <w:trHeight w:val="623"/>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1</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EBS snow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3</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vMerge w:val="restart"/>
            <w:tcBorders>
              <w:top w:val="single" w:sz="2" w:space="0" w:color="000000"/>
              <w:bottom w:val="single" w:sz="2" w:space="0" w:color="000000"/>
            </w:tcBorders>
            <w:shd w:val="thinReverseDiagStripe" w:color="auto" w:fill="FFFFFF" w:themeFill="background1"/>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623"/>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2</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BB red king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3</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vMerge/>
            <w:tcBorders>
              <w:top w:val="single" w:sz="2" w:space="0" w:color="000000"/>
              <w:bottom w:val="single" w:sz="2" w:space="0" w:color="000000"/>
            </w:tcBorders>
            <w:shd w:val="thinReverseDiagStripe" w:color="auto" w:fill="FFFFFF" w:themeFill="background1"/>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623"/>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3</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EBS Tanner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4</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tcBorders>
              <w:top w:val="single" w:sz="2" w:space="0" w:color="000000"/>
            </w:tcBorders>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623"/>
          <w:jc w:val="center"/>
        </w:trPr>
        <w:tc>
          <w:tcPr>
            <w:tcW w:w="0" w:type="auto"/>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4</w:t>
            </w:r>
          </w:p>
        </w:tc>
        <w:tc>
          <w:tcPr>
            <w:tcW w:w="9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Pribilof Islands red king crab</w:t>
            </w:r>
          </w:p>
        </w:tc>
        <w:tc>
          <w:tcPr>
            <w:tcW w:w="4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4</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835"/>
          <w:jc w:val="center"/>
        </w:trPr>
        <w:tc>
          <w:tcPr>
            <w:tcW w:w="0" w:type="auto"/>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5</w:t>
            </w:r>
          </w:p>
        </w:tc>
        <w:tc>
          <w:tcPr>
            <w:tcW w:w="9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Pribilof Islands blue king crab</w:t>
            </w:r>
          </w:p>
        </w:tc>
        <w:tc>
          <w:tcPr>
            <w:tcW w:w="4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4</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822"/>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6</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St. Matthew Island blue king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4</w:t>
            </w:r>
          </w:p>
        </w:tc>
        <w:tc>
          <w:tcPr>
            <w:tcW w:w="609"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460" w:type="dxa"/>
            <w:shd w:val="clear" w:color="auto" w:fill="A6A6A6" w:themeFill="background1" w:themeFillShade="A6"/>
            <w:vAlign w:val="center"/>
          </w:tcPr>
          <w:p w:rsidR="009D7D44" w:rsidRPr="009A1B74" w:rsidRDefault="009D7D44" w:rsidP="00BB21C0">
            <w:pPr>
              <w:keepNext/>
              <w:keepLines/>
              <w:widowControl/>
              <w:jc w:val="center"/>
              <w:rPr>
                <w:sz w:val="18"/>
                <w:szCs w:val="22"/>
                <w:highlight w:val="yellow"/>
              </w:rPr>
            </w:pPr>
          </w:p>
        </w:tc>
        <w:tc>
          <w:tcPr>
            <w:tcW w:w="812"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638"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20"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8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39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623"/>
          <w:jc w:val="center"/>
        </w:trPr>
        <w:tc>
          <w:tcPr>
            <w:tcW w:w="0" w:type="auto"/>
            <w:vAlign w:val="center"/>
          </w:tcPr>
          <w:p w:rsidR="009D7D44" w:rsidRPr="006E03A9" w:rsidRDefault="009D7D44" w:rsidP="00BB21C0">
            <w:pPr>
              <w:keepNext/>
              <w:keepLines/>
              <w:widowControl/>
              <w:jc w:val="center"/>
              <w:rPr>
                <w:sz w:val="18"/>
                <w:szCs w:val="22"/>
              </w:rPr>
            </w:pPr>
            <w:r w:rsidRPr="006E03A9">
              <w:rPr>
                <w:sz w:val="18"/>
                <w:szCs w:val="22"/>
              </w:rPr>
              <w:t>7</w:t>
            </w:r>
          </w:p>
        </w:tc>
        <w:tc>
          <w:tcPr>
            <w:tcW w:w="989" w:type="dxa"/>
            <w:vAlign w:val="center"/>
          </w:tcPr>
          <w:p w:rsidR="009D7D44" w:rsidRPr="006E03A9" w:rsidRDefault="009D7D44" w:rsidP="00BB21C0">
            <w:pPr>
              <w:keepNext/>
              <w:keepLines/>
              <w:widowControl/>
              <w:jc w:val="center"/>
              <w:rPr>
                <w:sz w:val="18"/>
                <w:szCs w:val="22"/>
              </w:rPr>
            </w:pPr>
            <w:r w:rsidRPr="006E03A9">
              <w:rPr>
                <w:sz w:val="18"/>
                <w:szCs w:val="22"/>
              </w:rPr>
              <w:t>Norton Sound red king crab</w:t>
            </w:r>
          </w:p>
        </w:tc>
        <w:tc>
          <w:tcPr>
            <w:tcW w:w="489" w:type="dxa"/>
            <w:vAlign w:val="center"/>
          </w:tcPr>
          <w:p w:rsidR="009D7D44" w:rsidRPr="006E03A9" w:rsidRDefault="009D7D44" w:rsidP="00BB21C0">
            <w:pPr>
              <w:keepNext/>
              <w:keepLines/>
              <w:widowControl/>
              <w:jc w:val="center"/>
              <w:rPr>
                <w:sz w:val="18"/>
                <w:szCs w:val="22"/>
              </w:rPr>
            </w:pPr>
            <w:r w:rsidRPr="006E03A9">
              <w:rPr>
                <w:sz w:val="18"/>
                <w:szCs w:val="22"/>
              </w:rPr>
              <w:t>4</w:t>
            </w:r>
          </w:p>
        </w:tc>
        <w:tc>
          <w:tcPr>
            <w:tcW w:w="609" w:type="dxa"/>
            <w:vAlign w:val="center"/>
          </w:tcPr>
          <w:p w:rsidR="009D7D44" w:rsidRPr="006E03A9" w:rsidRDefault="009D7D44" w:rsidP="00BB21C0">
            <w:pPr>
              <w:keepNext/>
              <w:keepLines/>
              <w:widowControl/>
              <w:jc w:val="center"/>
              <w:rPr>
                <w:sz w:val="18"/>
                <w:szCs w:val="22"/>
              </w:rPr>
            </w:pPr>
            <w:r>
              <w:rPr>
                <w:sz w:val="18"/>
                <w:szCs w:val="22"/>
              </w:rPr>
              <w:t>b</w:t>
            </w:r>
          </w:p>
        </w:tc>
        <w:tc>
          <w:tcPr>
            <w:tcW w:w="460" w:type="dxa"/>
            <w:vAlign w:val="center"/>
          </w:tcPr>
          <w:p w:rsidR="009D7D44" w:rsidRPr="006E03A9" w:rsidRDefault="009D7D44" w:rsidP="00BB21C0">
            <w:pPr>
              <w:keepNext/>
              <w:keepLines/>
              <w:widowControl/>
              <w:jc w:val="center"/>
              <w:rPr>
                <w:sz w:val="18"/>
                <w:szCs w:val="22"/>
              </w:rPr>
            </w:pPr>
            <w:r w:rsidRPr="006E03A9">
              <w:rPr>
                <w:sz w:val="18"/>
                <w:szCs w:val="22"/>
              </w:rPr>
              <w:t>0.18</w:t>
            </w:r>
          </w:p>
        </w:tc>
        <w:tc>
          <w:tcPr>
            <w:tcW w:w="812" w:type="dxa"/>
            <w:vAlign w:val="center"/>
          </w:tcPr>
          <w:p w:rsidR="009D7D44" w:rsidRPr="006E03A9" w:rsidRDefault="009D7D44" w:rsidP="00BB21C0">
            <w:pPr>
              <w:keepNext/>
              <w:keepLines/>
              <w:widowControl/>
              <w:jc w:val="center"/>
              <w:rPr>
                <w:sz w:val="18"/>
                <w:szCs w:val="22"/>
              </w:rPr>
            </w:pPr>
            <w:r>
              <w:rPr>
                <w:sz w:val="18"/>
                <w:szCs w:val="22"/>
              </w:rPr>
              <w:t>4.19</w:t>
            </w:r>
          </w:p>
        </w:tc>
        <w:tc>
          <w:tcPr>
            <w:tcW w:w="1353" w:type="dxa"/>
            <w:vAlign w:val="center"/>
          </w:tcPr>
          <w:p w:rsidR="009D7D44" w:rsidRPr="006E03A9" w:rsidRDefault="009D7D44" w:rsidP="00BB21C0">
            <w:pPr>
              <w:keepNext/>
              <w:keepLines/>
              <w:widowControl/>
              <w:jc w:val="center"/>
              <w:rPr>
                <w:sz w:val="18"/>
                <w:szCs w:val="22"/>
              </w:rPr>
            </w:pPr>
            <w:r w:rsidRPr="006E03A9">
              <w:rPr>
                <w:sz w:val="18"/>
                <w:szCs w:val="22"/>
              </w:rPr>
              <w:t>198</w:t>
            </w:r>
            <w:r>
              <w:rPr>
                <w:sz w:val="18"/>
                <w:szCs w:val="22"/>
              </w:rPr>
              <w:t>0</w:t>
            </w:r>
            <w:r w:rsidRPr="006E03A9">
              <w:rPr>
                <w:sz w:val="18"/>
                <w:szCs w:val="22"/>
              </w:rPr>
              <w:t>-current</w:t>
            </w:r>
          </w:p>
          <w:p w:rsidR="009D7D44" w:rsidRPr="006E03A9" w:rsidRDefault="009D7D44" w:rsidP="00BB21C0">
            <w:pPr>
              <w:keepNext/>
              <w:keepLines/>
              <w:widowControl/>
              <w:jc w:val="center"/>
              <w:rPr>
                <w:sz w:val="18"/>
                <w:szCs w:val="22"/>
              </w:rPr>
            </w:pPr>
            <w:r w:rsidRPr="006E03A9">
              <w:rPr>
                <w:sz w:val="18"/>
                <w:szCs w:val="22"/>
              </w:rPr>
              <w:t>[model estimate]</w:t>
            </w:r>
          </w:p>
        </w:tc>
        <w:tc>
          <w:tcPr>
            <w:tcW w:w="638" w:type="dxa"/>
            <w:vAlign w:val="center"/>
          </w:tcPr>
          <w:p w:rsidR="009D7D44" w:rsidRPr="006E03A9" w:rsidRDefault="009D7D44" w:rsidP="00BB21C0">
            <w:pPr>
              <w:keepNext/>
              <w:keepLines/>
              <w:widowControl/>
              <w:jc w:val="center"/>
              <w:rPr>
                <w:sz w:val="18"/>
                <w:szCs w:val="22"/>
              </w:rPr>
            </w:pPr>
            <w:r>
              <w:rPr>
                <w:sz w:val="18"/>
                <w:szCs w:val="22"/>
              </w:rPr>
              <w:t>3.71</w:t>
            </w:r>
          </w:p>
        </w:tc>
        <w:tc>
          <w:tcPr>
            <w:tcW w:w="1020" w:type="dxa"/>
            <w:vAlign w:val="center"/>
          </w:tcPr>
          <w:p w:rsidR="009D7D44" w:rsidRPr="006E03A9" w:rsidRDefault="009D7D44" w:rsidP="00BB21C0">
            <w:pPr>
              <w:keepNext/>
              <w:keepLines/>
              <w:widowControl/>
              <w:jc w:val="center"/>
              <w:rPr>
                <w:sz w:val="18"/>
                <w:szCs w:val="22"/>
              </w:rPr>
            </w:pPr>
            <w:r>
              <w:rPr>
                <w:sz w:val="18"/>
                <w:szCs w:val="22"/>
              </w:rPr>
              <w:t>0.89</w:t>
            </w:r>
          </w:p>
        </w:tc>
        <w:tc>
          <w:tcPr>
            <w:tcW w:w="383" w:type="dxa"/>
            <w:vAlign w:val="center"/>
          </w:tcPr>
          <w:p w:rsidR="009D7D44" w:rsidRPr="006E03A9" w:rsidRDefault="009D7D44" w:rsidP="00BB21C0">
            <w:pPr>
              <w:keepNext/>
              <w:keepLines/>
              <w:widowControl/>
              <w:jc w:val="center"/>
              <w:rPr>
                <w:sz w:val="18"/>
                <w:szCs w:val="22"/>
              </w:rPr>
            </w:pPr>
            <w:r w:rsidRPr="006E03A9">
              <w:rPr>
                <w:sz w:val="18"/>
                <w:szCs w:val="22"/>
              </w:rPr>
              <w:t>1.0</w:t>
            </w:r>
          </w:p>
        </w:tc>
        <w:tc>
          <w:tcPr>
            <w:tcW w:w="1396" w:type="dxa"/>
            <w:vAlign w:val="center"/>
          </w:tcPr>
          <w:p w:rsidR="009D7D44" w:rsidRDefault="009D7D44" w:rsidP="00BB21C0">
            <w:pPr>
              <w:keepNext/>
              <w:keepLines/>
              <w:widowControl/>
              <w:jc w:val="center"/>
              <w:rPr>
                <w:sz w:val="18"/>
                <w:szCs w:val="22"/>
              </w:rPr>
            </w:pPr>
            <w:r w:rsidRPr="006E03A9">
              <w:rPr>
                <w:sz w:val="18"/>
                <w:szCs w:val="22"/>
              </w:rPr>
              <w:t>0.18</w:t>
            </w:r>
          </w:p>
          <w:p w:rsidR="009D7D44" w:rsidRPr="006E03A9" w:rsidRDefault="009D7D44" w:rsidP="00BB21C0">
            <w:pPr>
              <w:keepNext/>
              <w:keepLines/>
              <w:widowControl/>
              <w:rPr>
                <w:sz w:val="18"/>
                <w:szCs w:val="22"/>
              </w:rPr>
            </w:pPr>
            <w:r>
              <w:rPr>
                <w:sz w:val="18"/>
                <w:szCs w:val="22"/>
              </w:rPr>
              <w:t xml:space="preserve">0.68 </w:t>
            </w:r>
            <w:r w:rsidRPr="006E03A9">
              <w:rPr>
                <w:sz w:val="18"/>
              </w:rPr>
              <w:t>(&gt;123 mm</w:t>
            </w:r>
            <w:r>
              <w:rPr>
                <w:sz w:val="18"/>
              </w:rPr>
              <w:t>)</w:t>
            </w:r>
          </w:p>
        </w:tc>
        <w:tc>
          <w:tcPr>
            <w:tcW w:w="1086" w:type="dxa"/>
            <w:vAlign w:val="center"/>
          </w:tcPr>
          <w:p w:rsidR="009D7D44" w:rsidRPr="006E03A9" w:rsidRDefault="009D7D44" w:rsidP="00BB21C0">
            <w:pPr>
              <w:keepNext/>
              <w:keepLines/>
              <w:widowControl/>
              <w:jc w:val="center"/>
              <w:rPr>
                <w:sz w:val="18"/>
                <w:szCs w:val="22"/>
              </w:rPr>
            </w:pPr>
            <w:r w:rsidRPr="006E03A9">
              <w:rPr>
                <w:sz w:val="18"/>
                <w:szCs w:val="22"/>
              </w:rPr>
              <w:t>0.</w:t>
            </w:r>
            <w:r>
              <w:rPr>
                <w:sz w:val="18"/>
                <w:szCs w:val="22"/>
              </w:rPr>
              <w:t>46</w:t>
            </w:r>
          </w:p>
        </w:tc>
        <w:tc>
          <w:tcPr>
            <w:tcW w:w="1086" w:type="dxa"/>
          </w:tcPr>
          <w:p w:rsidR="009D7D44" w:rsidRPr="006E03A9" w:rsidRDefault="009D7D44" w:rsidP="00BB21C0">
            <w:pPr>
              <w:keepNext/>
              <w:keepLines/>
              <w:widowControl/>
              <w:jc w:val="center"/>
              <w:rPr>
                <w:sz w:val="18"/>
                <w:szCs w:val="22"/>
              </w:rPr>
            </w:pPr>
          </w:p>
          <w:p w:rsidR="009D7D44" w:rsidRDefault="009D7D44" w:rsidP="00BB21C0">
            <w:pPr>
              <w:keepNext/>
              <w:keepLines/>
              <w:widowControl/>
              <w:jc w:val="center"/>
              <w:rPr>
                <w:sz w:val="18"/>
                <w:szCs w:val="22"/>
              </w:rPr>
            </w:pPr>
            <w:r w:rsidRPr="006E03A9">
              <w:rPr>
                <w:sz w:val="18"/>
                <w:szCs w:val="22"/>
              </w:rPr>
              <w:t>0.</w:t>
            </w:r>
            <w:r>
              <w:rPr>
                <w:sz w:val="18"/>
                <w:szCs w:val="22"/>
              </w:rPr>
              <w:t>42</w:t>
            </w:r>
            <w:r w:rsidRPr="000146F9">
              <w:rPr>
                <w:sz w:val="18"/>
                <w:szCs w:val="22"/>
                <w:vertAlign w:val="superscript"/>
              </w:rPr>
              <w:t>4</w:t>
            </w:r>
          </w:p>
        </w:tc>
      </w:tr>
      <w:tr w:rsidR="009D7D44" w:rsidRPr="009A1B74" w:rsidTr="00BB21C0">
        <w:trPr>
          <w:trHeight w:val="559"/>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8</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AI golden king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5</w:t>
            </w:r>
          </w:p>
        </w:tc>
        <w:tc>
          <w:tcPr>
            <w:tcW w:w="1881" w:type="dxa"/>
            <w:gridSpan w:val="3"/>
            <w:vMerge w:val="restart"/>
            <w:shd w:val="thinReverseDiagStripe" w:color="auto" w:fill="auto"/>
            <w:vAlign w:val="center"/>
          </w:tcPr>
          <w:p w:rsidR="009D7D44" w:rsidRPr="009A1B74" w:rsidRDefault="009D7D44" w:rsidP="00BB21C0">
            <w:pPr>
              <w:keepNext/>
              <w:keepLines/>
              <w:widowControl/>
              <w:jc w:val="center"/>
              <w:rPr>
                <w:sz w:val="18"/>
                <w:szCs w:val="22"/>
                <w:highlight w:val="yellow"/>
              </w:rPr>
            </w:pPr>
          </w:p>
          <w:p w:rsidR="009D7D44" w:rsidRPr="009A1B74" w:rsidRDefault="009D7D44" w:rsidP="00BB21C0">
            <w:pPr>
              <w:keepNext/>
              <w:keepLines/>
              <w:widowControl/>
              <w:jc w:val="center"/>
              <w:rPr>
                <w:sz w:val="18"/>
                <w:szCs w:val="22"/>
                <w:highlight w:val="yellow"/>
              </w:rPr>
            </w:pPr>
          </w:p>
          <w:p w:rsidR="009D7D44" w:rsidRPr="009A1B74" w:rsidRDefault="009D7D44" w:rsidP="00BB21C0">
            <w:pPr>
              <w:keepNext/>
              <w:keepLines/>
              <w:widowControl/>
              <w:jc w:val="center"/>
              <w:rPr>
                <w:sz w:val="18"/>
                <w:szCs w:val="22"/>
                <w:highlight w:val="yellow"/>
              </w:rPr>
            </w:pPr>
          </w:p>
        </w:tc>
        <w:tc>
          <w:tcPr>
            <w:tcW w:w="1353" w:type="dxa"/>
            <w:vAlign w:val="center"/>
          </w:tcPr>
          <w:p w:rsidR="009D7D44" w:rsidRPr="009A1B74" w:rsidRDefault="009D7D44" w:rsidP="00BB21C0">
            <w:pPr>
              <w:keepNext/>
              <w:keepLines/>
              <w:widowControl/>
              <w:rPr>
                <w:sz w:val="18"/>
                <w:szCs w:val="22"/>
              </w:rPr>
            </w:pPr>
            <w:r>
              <w:rPr>
                <w:sz w:val="18"/>
                <w:szCs w:val="22"/>
              </w:rPr>
              <w:t xml:space="preserve">See intro chapter </w:t>
            </w:r>
          </w:p>
        </w:tc>
        <w:tc>
          <w:tcPr>
            <w:tcW w:w="3437" w:type="dxa"/>
            <w:gridSpan w:val="4"/>
            <w:vMerge w:val="restart"/>
            <w:shd w:val="thinReverseDiagStripe" w:color="auto" w:fill="auto"/>
            <w:vAlign w:val="center"/>
          </w:tcPr>
          <w:p w:rsidR="009D7D44" w:rsidRPr="009A1B74" w:rsidRDefault="009D7D44" w:rsidP="00BB21C0">
            <w:pPr>
              <w:keepNext/>
              <w:keepLines/>
              <w:widowControl/>
              <w:jc w:val="center"/>
              <w:rPr>
                <w:sz w:val="18"/>
                <w:szCs w:val="22"/>
              </w:rPr>
            </w:pPr>
          </w:p>
          <w:p w:rsidR="009D7D44" w:rsidRPr="009A1B74" w:rsidRDefault="009D7D44" w:rsidP="00BB21C0">
            <w:pPr>
              <w:keepNext/>
              <w:keepLines/>
              <w:widowControl/>
              <w:shd w:val="thinReverseDiagStripe" w:color="auto" w:fill="auto"/>
              <w:jc w:val="center"/>
              <w:rPr>
                <w:sz w:val="18"/>
                <w:szCs w:val="22"/>
              </w:rPr>
            </w:pPr>
          </w:p>
          <w:p w:rsidR="009D7D44" w:rsidRPr="009A1B74" w:rsidRDefault="009D7D44" w:rsidP="00BB21C0">
            <w:pPr>
              <w:keepNext/>
              <w:keepLines/>
              <w:widowControl/>
              <w:shd w:val="thinReverseDiagStripe" w:color="auto" w:fill="auto"/>
              <w:jc w:val="center"/>
              <w:rPr>
                <w:sz w:val="18"/>
                <w:szCs w:val="22"/>
              </w:rPr>
            </w:pPr>
          </w:p>
          <w:p w:rsidR="009D7D44" w:rsidRPr="009A1B74" w:rsidRDefault="009D7D44" w:rsidP="00BB21C0">
            <w:pPr>
              <w:keepNext/>
              <w:keepLines/>
              <w:widowControl/>
              <w:shd w:val="thinReverseDiagStripe" w:color="auto" w:fill="auto"/>
              <w:jc w:val="center"/>
              <w:rPr>
                <w:sz w:val="18"/>
                <w:szCs w:val="22"/>
              </w:rPr>
            </w:pPr>
          </w:p>
          <w:p w:rsidR="009D7D44" w:rsidRPr="009A1B74" w:rsidRDefault="009D7D44" w:rsidP="00BB21C0">
            <w:pPr>
              <w:keepNext/>
              <w:keepLines/>
              <w:widowControl/>
              <w:shd w:val="thinReverseDiagStripe" w:color="auto" w:fill="auto"/>
              <w:jc w:val="center"/>
              <w:rPr>
                <w:sz w:val="18"/>
                <w:szCs w:val="22"/>
              </w:rPr>
            </w:pPr>
          </w:p>
          <w:p w:rsidR="009D7D44" w:rsidRPr="009A1B74" w:rsidRDefault="009D7D44" w:rsidP="00BB21C0">
            <w:pPr>
              <w:keepNext/>
              <w:keepLines/>
              <w:widowControl/>
              <w:jc w:val="center"/>
              <w:rPr>
                <w:sz w:val="18"/>
                <w:szCs w:val="22"/>
              </w:rPr>
            </w:pPr>
          </w:p>
        </w:tc>
        <w:tc>
          <w:tcPr>
            <w:tcW w:w="1086" w:type="dxa"/>
            <w:vAlign w:val="center"/>
          </w:tcPr>
          <w:p w:rsidR="009D7D44" w:rsidRPr="009A1B74" w:rsidRDefault="009D7D44" w:rsidP="00BB21C0">
            <w:pPr>
              <w:keepNext/>
              <w:keepLines/>
              <w:widowControl/>
              <w:jc w:val="center"/>
              <w:rPr>
                <w:sz w:val="18"/>
                <w:szCs w:val="22"/>
              </w:rPr>
            </w:pPr>
            <w:r>
              <w:rPr>
                <w:sz w:val="18"/>
                <w:szCs w:val="22"/>
              </w:rPr>
              <w:t>12.54</w:t>
            </w:r>
          </w:p>
        </w:tc>
        <w:tc>
          <w:tcPr>
            <w:tcW w:w="1086" w:type="dxa"/>
          </w:tcPr>
          <w:p w:rsidR="009D7D44" w:rsidRDefault="009D7D44" w:rsidP="00BB21C0">
            <w:pPr>
              <w:keepNext/>
              <w:keepLines/>
              <w:widowControl/>
              <w:jc w:val="center"/>
              <w:rPr>
                <w:sz w:val="18"/>
                <w:szCs w:val="22"/>
              </w:rPr>
            </w:pPr>
          </w:p>
          <w:p w:rsidR="009D7D44" w:rsidRPr="009A1B74" w:rsidRDefault="009D7D44" w:rsidP="00BB21C0">
            <w:pPr>
              <w:keepNext/>
              <w:keepLines/>
              <w:widowControl/>
              <w:jc w:val="center"/>
              <w:rPr>
                <w:sz w:val="18"/>
                <w:szCs w:val="22"/>
              </w:rPr>
            </w:pPr>
            <w:r>
              <w:rPr>
                <w:sz w:val="18"/>
                <w:szCs w:val="22"/>
              </w:rPr>
              <w:t>11.28</w:t>
            </w:r>
          </w:p>
        </w:tc>
      </w:tr>
      <w:tr w:rsidR="009D7D44" w:rsidRPr="009A1B74" w:rsidTr="00BB21C0">
        <w:trPr>
          <w:trHeight w:val="835"/>
          <w:jc w:val="center"/>
        </w:trPr>
        <w:tc>
          <w:tcPr>
            <w:tcW w:w="0" w:type="auto"/>
            <w:vAlign w:val="center"/>
          </w:tcPr>
          <w:p w:rsidR="009D7D44" w:rsidRPr="009A1B74" w:rsidRDefault="009D7D44" w:rsidP="00BB21C0">
            <w:pPr>
              <w:keepNext/>
              <w:keepLines/>
              <w:widowControl/>
              <w:jc w:val="center"/>
              <w:rPr>
                <w:sz w:val="18"/>
                <w:szCs w:val="22"/>
              </w:rPr>
            </w:pPr>
            <w:r w:rsidRPr="009A1B74">
              <w:rPr>
                <w:sz w:val="18"/>
                <w:szCs w:val="22"/>
              </w:rPr>
              <w:t>9</w:t>
            </w:r>
          </w:p>
        </w:tc>
        <w:tc>
          <w:tcPr>
            <w:tcW w:w="989" w:type="dxa"/>
            <w:vAlign w:val="center"/>
          </w:tcPr>
          <w:p w:rsidR="009D7D44" w:rsidRPr="009A1B74" w:rsidRDefault="009D7D44" w:rsidP="00BB21C0">
            <w:pPr>
              <w:keepNext/>
              <w:keepLines/>
              <w:widowControl/>
              <w:jc w:val="center"/>
              <w:rPr>
                <w:sz w:val="18"/>
                <w:szCs w:val="22"/>
              </w:rPr>
            </w:pPr>
            <w:r w:rsidRPr="009A1B74">
              <w:rPr>
                <w:sz w:val="18"/>
                <w:szCs w:val="22"/>
              </w:rPr>
              <w:t>Pribilof Island golden king crab</w:t>
            </w:r>
          </w:p>
        </w:tc>
        <w:tc>
          <w:tcPr>
            <w:tcW w:w="489" w:type="dxa"/>
            <w:vAlign w:val="center"/>
          </w:tcPr>
          <w:p w:rsidR="009D7D44" w:rsidRPr="009A1B74" w:rsidRDefault="009D7D44" w:rsidP="00BB21C0">
            <w:pPr>
              <w:keepNext/>
              <w:keepLines/>
              <w:widowControl/>
              <w:jc w:val="center"/>
              <w:rPr>
                <w:sz w:val="18"/>
                <w:szCs w:val="22"/>
              </w:rPr>
            </w:pPr>
            <w:r w:rsidRPr="009A1B74">
              <w:rPr>
                <w:sz w:val="18"/>
                <w:szCs w:val="22"/>
              </w:rPr>
              <w:t>5</w:t>
            </w:r>
          </w:p>
        </w:tc>
        <w:tc>
          <w:tcPr>
            <w:tcW w:w="1881" w:type="dxa"/>
            <w:gridSpan w:val="3"/>
            <w:vMerge/>
            <w:shd w:val="thinReverseDiagStripe" w:color="auto" w:fill="auto"/>
            <w:vAlign w:val="center"/>
          </w:tcPr>
          <w:p w:rsidR="009D7D44" w:rsidRPr="009A1B74" w:rsidRDefault="009D7D44" w:rsidP="00BB21C0">
            <w:pPr>
              <w:keepNext/>
              <w:keepLines/>
              <w:widowControl/>
              <w:jc w:val="center"/>
              <w:rPr>
                <w:sz w:val="18"/>
                <w:szCs w:val="22"/>
                <w:highlight w:val="yellow"/>
              </w:rPr>
            </w:pPr>
          </w:p>
        </w:tc>
        <w:tc>
          <w:tcPr>
            <w:tcW w:w="1353"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3437" w:type="dxa"/>
            <w:gridSpan w:val="4"/>
            <w:vMerge/>
            <w:shd w:val="thinReverseDiagStripe" w:color="auto" w:fill="auto"/>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vAlign w:val="center"/>
          </w:tcPr>
          <w:p w:rsidR="009D7D44" w:rsidRPr="009A1B74" w:rsidRDefault="009D7D44" w:rsidP="00BB21C0">
            <w:pPr>
              <w:keepNext/>
              <w:keepLines/>
              <w:widowControl/>
              <w:jc w:val="center"/>
              <w:rPr>
                <w:sz w:val="18"/>
                <w:szCs w:val="22"/>
              </w:rPr>
            </w:pPr>
          </w:p>
        </w:tc>
        <w:tc>
          <w:tcPr>
            <w:tcW w:w="1086" w:type="dxa"/>
            <w:shd w:val="clear" w:color="auto" w:fill="A6A6A6" w:themeFill="background1" w:themeFillShade="A6"/>
          </w:tcPr>
          <w:p w:rsidR="009D7D44" w:rsidRPr="009A1B74" w:rsidRDefault="009D7D44" w:rsidP="00BB21C0">
            <w:pPr>
              <w:keepNext/>
              <w:keepLines/>
              <w:widowControl/>
              <w:jc w:val="center"/>
              <w:rPr>
                <w:sz w:val="18"/>
                <w:szCs w:val="22"/>
              </w:rPr>
            </w:pPr>
          </w:p>
        </w:tc>
      </w:tr>
      <w:tr w:rsidR="009D7D44" w:rsidRPr="009A1B74" w:rsidTr="00BB21C0">
        <w:trPr>
          <w:trHeight w:val="411"/>
          <w:jc w:val="center"/>
        </w:trPr>
        <w:tc>
          <w:tcPr>
            <w:tcW w:w="0" w:type="auto"/>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10</w:t>
            </w:r>
          </w:p>
        </w:tc>
        <w:tc>
          <w:tcPr>
            <w:tcW w:w="9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Adak red king crab</w:t>
            </w:r>
          </w:p>
        </w:tc>
        <w:tc>
          <w:tcPr>
            <w:tcW w:w="489" w:type="dxa"/>
            <w:shd w:val="clear" w:color="auto" w:fill="auto"/>
            <w:vAlign w:val="center"/>
          </w:tcPr>
          <w:p w:rsidR="009D7D44" w:rsidRPr="009A1B74" w:rsidRDefault="009D7D44" w:rsidP="00BB21C0">
            <w:pPr>
              <w:keepNext/>
              <w:keepLines/>
              <w:widowControl/>
              <w:jc w:val="center"/>
              <w:rPr>
                <w:sz w:val="18"/>
                <w:szCs w:val="22"/>
              </w:rPr>
            </w:pPr>
            <w:r w:rsidRPr="009A1B74">
              <w:rPr>
                <w:sz w:val="18"/>
                <w:szCs w:val="22"/>
              </w:rPr>
              <w:t>5</w:t>
            </w:r>
          </w:p>
        </w:tc>
        <w:tc>
          <w:tcPr>
            <w:tcW w:w="1881" w:type="dxa"/>
            <w:gridSpan w:val="3"/>
            <w:vMerge/>
            <w:shd w:val="thinReverseDiagStripe" w:color="auto" w:fill="auto"/>
            <w:vAlign w:val="center"/>
          </w:tcPr>
          <w:p w:rsidR="009D7D44" w:rsidRPr="009A1B74" w:rsidRDefault="009D7D44" w:rsidP="00BB21C0">
            <w:pPr>
              <w:keepNext/>
              <w:keepLines/>
              <w:widowControl/>
              <w:jc w:val="center"/>
              <w:rPr>
                <w:sz w:val="18"/>
                <w:szCs w:val="22"/>
                <w:highlight w:val="yellow"/>
              </w:rPr>
            </w:pPr>
          </w:p>
        </w:tc>
        <w:tc>
          <w:tcPr>
            <w:tcW w:w="1353" w:type="dxa"/>
            <w:shd w:val="clear" w:color="auto" w:fill="auto"/>
            <w:vAlign w:val="center"/>
          </w:tcPr>
          <w:p w:rsidR="009D7D44" w:rsidRPr="009A1B74" w:rsidRDefault="009D7D44" w:rsidP="00BB21C0">
            <w:pPr>
              <w:keepNext/>
              <w:keepLines/>
              <w:widowControl/>
              <w:jc w:val="center"/>
              <w:rPr>
                <w:sz w:val="18"/>
                <w:szCs w:val="22"/>
              </w:rPr>
            </w:pPr>
            <w:r w:rsidRPr="0088194E">
              <w:rPr>
                <w:sz w:val="18"/>
                <w:szCs w:val="22"/>
              </w:rPr>
              <w:t>1995/96–2007/08</w:t>
            </w:r>
          </w:p>
        </w:tc>
        <w:tc>
          <w:tcPr>
            <w:tcW w:w="3437" w:type="dxa"/>
            <w:gridSpan w:val="4"/>
            <w:vMerge/>
            <w:shd w:val="thinReverseDiagStripe" w:color="auto" w:fill="auto"/>
            <w:vAlign w:val="center"/>
          </w:tcPr>
          <w:p w:rsidR="009D7D44" w:rsidRPr="009A1B74" w:rsidRDefault="009D7D44" w:rsidP="00BB21C0">
            <w:pPr>
              <w:keepNext/>
              <w:keepLines/>
              <w:widowControl/>
              <w:jc w:val="center"/>
              <w:rPr>
                <w:sz w:val="18"/>
                <w:szCs w:val="22"/>
              </w:rPr>
            </w:pPr>
          </w:p>
        </w:tc>
        <w:tc>
          <w:tcPr>
            <w:tcW w:w="1086" w:type="dxa"/>
            <w:shd w:val="clear" w:color="auto" w:fill="auto"/>
            <w:vAlign w:val="center"/>
          </w:tcPr>
          <w:p w:rsidR="009D7D44" w:rsidRPr="009A1B74" w:rsidRDefault="009D7D44" w:rsidP="00BB21C0">
            <w:pPr>
              <w:keepNext/>
              <w:keepLines/>
              <w:widowControl/>
              <w:jc w:val="center"/>
              <w:rPr>
                <w:sz w:val="18"/>
                <w:szCs w:val="22"/>
              </w:rPr>
            </w:pPr>
            <w:r>
              <w:rPr>
                <w:sz w:val="18"/>
                <w:szCs w:val="22"/>
              </w:rPr>
              <w:t>0.12</w:t>
            </w:r>
          </w:p>
        </w:tc>
        <w:tc>
          <w:tcPr>
            <w:tcW w:w="1086" w:type="dxa"/>
          </w:tcPr>
          <w:p w:rsidR="009D7D44" w:rsidRDefault="009D7D44" w:rsidP="00BB21C0">
            <w:pPr>
              <w:keepNext/>
              <w:keepLines/>
              <w:widowControl/>
              <w:jc w:val="center"/>
              <w:rPr>
                <w:sz w:val="18"/>
                <w:szCs w:val="22"/>
              </w:rPr>
            </w:pPr>
          </w:p>
          <w:p w:rsidR="009D7D44" w:rsidRPr="009A1B74" w:rsidRDefault="009D7D44" w:rsidP="00BB21C0">
            <w:pPr>
              <w:keepNext/>
              <w:keepLines/>
              <w:widowControl/>
              <w:jc w:val="center"/>
              <w:rPr>
                <w:sz w:val="18"/>
                <w:szCs w:val="22"/>
              </w:rPr>
            </w:pPr>
            <w:r>
              <w:rPr>
                <w:sz w:val="18"/>
                <w:szCs w:val="22"/>
              </w:rPr>
              <w:t>0.07</w:t>
            </w:r>
          </w:p>
        </w:tc>
      </w:tr>
    </w:tbl>
    <w:p w:rsidR="009D7D44" w:rsidRDefault="009D7D44" w:rsidP="009D7D44">
      <w:pPr>
        <w:pStyle w:val="Caption"/>
      </w:pPr>
    </w:p>
    <w:p w:rsidR="009D7D44" w:rsidRDefault="009D7D44" w:rsidP="009D7D44">
      <w:pPr>
        <w:widowControl/>
        <w:spacing w:after="200" w:line="276" w:lineRule="auto"/>
      </w:pPr>
      <w:r>
        <w:br w:type="page"/>
      </w:r>
    </w:p>
    <w:p w:rsidR="009D7D44" w:rsidRPr="00C6384E" w:rsidRDefault="009D7D44" w:rsidP="009D7D44">
      <w:pPr>
        <w:pStyle w:val="Caption"/>
        <w:rPr>
          <w:sz w:val="22"/>
          <w:szCs w:val="22"/>
          <w:u w:val="none"/>
        </w:rPr>
      </w:pPr>
      <w:r w:rsidRPr="00C5310D">
        <w:rPr>
          <w:sz w:val="22"/>
          <w:szCs w:val="22"/>
          <w:u w:val="none"/>
        </w:rPr>
        <w:lastRenderedPageBreak/>
        <w:t>Table 4</w:t>
      </w:r>
      <w:r>
        <w:rPr>
          <w:sz w:val="22"/>
          <w:szCs w:val="22"/>
          <w:u w:val="none"/>
        </w:rPr>
        <w:t xml:space="preserve"> Maximum permissible ABCs for 2014/15 and Plan Team recommended ABCs for those s</w:t>
      </w:r>
      <w:r w:rsidRPr="00C5310D">
        <w:rPr>
          <w:sz w:val="22"/>
          <w:szCs w:val="22"/>
          <w:u w:val="none"/>
        </w:rPr>
        <w:t xml:space="preserve">tocks </w:t>
      </w:r>
      <w:r>
        <w:rPr>
          <w:sz w:val="22"/>
          <w:szCs w:val="22"/>
          <w:u w:val="none"/>
        </w:rPr>
        <w:t>where the Plan Team recommendation is below the maximum permissible ABC as defined by Amendment 38 to the Crab FMP.</w:t>
      </w:r>
      <w:r w:rsidRPr="00C5310D">
        <w:rPr>
          <w:sz w:val="22"/>
          <w:szCs w:val="22"/>
          <w:u w:val="none"/>
        </w:rPr>
        <w:t xml:space="preserve"> Note that the rationale is provided in the individual introduction chapter</w:t>
      </w:r>
      <w:r>
        <w:rPr>
          <w:sz w:val="22"/>
          <w:szCs w:val="22"/>
          <w:u w:val="none"/>
        </w:rPr>
        <w:t>s</w:t>
      </w:r>
      <w:r w:rsidRPr="00C5310D">
        <w:rPr>
          <w:sz w:val="22"/>
          <w:szCs w:val="22"/>
          <w:u w:val="none"/>
        </w:rPr>
        <w:t xml:space="preserve"> for recommending an ABC less than the maximum permissible for these stocks.  Values are in millions lb.  </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131"/>
        <w:gridCol w:w="2492"/>
        <w:gridCol w:w="2601"/>
      </w:tblGrid>
      <w:tr w:rsidR="009D7D44" w:rsidRPr="00C5310D" w:rsidTr="00BB21C0">
        <w:tc>
          <w:tcPr>
            <w:tcW w:w="2352" w:type="dxa"/>
            <w:tcBorders>
              <w:top w:val="double" w:sz="4" w:space="0" w:color="auto"/>
              <w:bottom w:val="single" w:sz="4" w:space="0" w:color="auto"/>
            </w:tcBorders>
          </w:tcPr>
          <w:p w:rsidR="009D7D44" w:rsidRDefault="009D7D44" w:rsidP="00BB21C0">
            <w:pPr>
              <w:jc w:val="center"/>
              <w:rPr>
                <w:sz w:val="22"/>
                <w:szCs w:val="22"/>
              </w:rPr>
            </w:pPr>
          </w:p>
          <w:p w:rsidR="009D7D44" w:rsidRPr="00C5310D" w:rsidRDefault="009D7D44" w:rsidP="00BB21C0">
            <w:pPr>
              <w:jc w:val="center"/>
              <w:rPr>
                <w:sz w:val="22"/>
                <w:szCs w:val="22"/>
              </w:rPr>
            </w:pPr>
            <w:r w:rsidRPr="00C5310D">
              <w:rPr>
                <w:sz w:val="22"/>
                <w:szCs w:val="22"/>
              </w:rPr>
              <w:t>Stock</w:t>
            </w:r>
          </w:p>
        </w:tc>
        <w:tc>
          <w:tcPr>
            <w:tcW w:w="2131" w:type="dxa"/>
            <w:tcBorders>
              <w:top w:val="double" w:sz="4" w:space="0" w:color="auto"/>
              <w:bottom w:val="single" w:sz="4" w:space="0" w:color="auto"/>
            </w:tcBorders>
          </w:tcPr>
          <w:p w:rsidR="009D7D44" w:rsidRDefault="009D7D44" w:rsidP="00BB21C0">
            <w:pPr>
              <w:jc w:val="center"/>
              <w:rPr>
                <w:sz w:val="22"/>
                <w:szCs w:val="22"/>
              </w:rPr>
            </w:pPr>
          </w:p>
          <w:p w:rsidR="009D7D44" w:rsidRPr="00C5310D" w:rsidRDefault="009D7D44" w:rsidP="00BB21C0">
            <w:pPr>
              <w:jc w:val="center"/>
              <w:rPr>
                <w:sz w:val="22"/>
                <w:szCs w:val="22"/>
              </w:rPr>
            </w:pPr>
            <w:r>
              <w:rPr>
                <w:sz w:val="22"/>
                <w:szCs w:val="22"/>
              </w:rPr>
              <w:t>Tier</w:t>
            </w:r>
          </w:p>
        </w:tc>
        <w:tc>
          <w:tcPr>
            <w:tcW w:w="2492" w:type="dxa"/>
            <w:tcBorders>
              <w:top w:val="double" w:sz="4" w:space="0" w:color="auto"/>
              <w:bottom w:val="single" w:sz="4" w:space="0" w:color="auto"/>
            </w:tcBorders>
          </w:tcPr>
          <w:p w:rsidR="009D7D44" w:rsidRDefault="009D7D44" w:rsidP="00BB21C0">
            <w:pPr>
              <w:jc w:val="center"/>
              <w:rPr>
                <w:sz w:val="22"/>
                <w:szCs w:val="22"/>
              </w:rPr>
            </w:pPr>
            <w:r>
              <w:rPr>
                <w:sz w:val="22"/>
                <w:szCs w:val="22"/>
              </w:rPr>
              <w:t>2014/15</w:t>
            </w:r>
          </w:p>
          <w:p w:rsidR="009D7D44" w:rsidRPr="00C5310D" w:rsidRDefault="009D7D44" w:rsidP="00BB21C0">
            <w:pPr>
              <w:jc w:val="center"/>
              <w:rPr>
                <w:sz w:val="22"/>
                <w:szCs w:val="22"/>
              </w:rPr>
            </w:pPr>
            <w:proofErr w:type="spellStart"/>
            <w:r w:rsidRPr="002D0CD6">
              <w:rPr>
                <w:i/>
                <w:sz w:val="22"/>
                <w:szCs w:val="22"/>
              </w:rPr>
              <w:t>Max</w:t>
            </w:r>
            <w:r w:rsidRPr="00C5310D">
              <w:rPr>
                <w:sz w:val="22"/>
                <w:szCs w:val="22"/>
              </w:rPr>
              <w:t>ABC</w:t>
            </w:r>
            <w:proofErr w:type="spellEnd"/>
          </w:p>
        </w:tc>
        <w:tc>
          <w:tcPr>
            <w:tcW w:w="2601" w:type="dxa"/>
            <w:tcBorders>
              <w:top w:val="double" w:sz="4" w:space="0" w:color="auto"/>
              <w:bottom w:val="single" w:sz="4" w:space="0" w:color="auto"/>
            </w:tcBorders>
          </w:tcPr>
          <w:p w:rsidR="009D7D44" w:rsidRDefault="009D7D44" w:rsidP="00BB21C0">
            <w:pPr>
              <w:jc w:val="center"/>
              <w:rPr>
                <w:sz w:val="22"/>
                <w:szCs w:val="22"/>
              </w:rPr>
            </w:pPr>
            <w:r>
              <w:rPr>
                <w:sz w:val="22"/>
                <w:szCs w:val="22"/>
              </w:rPr>
              <w:t>2014/15</w:t>
            </w:r>
          </w:p>
          <w:p w:rsidR="009D7D44" w:rsidRPr="00C5310D" w:rsidRDefault="009D7D44" w:rsidP="00BB21C0">
            <w:pPr>
              <w:jc w:val="center"/>
              <w:rPr>
                <w:sz w:val="22"/>
                <w:szCs w:val="22"/>
              </w:rPr>
            </w:pPr>
            <w:r w:rsidRPr="00C5310D">
              <w:rPr>
                <w:sz w:val="22"/>
                <w:szCs w:val="22"/>
              </w:rPr>
              <w:t>ABC</w:t>
            </w:r>
          </w:p>
        </w:tc>
      </w:tr>
      <w:tr w:rsidR="009D7D44" w:rsidRPr="00C5310D" w:rsidTr="00BB21C0">
        <w:tc>
          <w:tcPr>
            <w:tcW w:w="2352" w:type="dxa"/>
            <w:tcBorders>
              <w:top w:val="single" w:sz="4" w:space="0" w:color="auto"/>
              <w:bottom w:val="nil"/>
            </w:tcBorders>
          </w:tcPr>
          <w:p w:rsidR="009D7D44" w:rsidRDefault="009D7D44" w:rsidP="00BB21C0">
            <w:pPr>
              <w:jc w:val="center"/>
              <w:rPr>
                <w:sz w:val="22"/>
                <w:szCs w:val="22"/>
              </w:rPr>
            </w:pPr>
            <w:r w:rsidRPr="00C5310D">
              <w:rPr>
                <w:sz w:val="22"/>
                <w:szCs w:val="22"/>
              </w:rPr>
              <w:t>Norton Sound</w:t>
            </w:r>
          </w:p>
          <w:p w:rsidR="009D7D44" w:rsidRPr="00C5310D" w:rsidRDefault="009D7D44" w:rsidP="00BB21C0">
            <w:pPr>
              <w:jc w:val="center"/>
              <w:rPr>
                <w:sz w:val="22"/>
                <w:szCs w:val="22"/>
              </w:rPr>
            </w:pPr>
            <w:r w:rsidRPr="00C5310D">
              <w:rPr>
                <w:sz w:val="22"/>
                <w:szCs w:val="22"/>
              </w:rPr>
              <w:t>red king crab</w:t>
            </w:r>
          </w:p>
        </w:tc>
        <w:tc>
          <w:tcPr>
            <w:tcW w:w="2131" w:type="dxa"/>
            <w:tcBorders>
              <w:top w:val="single" w:sz="4" w:space="0" w:color="auto"/>
              <w:bottom w:val="nil"/>
            </w:tcBorders>
          </w:tcPr>
          <w:p w:rsidR="009D7D44" w:rsidRPr="00C5310D" w:rsidRDefault="009D7D44" w:rsidP="00BB21C0">
            <w:pPr>
              <w:jc w:val="center"/>
              <w:rPr>
                <w:sz w:val="22"/>
                <w:szCs w:val="22"/>
              </w:rPr>
            </w:pPr>
            <w:r>
              <w:rPr>
                <w:sz w:val="22"/>
                <w:szCs w:val="22"/>
              </w:rPr>
              <w:t>4b</w:t>
            </w:r>
          </w:p>
        </w:tc>
        <w:tc>
          <w:tcPr>
            <w:tcW w:w="2492" w:type="dxa"/>
            <w:tcBorders>
              <w:top w:val="single" w:sz="4" w:space="0" w:color="auto"/>
              <w:bottom w:val="nil"/>
            </w:tcBorders>
          </w:tcPr>
          <w:p w:rsidR="009D7D44" w:rsidRPr="00C5310D" w:rsidRDefault="009D7D44" w:rsidP="00BB21C0">
            <w:pPr>
              <w:jc w:val="center"/>
              <w:rPr>
                <w:sz w:val="22"/>
                <w:szCs w:val="22"/>
              </w:rPr>
            </w:pPr>
            <w:r>
              <w:rPr>
                <w:sz w:val="22"/>
                <w:szCs w:val="22"/>
              </w:rPr>
              <w:t>0.46</w:t>
            </w:r>
          </w:p>
        </w:tc>
        <w:tc>
          <w:tcPr>
            <w:tcW w:w="2601" w:type="dxa"/>
            <w:tcBorders>
              <w:top w:val="single" w:sz="4" w:space="0" w:color="auto"/>
              <w:bottom w:val="nil"/>
            </w:tcBorders>
          </w:tcPr>
          <w:p w:rsidR="009D7D44" w:rsidRPr="00C5310D" w:rsidRDefault="009D7D44" w:rsidP="00BB21C0">
            <w:pPr>
              <w:jc w:val="center"/>
              <w:rPr>
                <w:sz w:val="22"/>
                <w:szCs w:val="22"/>
              </w:rPr>
            </w:pPr>
            <w:r>
              <w:rPr>
                <w:sz w:val="22"/>
                <w:szCs w:val="22"/>
              </w:rPr>
              <w:t>0.42</w:t>
            </w:r>
          </w:p>
        </w:tc>
      </w:tr>
      <w:tr w:rsidR="009D7D44" w:rsidRPr="00C5310D" w:rsidTr="00BB21C0">
        <w:tc>
          <w:tcPr>
            <w:tcW w:w="2352" w:type="dxa"/>
            <w:tcBorders>
              <w:top w:val="nil"/>
              <w:bottom w:val="single" w:sz="4" w:space="0" w:color="auto"/>
            </w:tcBorders>
          </w:tcPr>
          <w:p w:rsidR="009D7D44" w:rsidRPr="00C5310D" w:rsidRDefault="009D7D44" w:rsidP="00BB21C0">
            <w:pPr>
              <w:jc w:val="center"/>
              <w:rPr>
                <w:sz w:val="22"/>
                <w:szCs w:val="22"/>
              </w:rPr>
            </w:pPr>
            <w:r w:rsidRPr="00C5310D">
              <w:rPr>
                <w:sz w:val="22"/>
                <w:szCs w:val="22"/>
              </w:rPr>
              <w:t>Adak red king crab</w:t>
            </w:r>
          </w:p>
        </w:tc>
        <w:tc>
          <w:tcPr>
            <w:tcW w:w="2131" w:type="dxa"/>
            <w:tcBorders>
              <w:top w:val="nil"/>
              <w:bottom w:val="single" w:sz="4" w:space="0" w:color="auto"/>
            </w:tcBorders>
          </w:tcPr>
          <w:p w:rsidR="009D7D44" w:rsidRDefault="009D7D44" w:rsidP="00BB21C0">
            <w:pPr>
              <w:jc w:val="center"/>
              <w:rPr>
                <w:sz w:val="22"/>
                <w:szCs w:val="22"/>
              </w:rPr>
            </w:pPr>
            <w:r>
              <w:rPr>
                <w:sz w:val="22"/>
                <w:szCs w:val="22"/>
              </w:rPr>
              <w:t>5</w:t>
            </w:r>
          </w:p>
        </w:tc>
        <w:tc>
          <w:tcPr>
            <w:tcW w:w="2492" w:type="dxa"/>
            <w:tcBorders>
              <w:top w:val="nil"/>
              <w:bottom w:val="single" w:sz="4" w:space="0" w:color="auto"/>
            </w:tcBorders>
          </w:tcPr>
          <w:p w:rsidR="009D7D44" w:rsidRPr="00C5310D" w:rsidRDefault="009D7D44" w:rsidP="00BB21C0">
            <w:pPr>
              <w:jc w:val="center"/>
              <w:rPr>
                <w:sz w:val="22"/>
                <w:szCs w:val="22"/>
              </w:rPr>
            </w:pPr>
            <w:r>
              <w:rPr>
                <w:sz w:val="22"/>
                <w:szCs w:val="22"/>
              </w:rPr>
              <w:t>0.11</w:t>
            </w:r>
          </w:p>
        </w:tc>
        <w:tc>
          <w:tcPr>
            <w:tcW w:w="2601" w:type="dxa"/>
            <w:tcBorders>
              <w:top w:val="nil"/>
              <w:bottom w:val="single" w:sz="4" w:space="0" w:color="auto"/>
            </w:tcBorders>
          </w:tcPr>
          <w:p w:rsidR="009D7D44" w:rsidRPr="00C5310D" w:rsidRDefault="009D7D44" w:rsidP="00BB21C0">
            <w:pPr>
              <w:jc w:val="center"/>
              <w:rPr>
                <w:sz w:val="22"/>
                <w:szCs w:val="22"/>
              </w:rPr>
            </w:pPr>
            <w:r>
              <w:rPr>
                <w:sz w:val="22"/>
                <w:szCs w:val="22"/>
              </w:rPr>
              <w:t>0.07</w:t>
            </w:r>
          </w:p>
        </w:tc>
      </w:tr>
    </w:tbl>
    <w:p w:rsidR="009D7D44" w:rsidRPr="00EC30CF" w:rsidRDefault="009D7D44" w:rsidP="009D7D44"/>
    <w:p w:rsidR="009D7D44" w:rsidRDefault="009D7D44" w:rsidP="009D7D44"/>
    <w:p w:rsidR="009D7D44" w:rsidRPr="0052391D" w:rsidRDefault="009D7D44" w:rsidP="009D7D44">
      <w:pPr>
        <w:spacing w:after="120"/>
        <w:jc w:val="both"/>
      </w:pPr>
    </w:p>
    <w:p w:rsidR="009D7D44" w:rsidRDefault="009D7D44" w:rsidP="009D7D44"/>
    <w:p w:rsidR="00736840" w:rsidRPr="009D7D44" w:rsidRDefault="00736840" w:rsidP="0047031D">
      <w:pPr>
        <w:widowControl/>
        <w:rPr>
          <w:sz w:val="22"/>
          <w:szCs w:val="22"/>
        </w:rPr>
      </w:pPr>
    </w:p>
    <w:sectPr w:rsidR="00736840" w:rsidRPr="009D7D44" w:rsidSect="00F151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A2" w:rsidRDefault="004212A2" w:rsidP="009D7D44">
      <w:r>
        <w:separator/>
      </w:r>
    </w:p>
  </w:endnote>
  <w:endnote w:type="continuationSeparator" w:id="0">
    <w:p w:rsidR="004212A2" w:rsidRDefault="004212A2" w:rsidP="009D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25" w:rsidRPr="00995E01" w:rsidRDefault="00134825" w:rsidP="00134825">
    <w:pPr>
      <w:tabs>
        <w:tab w:val="center" w:pos="4680"/>
        <w:tab w:val="right" w:pos="9360"/>
      </w:tabs>
      <w:spacing w:line="240" w:lineRule="exact"/>
      <w:rPr>
        <w:sz w:val="18"/>
        <w:szCs w:val="18"/>
      </w:rPr>
    </w:pPr>
    <w:r>
      <w:rPr>
        <w:sz w:val="18"/>
        <w:szCs w:val="18"/>
      </w:rPr>
      <w:t>BSAI Crab SAFE</w:t>
    </w:r>
    <w:r>
      <w:rPr>
        <w:sz w:val="18"/>
        <w:szCs w:val="18"/>
      </w:rPr>
      <w:tab/>
    </w:r>
    <w:r>
      <w:rPr>
        <w:rStyle w:val="PageNumber"/>
      </w:rPr>
      <w:fldChar w:fldCharType="begin"/>
    </w:r>
    <w:r>
      <w:rPr>
        <w:rStyle w:val="PageNumber"/>
      </w:rPr>
      <w:instrText xml:space="preserve"> PAGE </w:instrText>
    </w:r>
    <w:r>
      <w:rPr>
        <w:rStyle w:val="PageNumber"/>
      </w:rPr>
      <w:fldChar w:fldCharType="separate"/>
    </w:r>
    <w:r w:rsidR="00302EC8">
      <w:rPr>
        <w:rStyle w:val="PageNumber"/>
        <w:noProof/>
      </w:rPr>
      <w:t>1</w:t>
    </w:r>
    <w:r>
      <w:rPr>
        <w:rStyle w:val="PageNumber"/>
      </w:rPr>
      <w:fldChar w:fldCharType="end"/>
    </w:r>
    <w:r>
      <w:rPr>
        <w:sz w:val="18"/>
        <w:szCs w:val="18"/>
      </w:rPr>
      <w:tab/>
    </w:r>
    <w:proofErr w:type="gramStart"/>
    <w:r>
      <w:rPr>
        <w:sz w:val="18"/>
        <w:szCs w:val="18"/>
      </w:rPr>
      <w:t>May  2014</w:t>
    </w:r>
    <w:proofErr w:type="gramEnd"/>
  </w:p>
  <w:p w:rsidR="004027F3" w:rsidRDefault="0040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A2" w:rsidRDefault="004212A2" w:rsidP="009D7D44">
      <w:r>
        <w:separator/>
      </w:r>
    </w:p>
  </w:footnote>
  <w:footnote w:type="continuationSeparator" w:id="0">
    <w:p w:rsidR="004212A2" w:rsidRDefault="004212A2" w:rsidP="009D7D44">
      <w:r>
        <w:continuationSeparator/>
      </w:r>
    </w:p>
  </w:footnote>
  <w:footnote w:id="1">
    <w:p w:rsidR="009D7D44" w:rsidRPr="00F6443F" w:rsidRDefault="009D7D44" w:rsidP="009D7D44">
      <w:pPr>
        <w:pStyle w:val="FootnoteText"/>
        <w:rPr>
          <w:sz w:val="18"/>
          <w:szCs w:val="18"/>
        </w:rPr>
      </w:pPr>
      <w:r>
        <w:rPr>
          <w:rStyle w:val="FootnoteReference"/>
          <w:rFonts w:eastAsiaTheme="majorEastAsia"/>
        </w:rPr>
        <w:footnoteRef/>
      </w:r>
      <w:r>
        <w:t xml:space="preserve"> </w:t>
      </w:r>
      <w:r w:rsidRPr="00F6443F">
        <w:rPr>
          <w:sz w:val="18"/>
          <w:szCs w:val="18"/>
        </w:rPr>
        <w:t>For Tiers 3 and 4 where B</w:t>
      </w:r>
      <w:r w:rsidRPr="00F6443F">
        <w:rPr>
          <w:sz w:val="18"/>
          <w:szCs w:val="18"/>
          <w:vertAlign w:val="subscript"/>
        </w:rPr>
        <w:t xml:space="preserve">MSY </w:t>
      </w:r>
      <w:r w:rsidRPr="00F6443F">
        <w:rPr>
          <w:sz w:val="18"/>
          <w:szCs w:val="18"/>
        </w:rPr>
        <w:t xml:space="preserve">or </w:t>
      </w:r>
      <w:proofErr w:type="spellStart"/>
      <w:r w:rsidRPr="00F6443F">
        <w:rPr>
          <w:sz w:val="18"/>
          <w:szCs w:val="18"/>
        </w:rPr>
        <w:t>B</w:t>
      </w:r>
      <w:r w:rsidRPr="00F6443F">
        <w:rPr>
          <w:sz w:val="18"/>
          <w:szCs w:val="18"/>
          <w:vertAlign w:val="subscript"/>
        </w:rPr>
        <w:t>MSYproxy</w:t>
      </w:r>
      <w:proofErr w:type="spellEnd"/>
      <w:r w:rsidRPr="00F6443F">
        <w:rPr>
          <w:sz w:val="18"/>
          <w:szCs w:val="18"/>
        </w:rPr>
        <w:t xml:space="preserve"> is estimable, the years refer to the time period over which the estimate is made.  For Tier 5 stocks it is the years upon which the catch average for OFL is obtained.</w:t>
      </w:r>
    </w:p>
  </w:footnote>
  <w:footnote w:id="2">
    <w:p w:rsidR="009D7D44" w:rsidRPr="00F6443F" w:rsidRDefault="009D7D44" w:rsidP="009D7D44">
      <w:pPr>
        <w:pStyle w:val="FootnoteText"/>
        <w:rPr>
          <w:sz w:val="18"/>
          <w:szCs w:val="18"/>
        </w:rPr>
      </w:pPr>
      <w:r w:rsidRPr="00F6443F">
        <w:rPr>
          <w:rStyle w:val="FootnoteReference"/>
          <w:rFonts w:eastAsiaTheme="majorEastAsia"/>
          <w:sz w:val="18"/>
          <w:szCs w:val="18"/>
        </w:rPr>
        <w:footnoteRef/>
      </w:r>
      <w:r>
        <w:rPr>
          <w:sz w:val="18"/>
          <w:szCs w:val="18"/>
        </w:rPr>
        <w:t xml:space="preserve"> MMB as projected for 2/15/2015</w:t>
      </w:r>
      <w:r w:rsidRPr="00F6443F">
        <w:rPr>
          <w:sz w:val="18"/>
          <w:szCs w:val="18"/>
        </w:rPr>
        <w:t xml:space="preserve"> at time of mating.  </w:t>
      </w:r>
    </w:p>
  </w:footnote>
  <w:footnote w:id="3">
    <w:p w:rsidR="009D7D44" w:rsidRDefault="009D7D44" w:rsidP="009D7D44">
      <w:pPr>
        <w:pStyle w:val="FootnoteText"/>
        <w:rPr>
          <w:sz w:val="18"/>
          <w:szCs w:val="18"/>
        </w:rPr>
      </w:pPr>
      <w:r w:rsidRPr="00F6443F">
        <w:rPr>
          <w:rStyle w:val="FootnoteReference"/>
          <w:rFonts w:eastAsiaTheme="majorEastAsia"/>
          <w:sz w:val="18"/>
          <w:szCs w:val="18"/>
        </w:rPr>
        <w:footnoteRef/>
      </w:r>
      <w:r w:rsidRPr="00F6443F">
        <w:rPr>
          <w:sz w:val="18"/>
          <w:szCs w:val="18"/>
        </w:rPr>
        <w:t xml:space="preserve"> </w:t>
      </w:r>
      <w:r>
        <w:rPr>
          <w:sz w:val="18"/>
          <w:szCs w:val="18"/>
        </w:rPr>
        <w:t>Model mature biomass on 7/1/2014</w:t>
      </w:r>
    </w:p>
    <w:p w:rsidR="009D7D44" w:rsidRPr="00F6443F" w:rsidRDefault="009D7D44" w:rsidP="009D7D44">
      <w:pPr>
        <w:pStyle w:val="FootnoteText"/>
        <w:rPr>
          <w:sz w:val="18"/>
          <w:szCs w:val="18"/>
        </w:rPr>
      </w:pPr>
      <w:r>
        <w:rPr>
          <w:sz w:val="18"/>
          <w:szCs w:val="18"/>
        </w:rPr>
        <w:t>4  Retained catch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25" w:rsidRPr="00995E01" w:rsidRDefault="00134825" w:rsidP="00134825">
    <w:pPr>
      <w:pStyle w:val="Header"/>
      <w:rPr>
        <w:rFonts w:ascii="Arial" w:hAnsi="Arial" w:cs="Arial"/>
        <w:b/>
        <w:i/>
        <w:sz w:val="22"/>
        <w:szCs w:val="22"/>
      </w:rPr>
    </w:pPr>
    <w:r w:rsidRPr="00995E01">
      <w:rPr>
        <w:rFonts w:ascii="Arial" w:hAnsi="Arial" w:cs="Arial"/>
        <w:b/>
        <w:i/>
        <w:sz w:val="22"/>
        <w:szCs w:val="22"/>
      </w:rPr>
      <w:t>BSAI Crab SAFE</w:t>
    </w:r>
    <w:r>
      <w:rPr>
        <w:rFonts w:ascii="Arial" w:hAnsi="Arial" w:cs="Arial"/>
        <w:b/>
        <w:i/>
        <w:sz w:val="22"/>
        <w:szCs w:val="22"/>
      </w:rPr>
      <w:tab/>
    </w:r>
    <w:r>
      <w:rPr>
        <w:rFonts w:ascii="Arial" w:hAnsi="Arial" w:cs="Arial"/>
        <w:b/>
        <w:i/>
        <w:sz w:val="22"/>
        <w:szCs w:val="22"/>
      </w:rPr>
      <w:tab/>
      <w:t xml:space="preserve"> Introduction</w:t>
    </w:r>
  </w:p>
  <w:p w:rsidR="00134825" w:rsidRPr="00134825" w:rsidRDefault="00134825" w:rsidP="00134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7956"/>
    <w:multiLevelType w:val="hybridMultilevel"/>
    <w:tmpl w:val="671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2530D"/>
    <w:multiLevelType w:val="hybridMultilevel"/>
    <w:tmpl w:val="A40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659E7"/>
    <w:multiLevelType w:val="hybridMultilevel"/>
    <w:tmpl w:val="83F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44"/>
    <w:rsid w:val="00010F9F"/>
    <w:rsid w:val="00012DD5"/>
    <w:rsid w:val="00056D30"/>
    <w:rsid w:val="00074236"/>
    <w:rsid w:val="00083D41"/>
    <w:rsid w:val="000A5792"/>
    <w:rsid w:val="0011037F"/>
    <w:rsid w:val="00134825"/>
    <w:rsid w:val="0014713D"/>
    <w:rsid w:val="00164184"/>
    <w:rsid w:val="00166215"/>
    <w:rsid w:val="001D61B9"/>
    <w:rsid w:val="00200775"/>
    <w:rsid w:val="00257645"/>
    <w:rsid w:val="00273805"/>
    <w:rsid w:val="00302EC8"/>
    <w:rsid w:val="003E075A"/>
    <w:rsid w:val="003F4536"/>
    <w:rsid w:val="004027F3"/>
    <w:rsid w:val="00402EDB"/>
    <w:rsid w:val="004212A2"/>
    <w:rsid w:val="0047031D"/>
    <w:rsid w:val="004E78EB"/>
    <w:rsid w:val="004E7CE2"/>
    <w:rsid w:val="005341A7"/>
    <w:rsid w:val="00556A7A"/>
    <w:rsid w:val="00565669"/>
    <w:rsid w:val="00590A6F"/>
    <w:rsid w:val="005B3979"/>
    <w:rsid w:val="005E35AE"/>
    <w:rsid w:val="005F534E"/>
    <w:rsid w:val="0064147F"/>
    <w:rsid w:val="00654890"/>
    <w:rsid w:val="006A108C"/>
    <w:rsid w:val="006D3700"/>
    <w:rsid w:val="00706B95"/>
    <w:rsid w:val="00736840"/>
    <w:rsid w:val="00775277"/>
    <w:rsid w:val="007E185C"/>
    <w:rsid w:val="007F3931"/>
    <w:rsid w:val="007F56D6"/>
    <w:rsid w:val="008771D2"/>
    <w:rsid w:val="00896A56"/>
    <w:rsid w:val="00993279"/>
    <w:rsid w:val="009A5121"/>
    <w:rsid w:val="009C613A"/>
    <w:rsid w:val="009C7303"/>
    <w:rsid w:val="009D7D44"/>
    <w:rsid w:val="00A32FB5"/>
    <w:rsid w:val="00A91477"/>
    <w:rsid w:val="00B64D36"/>
    <w:rsid w:val="00BE4556"/>
    <w:rsid w:val="00C50B86"/>
    <w:rsid w:val="00C63C02"/>
    <w:rsid w:val="00C74B38"/>
    <w:rsid w:val="00CD72C3"/>
    <w:rsid w:val="00DB1C9E"/>
    <w:rsid w:val="00DB6E12"/>
    <w:rsid w:val="00DE4EFC"/>
    <w:rsid w:val="00DF3EDB"/>
    <w:rsid w:val="00E87656"/>
    <w:rsid w:val="00EB0C5B"/>
    <w:rsid w:val="00ED5044"/>
    <w:rsid w:val="00EE4E94"/>
    <w:rsid w:val="00F15186"/>
    <w:rsid w:val="00F913F1"/>
    <w:rsid w:val="00FD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44"/>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D3700"/>
    <w:pPr>
      <w:keepNext/>
      <w:keepLines/>
      <w:jc w:val="center"/>
      <w:outlineLvl w:val="0"/>
    </w:pPr>
    <w:rPr>
      <w:rFonts w:eastAsiaTheme="majorEastAsia" w:cstheme="majorBidi"/>
      <w:b/>
      <w:bCs/>
      <w:color w:val="000000" w:themeColor="text1"/>
      <w:sz w:val="28"/>
      <w:szCs w:val="28"/>
    </w:rPr>
  </w:style>
  <w:style w:type="paragraph" w:styleId="Heading3">
    <w:name w:val="heading 3"/>
    <w:basedOn w:val="Normal"/>
    <w:next w:val="Normal"/>
    <w:link w:val="Heading3Char1"/>
    <w:qFormat/>
    <w:rsid w:val="00ED50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00"/>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uiPriority w:val="9"/>
    <w:semiHidden/>
    <w:rsid w:val="00ED5044"/>
    <w:rPr>
      <w:rFonts w:asciiTheme="majorHAnsi" w:eastAsiaTheme="majorEastAsia" w:hAnsiTheme="majorHAnsi" w:cstheme="majorBidi"/>
      <w:b/>
      <w:bCs/>
      <w:snapToGrid w:val="0"/>
      <w:color w:val="4F81BD" w:themeColor="accent1"/>
      <w:sz w:val="24"/>
      <w:szCs w:val="20"/>
    </w:rPr>
  </w:style>
  <w:style w:type="character" w:customStyle="1" w:styleId="Heading3Char1">
    <w:name w:val="Heading 3 Char1"/>
    <w:link w:val="Heading3"/>
    <w:locked/>
    <w:rsid w:val="00ED5044"/>
    <w:rPr>
      <w:rFonts w:ascii="Arial" w:eastAsia="Times New Roman" w:hAnsi="Arial" w:cs="Arial"/>
      <w:b/>
      <w:bCs/>
      <w:snapToGrid w:val="0"/>
      <w:sz w:val="26"/>
      <w:szCs w:val="26"/>
    </w:rPr>
  </w:style>
  <w:style w:type="paragraph" w:styleId="ListParagraph">
    <w:name w:val="List Paragraph"/>
    <w:basedOn w:val="Normal"/>
    <w:uiPriority w:val="34"/>
    <w:qFormat/>
    <w:rsid w:val="00ED5044"/>
    <w:pPr>
      <w:widowControl/>
      <w:spacing w:line="276" w:lineRule="auto"/>
      <w:ind w:left="720"/>
      <w:contextualSpacing/>
    </w:pPr>
    <w:rPr>
      <w:rFonts w:eastAsia="Calibri"/>
      <w:snapToGrid/>
      <w:szCs w:val="22"/>
    </w:rPr>
  </w:style>
  <w:style w:type="table" w:styleId="TableGrid">
    <w:name w:val="Table Grid"/>
    <w:basedOn w:val="TableNormal"/>
    <w:uiPriority w:val="59"/>
    <w:rsid w:val="006548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277"/>
    <w:rPr>
      <w:rFonts w:ascii="Tahoma" w:hAnsi="Tahoma" w:cs="Tahoma"/>
      <w:sz w:val="16"/>
      <w:szCs w:val="16"/>
    </w:rPr>
  </w:style>
  <w:style w:type="character" w:customStyle="1" w:styleId="BalloonTextChar">
    <w:name w:val="Balloon Text Char"/>
    <w:basedOn w:val="DefaultParagraphFont"/>
    <w:link w:val="BalloonText"/>
    <w:uiPriority w:val="99"/>
    <w:semiHidden/>
    <w:rsid w:val="00775277"/>
    <w:rPr>
      <w:rFonts w:ascii="Tahoma" w:eastAsia="Times New Roman" w:hAnsi="Tahoma" w:cs="Tahoma"/>
      <w:snapToGrid w:val="0"/>
      <w:sz w:val="16"/>
      <w:szCs w:val="16"/>
    </w:rPr>
  </w:style>
  <w:style w:type="character" w:styleId="FootnoteReference">
    <w:name w:val="footnote reference"/>
    <w:semiHidden/>
    <w:rsid w:val="009D7D44"/>
  </w:style>
  <w:style w:type="paragraph" w:styleId="Caption">
    <w:name w:val="caption"/>
    <w:basedOn w:val="Normal"/>
    <w:next w:val="Normal"/>
    <w:qFormat/>
    <w:rsid w:val="009D7D44"/>
    <w:pPr>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z w:val="18"/>
      <w:u w:val="single"/>
    </w:rPr>
  </w:style>
  <w:style w:type="paragraph" w:styleId="FootnoteText">
    <w:name w:val="footnote text"/>
    <w:basedOn w:val="Normal"/>
    <w:link w:val="FootnoteTextChar"/>
    <w:semiHidden/>
    <w:rsid w:val="009D7D44"/>
    <w:pPr>
      <w:widowControl/>
    </w:pPr>
    <w:rPr>
      <w:snapToGrid/>
      <w:sz w:val="20"/>
    </w:rPr>
  </w:style>
  <w:style w:type="character" w:customStyle="1" w:styleId="FootnoteTextChar">
    <w:name w:val="Footnote Text Char"/>
    <w:basedOn w:val="DefaultParagraphFont"/>
    <w:link w:val="FootnoteText"/>
    <w:semiHidden/>
    <w:rsid w:val="009D7D44"/>
    <w:rPr>
      <w:rFonts w:ascii="Times New Roman" w:eastAsia="Times New Roman" w:hAnsi="Times New Roman" w:cs="Times New Roman"/>
      <w:sz w:val="20"/>
      <w:szCs w:val="20"/>
    </w:rPr>
  </w:style>
  <w:style w:type="paragraph" w:styleId="Header">
    <w:name w:val="header"/>
    <w:basedOn w:val="Normal"/>
    <w:link w:val="HeaderChar"/>
    <w:unhideWhenUsed/>
    <w:rsid w:val="004027F3"/>
    <w:pPr>
      <w:tabs>
        <w:tab w:val="center" w:pos="4680"/>
        <w:tab w:val="right" w:pos="9360"/>
      </w:tabs>
    </w:pPr>
  </w:style>
  <w:style w:type="character" w:customStyle="1" w:styleId="HeaderChar">
    <w:name w:val="Header Char"/>
    <w:basedOn w:val="DefaultParagraphFont"/>
    <w:link w:val="Header"/>
    <w:rsid w:val="004027F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027F3"/>
    <w:pPr>
      <w:tabs>
        <w:tab w:val="center" w:pos="4680"/>
        <w:tab w:val="right" w:pos="9360"/>
      </w:tabs>
    </w:pPr>
  </w:style>
  <w:style w:type="character" w:customStyle="1" w:styleId="FooterChar">
    <w:name w:val="Footer Char"/>
    <w:basedOn w:val="DefaultParagraphFont"/>
    <w:link w:val="Footer"/>
    <w:uiPriority w:val="99"/>
    <w:rsid w:val="004027F3"/>
    <w:rPr>
      <w:rFonts w:ascii="Times New Roman" w:eastAsia="Times New Roman" w:hAnsi="Times New Roman" w:cs="Times New Roman"/>
      <w:snapToGrid w:val="0"/>
      <w:sz w:val="24"/>
      <w:szCs w:val="20"/>
    </w:rPr>
  </w:style>
  <w:style w:type="character" w:styleId="PageNumber">
    <w:name w:val="page number"/>
    <w:basedOn w:val="DefaultParagraphFont"/>
    <w:rsid w:val="00134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44"/>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D3700"/>
    <w:pPr>
      <w:keepNext/>
      <w:keepLines/>
      <w:jc w:val="center"/>
      <w:outlineLvl w:val="0"/>
    </w:pPr>
    <w:rPr>
      <w:rFonts w:eastAsiaTheme="majorEastAsia" w:cstheme="majorBidi"/>
      <w:b/>
      <w:bCs/>
      <w:color w:val="000000" w:themeColor="text1"/>
      <w:sz w:val="28"/>
      <w:szCs w:val="28"/>
    </w:rPr>
  </w:style>
  <w:style w:type="paragraph" w:styleId="Heading3">
    <w:name w:val="heading 3"/>
    <w:basedOn w:val="Normal"/>
    <w:next w:val="Normal"/>
    <w:link w:val="Heading3Char1"/>
    <w:qFormat/>
    <w:rsid w:val="00ED50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700"/>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uiPriority w:val="9"/>
    <w:semiHidden/>
    <w:rsid w:val="00ED5044"/>
    <w:rPr>
      <w:rFonts w:asciiTheme="majorHAnsi" w:eastAsiaTheme="majorEastAsia" w:hAnsiTheme="majorHAnsi" w:cstheme="majorBidi"/>
      <w:b/>
      <w:bCs/>
      <w:snapToGrid w:val="0"/>
      <w:color w:val="4F81BD" w:themeColor="accent1"/>
      <w:sz w:val="24"/>
      <w:szCs w:val="20"/>
    </w:rPr>
  </w:style>
  <w:style w:type="character" w:customStyle="1" w:styleId="Heading3Char1">
    <w:name w:val="Heading 3 Char1"/>
    <w:link w:val="Heading3"/>
    <w:locked/>
    <w:rsid w:val="00ED5044"/>
    <w:rPr>
      <w:rFonts w:ascii="Arial" w:eastAsia="Times New Roman" w:hAnsi="Arial" w:cs="Arial"/>
      <w:b/>
      <w:bCs/>
      <w:snapToGrid w:val="0"/>
      <w:sz w:val="26"/>
      <w:szCs w:val="26"/>
    </w:rPr>
  </w:style>
  <w:style w:type="paragraph" w:styleId="ListParagraph">
    <w:name w:val="List Paragraph"/>
    <w:basedOn w:val="Normal"/>
    <w:uiPriority w:val="34"/>
    <w:qFormat/>
    <w:rsid w:val="00ED5044"/>
    <w:pPr>
      <w:widowControl/>
      <w:spacing w:line="276" w:lineRule="auto"/>
      <w:ind w:left="720"/>
      <w:contextualSpacing/>
    </w:pPr>
    <w:rPr>
      <w:rFonts w:eastAsia="Calibri"/>
      <w:snapToGrid/>
      <w:szCs w:val="22"/>
    </w:rPr>
  </w:style>
  <w:style w:type="table" w:styleId="TableGrid">
    <w:name w:val="Table Grid"/>
    <w:basedOn w:val="TableNormal"/>
    <w:uiPriority w:val="59"/>
    <w:rsid w:val="006548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277"/>
    <w:rPr>
      <w:rFonts w:ascii="Tahoma" w:hAnsi="Tahoma" w:cs="Tahoma"/>
      <w:sz w:val="16"/>
      <w:szCs w:val="16"/>
    </w:rPr>
  </w:style>
  <w:style w:type="character" w:customStyle="1" w:styleId="BalloonTextChar">
    <w:name w:val="Balloon Text Char"/>
    <w:basedOn w:val="DefaultParagraphFont"/>
    <w:link w:val="BalloonText"/>
    <w:uiPriority w:val="99"/>
    <w:semiHidden/>
    <w:rsid w:val="00775277"/>
    <w:rPr>
      <w:rFonts w:ascii="Tahoma" w:eastAsia="Times New Roman" w:hAnsi="Tahoma" w:cs="Tahoma"/>
      <w:snapToGrid w:val="0"/>
      <w:sz w:val="16"/>
      <w:szCs w:val="16"/>
    </w:rPr>
  </w:style>
  <w:style w:type="character" w:styleId="FootnoteReference">
    <w:name w:val="footnote reference"/>
    <w:semiHidden/>
    <w:rsid w:val="009D7D44"/>
  </w:style>
  <w:style w:type="paragraph" w:styleId="Caption">
    <w:name w:val="caption"/>
    <w:basedOn w:val="Normal"/>
    <w:next w:val="Normal"/>
    <w:qFormat/>
    <w:rsid w:val="009D7D44"/>
    <w:pPr>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z w:val="18"/>
      <w:u w:val="single"/>
    </w:rPr>
  </w:style>
  <w:style w:type="paragraph" w:styleId="FootnoteText">
    <w:name w:val="footnote text"/>
    <w:basedOn w:val="Normal"/>
    <w:link w:val="FootnoteTextChar"/>
    <w:semiHidden/>
    <w:rsid w:val="009D7D44"/>
    <w:pPr>
      <w:widowControl/>
    </w:pPr>
    <w:rPr>
      <w:snapToGrid/>
      <w:sz w:val="20"/>
    </w:rPr>
  </w:style>
  <w:style w:type="character" w:customStyle="1" w:styleId="FootnoteTextChar">
    <w:name w:val="Footnote Text Char"/>
    <w:basedOn w:val="DefaultParagraphFont"/>
    <w:link w:val="FootnoteText"/>
    <w:semiHidden/>
    <w:rsid w:val="009D7D44"/>
    <w:rPr>
      <w:rFonts w:ascii="Times New Roman" w:eastAsia="Times New Roman" w:hAnsi="Times New Roman" w:cs="Times New Roman"/>
      <w:sz w:val="20"/>
      <w:szCs w:val="20"/>
    </w:rPr>
  </w:style>
  <w:style w:type="paragraph" w:styleId="Header">
    <w:name w:val="header"/>
    <w:basedOn w:val="Normal"/>
    <w:link w:val="HeaderChar"/>
    <w:unhideWhenUsed/>
    <w:rsid w:val="004027F3"/>
    <w:pPr>
      <w:tabs>
        <w:tab w:val="center" w:pos="4680"/>
        <w:tab w:val="right" w:pos="9360"/>
      </w:tabs>
    </w:pPr>
  </w:style>
  <w:style w:type="character" w:customStyle="1" w:styleId="HeaderChar">
    <w:name w:val="Header Char"/>
    <w:basedOn w:val="DefaultParagraphFont"/>
    <w:link w:val="Header"/>
    <w:rsid w:val="004027F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027F3"/>
    <w:pPr>
      <w:tabs>
        <w:tab w:val="center" w:pos="4680"/>
        <w:tab w:val="right" w:pos="9360"/>
      </w:tabs>
    </w:pPr>
  </w:style>
  <w:style w:type="character" w:customStyle="1" w:styleId="FooterChar">
    <w:name w:val="Footer Char"/>
    <w:basedOn w:val="DefaultParagraphFont"/>
    <w:link w:val="Footer"/>
    <w:uiPriority w:val="99"/>
    <w:rsid w:val="004027F3"/>
    <w:rPr>
      <w:rFonts w:ascii="Times New Roman" w:eastAsia="Times New Roman" w:hAnsi="Times New Roman" w:cs="Times New Roman"/>
      <w:snapToGrid w:val="0"/>
      <w:sz w:val="24"/>
      <w:szCs w:val="20"/>
    </w:rPr>
  </w:style>
  <w:style w:type="character" w:styleId="PageNumber">
    <w:name w:val="page number"/>
    <w:basedOn w:val="DefaultParagraphFont"/>
    <w:rsid w:val="0013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3298</Words>
  <Characters>18803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BillB</dc:creator>
  <cp:lastModifiedBy>Peggy Kircher</cp:lastModifiedBy>
  <cp:revision>2</cp:revision>
  <dcterms:created xsi:type="dcterms:W3CDTF">2014-05-12T20:33:00Z</dcterms:created>
  <dcterms:modified xsi:type="dcterms:W3CDTF">2014-05-12T20:33:00Z</dcterms:modified>
</cp:coreProperties>
</file>